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78" w:rsidRPr="008C1E2D" w:rsidRDefault="00F40978" w:rsidP="00F40978">
      <w:pPr>
        <w:pStyle w:val="Akti"/>
      </w:pPr>
      <w:bookmarkStart w:id="0" w:name="_GoBack"/>
      <w:bookmarkEnd w:id="0"/>
      <w:r w:rsidRPr="008C1E2D">
        <w:t>LIGJ</w:t>
      </w:r>
    </w:p>
    <w:p w:rsidR="00F40978" w:rsidRPr="008C1E2D" w:rsidRDefault="00F40978" w:rsidP="00F40978">
      <w:pPr>
        <w:pStyle w:val="NumriData"/>
      </w:pPr>
      <w:r w:rsidRPr="008C1E2D">
        <w:t>Nr.9744, datë 28.5.2007</w:t>
      </w:r>
    </w:p>
    <w:p w:rsidR="00F40978" w:rsidRPr="008C1E2D" w:rsidRDefault="00F40978" w:rsidP="00F40978">
      <w:pPr>
        <w:pStyle w:val="Paragrafi"/>
      </w:pPr>
    </w:p>
    <w:p w:rsidR="00F40978" w:rsidRPr="008C1E2D" w:rsidRDefault="00F40978" w:rsidP="00F40978">
      <w:pPr>
        <w:pStyle w:val="Titulli"/>
      </w:pPr>
      <w:r w:rsidRPr="008C1E2D">
        <w:t>PËR  DISA NDRYSHIME  DHE SHTESA NË LIGJIN NR. 8701,</w:t>
      </w:r>
    </w:p>
    <w:p w:rsidR="00F40978" w:rsidRPr="008C1E2D" w:rsidRDefault="00F40978" w:rsidP="00F40978">
      <w:pPr>
        <w:pStyle w:val="Titulli"/>
      </w:pPr>
      <w:r w:rsidRPr="008C1E2D">
        <w:t xml:space="preserve"> DATË 1.12.2000 “PËR LOJËRAT E FATIT, KAZINOTË DHE HIPODROMET”, TË NDRYSHUAR</w:t>
      </w:r>
    </w:p>
    <w:p w:rsidR="00F40978" w:rsidRPr="008C1E2D" w:rsidRDefault="00F40978" w:rsidP="00F40978">
      <w:pPr>
        <w:pStyle w:val="Paragrafi"/>
      </w:pPr>
    </w:p>
    <w:p w:rsidR="00F40978" w:rsidRPr="008C1E2D" w:rsidRDefault="00F40978" w:rsidP="00F40978">
      <w:pPr>
        <w:pStyle w:val="BazLigjPropozues"/>
      </w:pPr>
      <w:r w:rsidRPr="008C1E2D">
        <w:t xml:space="preserve">Në mbështetje të neneve 78 dhe 83 pika 1 të Kushtetutës, me propozimin e Këshillit të Ministrave, </w:t>
      </w:r>
    </w:p>
    <w:p w:rsidR="00F40978" w:rsidRPr="008C1E2D" w:rsidRDefault="00F40978" w:rsidP="00F40978">
      <w:pPr>
        <w:pStyle w:val="Paragrafi"/>
      </w:pPr>
    </w:p>
    <w:p w:rsidR="00F40978" w:rsidRPr="008C1E2D" w:rsidRDefault="00F40978" w:rsidP="00F40978">
      <w:pPr>
        <w:pStyle w:val="Institucioni"/>
      </w:pPr>
      <w:r w:rsidRPr="008C1E2D">
        <w:t>K U V E N D I</w:t>
      </w:r>
    </w:p>
    <w:p w:rsidR="00F40978" w:rsidRPr="008C1E2D" w:rsidRDefault="00F40978" w:rsidP="00F40978">
      <w:pPr>
        <w:pStyle w:val="Institucioni"/>
      </w:pPr>
      <w:r w:rsidRPr="008C1E2D">
        <w:t>I REPUBLIKËS SË SHQIPËRISË</w:t>
      </w:r>
    </w:p>
    <w:p w:rsidR="00F40978" w:rsidRPr="008C1E2D" w:rsidRDefault="00F40978" w:rsidP="00F40978">
      <w:pPr>
        <w:pStyle w:val="Institucioni"/>
      </w:pPr>
      <w:r w:rsidRPr="008C1E2D">
        <w:t xml:space="preserve">     </w:t>
      </w:r>
    </w:p>
    <w:p w:rsidR="00F40978" w:rsidRPr="008C1E2D" w:rsidRDefault="00F40978" w:rsidP="00F40978">
      <w:pPr>
        <w:pStyle w:val="VENDOSI"/>
      </w:pPr>
      <w:r w:rsidRPr="008C1E2D">
        <w:t>V E N D O S I:</w:t>
      </w:r>
    </w:p>
    <w:p w:rsidR="00F40978" w:rsidRPr="008C1E2D" w:rsidRDefault="00F40978" w:rsidP="00F40978">
      <w:pPr>
        <w:pStyle w:val="Paragrafi"/>
      </w:pPr>
    </w:p>
    <w:p w:rsidR="00F40978" w:rsidRPr="008C1E2D" w:rsidRDefault="00F40978" w:rsidP="00F40978">
      <w:pPr>
        <w:pStyle w:val="Paragrafi"/>
      </w:pPr>
      <w:r w:rsidRPr="008C1E2D">
        <w:t>Në ligjin nr.8701, datë 1.12.2000 “Për lojërat e fatit, kazinotë dhe hipodromet”, të ndryshuar, bëhen këto ndryshime dhe shtesa:</w:t>
      </w:r>
    </w:p>
    <w:p w:rsidR="00F40978" w:rsidRPr="008C1E2D" w:rsidRDefault="00F40978" w:rsidP="00F40978">
      <w:pPr>
        <w:pStyle w:val="Paragrafi"/>
      </w:pPr>
    </w:p>
    <w:p w:rsidR="00F40978" w:rsidRPr="008C1E2D" w:rsidRDefault="00F40978" w:rsidP="00F40978">
      <w:pPr>
        <w:pStyle w:val="NeniNr"/>
      </w:pPr>
      <w:r w:rsidRPr="008C1E2D">
        <w:t>Neni 1</w:t>
      </w:r>
    </w:p>
    <w:p w:rsidR="00F40978" w:rsidRPr="008C1E2D" w:rsidRDefault="00F40978" w:rsidP="00F40978">
      <w:pPr>
        <w:pStyle w:val="Paragrafi"/>
      </w:pPr>
    </w:p>
    <w:p w:rsidR="00F40978" w:rsidRPr="008C1E2D" w:rsidRDefault="00F40978" w:rsidP="00F40978">
      <w:pPr>
        <w:pStyle w:val="Paragrafi"/>
      </w:pPr>
      <w:r w:rsidRPr="008C1E2D">
        <w:t>Neni 2 ndryshohet si më poshtë:</w:t>
      </w:r>
    </w:p>
    <w:p w:rsidR="00F40978" w:rsidRPr="008C1E2D" w:rsidRDefault="00F40978" w:rsidP="00F40978">
      <w:pPr>
        <w:pStyle w:val="Paragrafi"/>
      </w:pPr>
    </w:p>
    <w:p w:rsidR="00F40978" w:rsidRPr="008C1E2D" w:rsidRDefault="00F40978" w:rsidP="00F40978">
      <w:pPr>
        <w:pStyle w:val="NeniNr"/>
      </w:pPr>
      <w:r w:rsidRPr="008C1E2D">
        <w:t>“Neni 2</w:t>
      </w:r>
    </w:p>
    <w:p w:rsidR="00F40978" w:rsidRPr="008C1E2D" w:rsidRDefault="00F40978" w:rsidP="00F40978">
      <w:pPr>
        <w:pStyle w:val="NumriData"/>
      </w:pPr>
      <w:r w:rsidRPr="008C1E2D">
        <w:t>Përkufizime</w:t>
      </w:r>
    </w:p>
    <w:p w:rsidR="00F40978" w:rsidRPr="008C1E2D" w:rsidRDefault="00F40978" w:rsidP="00F40978">
      <w:pPr>
        <w:pStyle w:val="Paragrafi"/>
      </w:pPr>
    </w:p>
    <w:p w:rsidR="00F40978" w:rsidRPr="008C1E2D" w:rsidRDefault="00F40978" w:rsidP="00F40978">
      <w:pPr>
        <w:pStyle w:val="Paragrafi"/>
      </w:pPr>
      <w:r w:rsidRPr="008C1E2D">
        <w:t>Në këtë ligj termat e mëposhtëm  kanë këto kuptime:</w:t>
      </w:r>
    </w:p>
    <w:p w:rsidR="00F40978" w:rsidRPr="008C1E2D" w:rsidRDefault="00F40978" w:rsidP="00F40978">
      <w:pPr>
        <w:pStyle w:val="Paragrafi"/>
      </w:pPr>
      <w:r w:rsidRPr="008C1E2D">
        <w:t>1. “Lojëra fati”  janë ato lojëra, ku pjesëmarrësit paguajnë një shumë të caktuar dhe ku faktori fat ka ndikim të drejtpërdrejtë si në fitimin, ashtu edhe në humbjen e pjesëmarrësve në secilën lojë.</w:t>
      </w:r>
    </w:p>
    <w:p w:rsidR="00F40978" w:rsidRPr="008C1E2D" w:rsidRDefault="00F40978" w:rsidP="00F40978">
      <w:pPr>
        <w:pStyle w:val="Paragrafi"/>
      </w:pPr>
      <w:r w:rsidRPr="008C1E2D">
        <w:t>Nuk quhen lojëra fati:</w:t>
      </w:r>
    </w:p>
    <w:p w:rsidR="00F40978" w:rsidRPr="008C1E2D" w:rsidRDefault="00F40978" w:rsidP="00F40978">
      <w:pPr>
        <w:pStyle w:val="Paragrafi"/>
      </w:pPr>
      <w:r w:rsidRPr="008C1E2D">
        <w:t>konkurset që zhvillohen në bazë të njohurive të pjesëmarrësve, ku fituesi merr një çmim të caktuar, të vendosur për këtë qëllim;</w:t>
      </w:r>
    </w:p>
    <w:p w:rsidR="00F40978" w:rsidRPr="008C1E2D" w:rsidRDefault="00F40978" w:rsidP="00F40978">
      <w:pPr>
        <w:pStyle w:val="Paragrafi"/>
      </w:pPr>
      <w:r w:rsidRPr="008C1E2D">
        <w:t>pagesat që bëhen nga sigurimi i jetës ose llojet e tjera të sigurimit nëpërmjet tërheqjes me short të biletave, të emetuara për këtë qëllim.</w:t>
      </w:r>
    </w:p>
    <w:p w:rsidR="00F40978" w:rsidRPr="008C1E2D" w:rsidRDefault="00F40978" w:rsidP="00F40978">
      <w:pPr>
        <w:pStyle w:val="Paragrafi"/>
      </w:pPr>
      <w:r w:rsidRPr="008C1E2D">
        <w:t>2. “Organizator” është personi juridik, i cili pajiset me lejen e ushtrimit të veprimtarisë në fushën e lojërave të fatit, kazinove dhe hipodromeve, në zbatim të dispozitave  të këtij ligji.</w:t>
      </w:r>
    </w:p>
    <w:p w:rsidR="00F40978" w:rsidRPr="008C1E2D" w:rsidRDefault="00F40978" w:rsidP="00F40978">
      <w:pPr>
        <w:pStyle w:val="Paragrafi"/>
      </w:pPr>
      <w:r w:rsidRPr="008C1E2D">
        <w:t>3. “Mjetet e lojërave” janë mjetet elektrike, elektronike ose mekanike, që përdoren ose synohet të përdoren për të luajtur lojëra fati dhe funksionimi i të cilave ka një ndikim mbi rezultatin e lojës.</w:t>
      </w:r>
    </w:p>
    <w:p w:rsidR="00F40978" w:rsidRPr="008C1E2D" w:rsidRDefault="00F40978" w:rsidP="00F40978">
      <w:pPr>
        <w:pStyle w:val="Paragrafi"/>
      </w:pPr>
      <w:r w:rsidRPr="008C1E2D">
        <w:t xml:space="preserve">4. “Publicitet” është çdo formë njoftimi për promovimin e lojërave të fatit, qëllimi i dukshëm i së cilës është dhënia e informacionit publikut në dhe botime të printuara, njoftime, qarkore ose ndonjë formë apo mjet tjetër të komunikimit publik. </w:t>
      </w:r>
    </w:p>
    <w:p w:rsidR="00F40978" w:rsidRPr="008C1E2D" w:rsidRDefault="00F40978" w:rsidP="00F40978">
      <w:pPr>
        <w:pStyle w:val="Paragrafi"/>
      </w:pPr>
      <w:r w:rsidRPr="008C1E2D">
        <w:t>5. “Licencë” është akti administrativ, me anë të cilit i licencuari ka të drejtë të ushtrojë veprimtarinë në fushën e lojërave të fatit, kazinove dhe hipodromeve.</w:t>
      </w:r>
    </w:p>
    <w:p w:rsidR="00F40978" w:rsidRPr="008C1E2D" w:rsidRDefault="00F40978" w:rsidP="00F40978">
      <w:pPr>
        <w:pStyle w:val="Paragrafi"/>
      </w:pPr>
      <w:r w:rsidRPr="008C1E2D">
        <w:t xml:space="preserve">6. “I licencuar” është personi juridik (ose bashkim personash juridikë), i cili zotëron një licencë të lëshuar në bazë të dispozitave  të këtij ligji. </w:t>
      </w:r>
    </w:p>
    <w:p w:rsidR="00F40978" w:rsidRPr="008C1E2D" w:rsidRDefault="00F40978" w:rsidP="00F40978">
      <w:pPr>
        <w:pStyle w:val="Paragrafi"/>
      </w:pPr>
      <w:r w:rsidRPr="008C1E2D">
        <w:t xml:space="preserve">7. “Bashkim personash juridikë” është një marrëveshje e shkruar, ndërmjet dy ose më shumë personave juridikë, që ka për objekt kryerjen e veprimtarisë në lojërat e fatit, ku përcaktohet roli i secilës palë dhe ku njëra prej tyre përcaktohet si shoqëri kryesuese, që përfaqëson bashkimin në marrjen e licencës në fushën e lojërave të fatit.  </w:t>
      </w:r>
    </w:p>
    <w:p w:rsidR="00F40978" w:rsidRPr="008C1E2D" w:rsidRDefault="00F40978" w:rsidP="00F40978">
      <w:pPr>
        <w:pStyle w:val="Paragrafi"/>
      </w:pPr>
      <w:r w:rsidRPr="008C1E2D">
        <w:t>8. “Luajtje” është pjesëmarrja në një lojë fati, ku lojtari ose lojtarët, me vendosjen e shumës, marrin pjesë në mundësinë për marrjen e një çmimi.</w:t>
      </w:r>
    </w:p>
    <w:p w:rsidR="00F40978" w:rsidRPr="008C1E2D" w:rsidRDefault="00F40978" w:rsidP="00F40978">
      <w:pPr>
        <w:pStyle w:val="Paragrafi"/>
      </w:pPr>
      <w:r w:rsidRPr="008C1E2D">
        <w:t>9. “Aplikant” është  personi juridik apo bashkim i personave juridikë, që bëjnë kërkesë, ose marrin pjesë në konkurrim, për t’u pajisur me licencë në fushën e lojërave të fatit, kazinotë dhe hipodromet.</w:t>
      </w:r>
    </w:p>
    <w:p w:rsidR="00F40978" w:rsidRPr="008C1E2D" w:rsidRDefault="00F40978" w:rsidP="00F40978">
      <w:pPr>
        <w:pStyle w:val="Paragrafi"/>
      </w:pPr>
      <w:r w:rsidRPr="008C1E2D">
        <w:t xml:space="preserve">10. “Lojë fati promocionale” është një lojë, që promovon produkte ose shërbime, në të cilën </w:t>
      </w:r>
      <w:r w:rsidRPr="008C1E2D">
        <w:lastRenderedPageBreak/>
        <w:t>pjesëmarrësit mund të konkurrojnë për çmime apo bonuse.”.</w:t>
      </w:r>
    </w:p>
    <w:p w:rsidR="00F40978" w:rsidRPr="008C1E2D" w:rsidRDefault="00F40978" w:rsidP="00F40978">
      <w:pPr>
        <w:pStyle w:val="Paragrafi"/>
      </w:pPr>
    </w:p>
    <w:p w:rsidR="00F40978" w:rsidRPr="008C1E2D" w:rsidRDefault="00F40978" w:rsidP="00F40978">
      <w:pPr>
        <w:pStyle w:val="NeniNr"/>
      </w:pPr>
      <w:r w:rsidRPr="008C1E2D">
        <w:t>Neni 2</w:t>
      </w:r>
    </w:p>
    <w:p w:rsidR="00F40978" w:rsidRPr="008C1E2D" w:rsidRDefault="00F40978" w:rsidP="00F40978">
      <w:pPr>
        <w:pStyle w:val="Paragrafi"/>
      </w:pPr>
    </w:p>
    <w:p w:rsidR="00F40978" w:rsidRPr="008C1E2D" w:rsidRDefault="00F40978" w:rsidP="00F40978">
      <w:pPr>
        <w:pStyle w:val="Paragrafi"/>
      </w:pPr>
      <w:r w:rsidRPr="008C1E2D">
        <w:t>Në nenin 3 bëhen shtesat dhe ndryshimet si më poshtë:</w:t>
      </w:r>
    </w:p>
    <w:p w:rsidR="00F40978" w:rsidRPr="008C1E2D" w:rsidRDefault="00F40978" w:rsidP="00F40978">
      <w:pPr>
        <w:pStyle w:val="Paragrafi"/>
      </w:pPr>
      <w:r w:rsidRPr="008C1E2D">
        <w:t>1.  Në fund të pikës 1 shtohet paragrafi me këtë përmbajtje:</w:t>
      </w:r>
    </w:p>
    <w:p w:rsidR="00F40978" w:rsidRPr="008C1E2D" w:rsidRDefault="00F40978" w:rsidP="00F40978">
      <w:pPr>
        <w:pStyle w:val="Paragrafi"/>
      </w:pPr>
      <w:r w:rsidRPr="008C1E2D">
        <w:t>“Keno: Një lojë fati, gjatë së cilës organizatori u ofron pjesëmarrësve mundësinë e zgjedhjes së disa numrave nga një grup i caktuar numrash, të shënuar në një biletë të caktuar. Loja keno përcaktohet me tri shkronja “a”/ “b”/”c”, ku: “a” është grupi i numrave të zgjedhur nga lojtari; “b” është grupi i numrave të dalë nga hedhja e shortit; “c” është grupi i të gjithë numrave të biletës.”.</w:t>
      </w:r>
    </w:p>
    <w:p w:rsidR="00F40978" w:rsidRPr="008C1E2D" w:rsidRDefault="00F40978" w:rsidP="00F40978">
      <w:pPr>
        <w:pStyle w:val="Paragrafi"/>
      </w:pPr>
      <w:r w:rsidRPr="008C1E2D">
        <w:t>2. Në pikën 3 bëhen këto ndryshime:</w:t>
      </w:r>
    </w:p>
    <w:p w:rsidR="00F40978" w:rsidRPr="008C1E2D" w:rsidRDefault="00F40978" w:rsidP="00F40978">
      <w:pPr>
        <w:pStyle w:val="Paragrafi"/>
      </w:pPr>
      <w:r w:rsidRPr="008C1E2D">
        <w:t>a) Paragrafi i parë ndryshohet si më poshtë:</w:t>
      </w:r>
    </w:p>
    <w:p w:rsidR="00F40978" w:rsidRPr="008C1E2D" w:rsidRDefault="00F40978" w:rsidP="00F40978">
      <w:pPr>
        <w:pStyle w:val="Paragrafi"/>
      </w:pPr>
      <w:r w:rsidRPr="008C1E2D">
        <w:t>“3. “Lotaria kombëtare” është lojë fati, ku organizatori i ofron blerësit të tyre mundësinë të fitojë një shumë të caktuar, nëse fiton numri ose kombinimi i numrave apo simboleve, që shënohen në biletën e hedhur në qarkullim nga organizatori.”.</w:t>
      </w:r>
    </w:p>
    <w:p w:rsidR="00F40978" w:rsidRPr="008C1E2D" w:rsidRDefault="00F40978" w:rsidP="00F40978">
      <w:pPr>
        <w:pStyle w:val="Paragrafi"/>
      </w:pPr>
      <w:r w:rsidRPr="008C1E2D">
        <w:t>b) Në paragrafin e dytë, fjalët “lotaritë klasifikohen në:” zëvendësohen me fjalët “Lotaria kombëtare përfshin:”.</w:t>
      </w:r>
    </w:p>
    <w:p w:rsidR="00F40978" w:rsidRPr="008C1E2D" w:rsidRDefault="00F40978" w:rsidP="00F40978">
      <w:pPr>
        <w:pStyle w:val="Paragrafi"/>
      </w:pPr>
      <w:r w:rsidRPr="008C1E2D">
        <w:t>3. Në fund të pikës 4 shtohet një paragraf me këtë përmbajtje:</w:t>
      </w:r>
    </w:p>
    <w:p w:rsidR="00F40978" w:rsidRPr="008C1E2D" w:rsidRDefault="00F40978" w:rsidP="00F40978">
      <w:pPr>
        <w:pStyle w:val="Paragrafi"/>
      </w:pPr>
      <w:r w:rsidRPr="008C1E2D">
        <w:t>“Nuk konsiderohen lojëra elektronike me fitim në çast makinat elektronike apo kompjuterat elektronikë, të cilët kanë më shumë se një pozicion loje. Lojëra elektronike me fitim në çast sipas këtij ligji, konsiderohen vetëm makinat  e tipit sllot.</w:t>
      </w:r>
    </w:p>
    <w:p w:rsidR="00F40978" w:rsidRPr="008C1E2D" w:rsidRDefault="00F40978" w:rsidP="00F40978">
      <w:pPr>
        <w:pStyle w:val="Paragrafi"/>
      </w:pPr>
      <w:r w:rsidRPr="008C1E2D">
        <w:t>Personat, të cilët kanë instaluar makina elektronike apo kompjutera elektronikë, të cilët nuk konsiderohen si të tillë nga paragrafi i mësipërm, detyrohen t’i heqin ato brenda 6 muajve nga hyrja  në fuqi e këtij ligji.”.</w:t>
      </w:r>
    </w:p>
    <w:p w:rsidR="00F40978" w:rsidRPr="008C1E2D" w:rsidRDefault="00F40978" w:rsidP="00F40978">
      <w:pPr>
        <w:pStyle w:val="Paragrafi"/>
      </w:pPr>
    </w:p>
    <w:p w:rsidR="00F40978" w:rsidRPr="008C1E2D" w:rsidRDefault="00F40978" w:rsidP="00F40978">
      <w:pPr>
        <w:pStyle w:val="NeniNr"/>
      </w:pPr>
      <w:r w:rsidRPr="008C1E2D">
        <w:t>Neni 3</w:t>
      </w:r>
    </w:p>
    <w:p w:rsidR="00F40978" w:rsidRPr="008C1E2D" w:rsidRDefault="00F40978" w:rsidP="00F40978">
      <w:pPr>
        <w:pStyle w:val="Paragrafi"/>
      </w:pPr>
    </w:p>
    <w:p w:rsidR="00F40978" w:rsidRPr="008C1E2D" w:rsidRDefault="00F40978" w:rsidP="00F40978">
      <w:pPr>
        <w:pStyle w:val="Paragrafi"/>
      </w:pPr>
      <w:r w:rsidRPr="008C1E2D">
        <w:t>Pas nenit 3 shtohen nenet 3/1, 3/2, 3/3, 3/4 dhe 3/5 me këtë përmbajtje:</w:t>
      </w:r>
    </w:p>
    <w:p w:rsidR="00F40978" w:rsidRPr="008C1E2D" w:rsidRDefault="00F40978" w:rsidP="00F40978">
      <w:pPr>
        <w:pStyle w:val="Paragrafi"/>
      </w:pPr>
    </w:p>
    <w:p w:rsidR="00F40978" w:rsidRPr="008C1E2D" w:rsidRDefault="00F40978" w:rsidP="00F40978">
      <w:pPr>
        <w:pStyle w:val="NeniNr"/>
      </w:pPr>
      <w:r w:rsidRPr="008C1E2D">
        <w:t>“Neni 3/1</w:t>
      </w:r>
    </w:p>
    <w:p w:rsidR="00F40978" w:rsidRPr="008C1E2D" w:rsidRDefault="00F40978" w:rsidP="00F40978">
      <w:pPr>
        <w:pStyle w:val="NeniTitull"/>
      </w:pPr>
      <w:r w:rsidRPr="008C1E2D">
        <w:t>Mbrojtja e të miturve</w:t>
      </w:r>
    </w:p>
    <w:p w:rsidR="00F40978" w:rsidRPr="008C1E2D" w:rsidRDefault="00F40978" w:rsidP="00F40978">
      <w:pPr>
        <w:pStyle w:val="Paragrafi"/>
      </w:pPr>
    </w:p>
    <w:p w:rsidR="00F40978" w:rsidRPr="008C1E2D" w:rsidRDefault="00F40978" w:rsidP="00F40978">
      <w:pPr>
        <w:pStyle w:val="Paragrafi"/>
      </w:pPr>
      <w:r w:rsidRPr="008C1E2D">
        <w:t>Organizatorit i ndalohet të punësojë persona nën moshën 21 vjeç, si dhe të lejojë personat nën moshën 21 vjeç të futen apo të luajnë në mjediset e lojërave të fatit, kazinove dhe hipodromeve.</w:t>
      </w:r>
    </w:p>
    <w:p w:rsidR="00F40978" w:rsidRPr="008C1E2D" w:rsidRDefault="00F40978" w:rsidP="00F40978">
      <w:pPr>
        <w:pStyle w:val="Paragrafi"/>
      </w:pPr>
    </w:p>
    <w:p w:rsidR="00F40978" w:rsidRPr="008C1E2D" w:rsidRDefault="00F40978" w:rsidP="00F40978">
      <w:pPr>
        <w:pStyle w:val="NeniNr"/>
      </w:pPr>
      <w:r w:rsidRPr="008C1E2D">
        <w:t>Neni 3/2</w:t>
      </w:r>
    </w:p>
    <w:p w:rsidR="00F40978" w:rsidRPr="008C1E2D" w:rsidRDefault="00F40978" w:rsidP="00F40978">
      <w:pPr>
        <w:pStyle w:val="NeniTitull"/>
      </w:pPr>
      <w:r w:rsidRPr="008C1E2D">
        <w:t>Mbrojtja e lojtarit</w:t>
      </w:r>
    </w:p>
    <w:p w:rsidR="00F40978" w:rsidRPr="008C1E2D" w:rsidRDefault="00F40978" w:rsidP="00F40978">
      <w:pPr>
        <w:pStyle w:val="Paragrafi"/>
      </w:pPr>
    </w:p>
    <w:p w:rsidR="00F40978" w:rsidRPr="008C1E2D" w:rsidRDefault="00F40978" w:rsidP="00F40978">
      <w:pPr>
        <w:pStyle w:val="Paragrafi"/>
      </w:pPr>
      <w:r w:rsidRPr="008C1E2D">
        <w:t>1. Në mjedisin ku luhen lojërat e fatit duhet të ekspozohet gjithmonë një shenjë e dukshme paralajmëruese për lojtarët, për të treguar mundësinë e ndikimit negativ nga lojërat e fatit.</w:t>
      </w:r>
    </w:p>
    <w:p w:rsidR="00F40978" w:rsidRPr="008C1E2D" w:rsidRDefault="00F40978" w:rsidP="00F40978">
      <w:pPr>
        <w:pStyle w:val="Paragrafi"/>
      </w:pPr>
      <w:r w:rsidRPr="008C1E2D">
        <w:t xml:space="preserve">2. Ndalohet ndërtimi/marrja me qira e mjediseve, me fushë veprimtarie lojëra fati, të ekspozuara ndaj institucioneve fetare, arsimore dhe shëndetësore. </w:t>
      </w:r>
    </w:p>
    <w:p w:rsidR="00F40978" w:rsidRPr="008C1E2D" w:rsidRDefault="00F40978" w:rsidP="00F40978">
      <w:pPr>
        <w:pStyle w:val="Paragrafi"/>
      </w:pPr>
    </w:p>
    <w:p w:rsidR="00F40978" w:rsidRPr="008C1E2D" w:rsidRDefault="00F40978" w:rsidP="00F40978">
      <w:pPr>
        <w:pStyle w:val="NeniNr"/>
      </w:pPr>
      <w:r w:rsidRPr="008C1E2D">
        <w:t>Neni 3/3</w:t>
      </w:r>
    </w:p>
    <w:p w:rsidR="00F40978" w:rsidRPr="008C1E2D" w:rsidRDefault="00F40978" w:rsidP="00F40978">
      <w:pPr>
        <w:pStyle w:val="NeniTitull"/>
      </w:pPr>
      <w:r w:rsidRPr="008C1E2D">
        <w:t xml:space="preserve">Ndalimi i nxitjes për pjesëmarrje në lojërat e fatit </w:t>
      </w:r>
    </w:p>
    <w:p w:rsidR="00F40978" w:rsidRPr="008C1E2D" w:rsidRDefault="00F40978" w:rsidP="00F40978">
      <w:pPr>
        <w:pStyle w:val="Paragrafi"/>
      </w:pPr>
    </w:p>
    <w:p w:rsidR="00F40978" w:rsidRPr="008C1E2D" w:rsidRDefault="00F40978" w:rsidP="00F40978">
      <w:pPr>
        <w:pStyle w:val="Paragrafi"/>
      </w:pPr>
      <w:r w:rsidRPr="008C1E2D">
        <w:t>1. Ndalohet ofrimi, ndihma ose nxitja e një loje apo e lojërave të fatit në Republikën e Shqipërisë, në kundërshtim me dispozitat e këtij ligji.</w:t>
      </w:r>
    </w:p>
    <w:p w:rsidR="00F40978" w:rsidRPr="008C1E2D" w:rsidRDefault="00F40978" w:rsidP="00F40978">
      <w:pPr>
        <w:pStyle w:val="Paragrafi"/>
      </w:pPr>
      <w:r w:rsidRPr="008C1E2D">
        <w:t xml:space="preserve">2. Ndalohet zhvillimi i lojërave on-line nëpërmjet internetit nga shoqëritë e licencuara, sipas këtij ligji, përjashtuar shoqëritë e basteve sportive. </w:t>
      </w:r>
    </w:p>
    <w:p w:rsidR="00F40978" w:rsidRPr="008C1E2D" w:rsidRDefault="00F40978" w:rsidP="00F40978">
      <w:pPr>
        <w:pStyle w:val="Paragrafi"/>
      </w:pPr>
      <w:r w:rsidRPr="008C1E2D">
        <w:t>3. Zhvillimi i lojërave të fatit on-line nëpërmjet internetit lejohet të kryhet nga shoqëritë e basteve sportive, vetëm pas marrjes së autorizimit nga ministri përgjegjës për ekonominë. Këshilli i Ministrave përcakton rregullat e zhvillimit të lojërave të basteve sportive on-line nëpërmjet internetit, si dhe kriteret për dhënien e autorizimit shoqërive të basteve sportive për zhvillimin e lojërave on line nëpërmjet internetit.</w:t>
      </w:r>
    </w:p>
    <w:p w:rsidR="00F40978" w:rsidRPr="008C1E2D" w:rsidRDefault="00F40978" w:rsidP="00F40978">
      <w:pPr>
        <w:pStyle w:val="Paragrafi"/>
      </w:pPr>
      <w:r w:rsidRPr="008C1E2D">
        <w:lastRenderedPageBreak/>
        <w:t>4. Asnjë person fizik apo juridik, i krijuar sipas legjislacionit në fuqi, nuk ka të drejtë t’i japë para hua, kredi një personi tjetër fizik apo juridik për të marrë pjesë në luajtjen e lojërave të fatit.</w:t>
      </w:r>
    </w:p>
    <w:p w:rsidR="00F40978" w:rsidRPr="008C1E2D" w:rsidRDefault="00F40978" w:rsidP="00F40978">
      <w:pPr>
        <w:pStyle w:val="Paragrafi"/>
      </w:pPr>
    </w:p>
    <w:p w:rsidR="00F40978" w:rsidRPr="008C1E2D" w:rsidRDefault="00F40978" w:rsidP="00F40978">
      <w:pPr>
        <w:pStyle w:val="NeniNr"/>
      </w:pPr>
      <w:r w:rsidRPr="008C1E2D">
        <w:t>Neni 3/4</w:t>
      </w:r>
    </w:p>
    <w:p w:rsidR="00F40978" w:rsidRPr="008C1E2D" w:rsidRDefault="00F40978" w:rsidP="00F40978">
      <w:pPr>
        <w:pStyle w:val="NeniTitull"/>
      </w:pPr>
      <w:r w:rsidRPr="008C1E2D">
        <w:t>Publiciteti i lojërave të fatit</w:t>
      </w:r>
    </w:p>
    <w:p w:rsidR="00F40978" w:rsidRPr="008C1E2D" w:rsidRDefault="00F40978" w:rsidP="00F40978">
      <w:pPr>
        <w:pStyle w:val="Paragrafi"/>
      </w:pPr>
    </w:p>
    <w:p w:rsidR="00F40978" w:rsidRPr="008C1E2D" w:rsidRDefault="00F40978" w:rsidP="00F40978">
      <w:pPr>
        <w:pStyle w:val="Paragrafi"/>
      </w:pPr>
      <w:r w:rsidRPr="008C1E2D">
        <w:t>Ndalohet publiciteti për lojëra fati në një mënyrë që shfaqet veçanërisht për të miturit ose që i paraqet lojërat e fatit si zgjidhje të problemeve financiare.</w:t>
      </w:r>
    </w:p>
    <w:p w:rsidR="00F40978" w:rsidRPr="008C1E2D" w:rsidRDefault="00F40978" w:rsidP="00F40978">
      <w:pPr>
        <w:pStyle w:val="Paragrafi"/>
      </w:pPr>
      <w:r w:rsidRPr="008C1E2D">
        <w:t>Ndalohet publiciteti në radio, televizione dhe gazeta.</w:t>
      </w:r>
    </w:p>
    <w:p w:rsidR="00F40978" w:rsidRPr="008C1E2D" w:rsidRDefault="00F40978" w:rsidP="00F40978">
      <w:pPr>
        <w:pStyle w:val="Paragrafi"/>
      </w:pPr>
    </w:p>
    <w:p w:rsidR="00F40978" w:rsidRPr="008C1E2D" w:rsidRDefault="00F40978" w:rsidP="00F40978">
      <w:pPr>
        <w:pStyle w:val="NeniNr"/>
      </w:pPr>
      <w:r w:rsidRPr="008C1E2D">
        <w:t>Neni 3/5</w:t>
      </w:r>
    </w:p>
    <w:p w:rsidR="00F40978" w:rsidRPr="008C1E2D" w:rsidRDefault="00F40978" w:rsidP="00F40978">
      <w:pPr>
        <w:pStyle w:val="NeniTitull"/>
      </w:pPr>
      <w:r w:rsidRPr="008C1E2D">
        <w:t>Lojëra fati promocionale</w:t>
      </w:r>
    </w:p>
    <w:p w:rsidR="00F40978" w:rsidRPr="008C1E2D" w:rsidRDefault="00F40978" w:rsidP="00F40978">
      <w:pPr>
        <w:pStyle w:val="Paragrafi"/>
      </w:pPr>
    </w:p>
    <w:p w:rsidR="00F40978" w:rsidRPr="008C1E2D" w:rsidRDefault="00F40978" w:rsidP="00F40978">
      <w:pPr>
        <w:pStyle w:val="Paragrafi"/>
      </w:pPr>
      <w:r w:rsidRPr="008C1E2D">
        <w:t>1. Subjektet publike ose private mund të organizojnë lojëra fati promocionale në shitjen dhe tregtimin e  mallrave, për efekt promovimi ose publiciteti, pas marrjes së autorizimit përkatës nga ministri përgjegjës për ekonominë.</w:t>
      </w:r>
    </w:p>
    <w:p w:rsidR="00F40978" w:rsidRPr="008C1E2D" w:rsidRDefault="00F40978" w:rsidP="00F40978">
      <w:pPr>
        <w:pStyle w:val="Paragrafi"/>
      </w:pPr>
      <w:r w:rsidRPr="008C1E2D">
        <w:t>2. Mënyrat, format, kriteret dhe rregullat shtesë për publicitetin e lojërave të fatit dhe veprimtaritë promocionale, me qëllim tregtimi, përcaktohen me vendim të Këshillit të Ministrave.”.</w:t>
      </w:r>
    </w:p>
    <w:p w:rsidR="00F40978" w:rsidRPr="008C1E2D" w:rsidRDefault="00F40978" w:rsidP="00F40978">
      <w:pPr>
        <w:pStyle w:val="Paragrafi"/>
      </w:pPr>
    </w:p>
    <w:p w:rsidR="00F40978" w:rsidRPr="008C1E2D" w:rsidRDefault="00F40978" w:rsidP="00F40978">
      <w:pPr>
        <w:pStyle w:val="NeniNr"/>
      </w:pPr>
      <w:r w:rsidRPr="008C1E2D">
        <w:t>Neni 4</w:t>
      </w:r>
    </w:p>
    <w:p w:rsidR="00F40978" w:rsidRPr="008C1E2D" w:rsidRDefault="00F40978" w:rsidP="00F40978">
      <w:pPr>
        <w:pStyle w:val="Paragrafi"/>
      </w:pPr>
    </w:p>
    <w:p w:rsidR="00F40978" w:rsidRPr="008C1E2D" w:rsidRDefault="00F40978" w:rsidP="00F40978">
      <w:pPr>
        <w:pStyle w:val="Paragrafi"/>
      </w:pPr>
      <w:r w:rsidRPr="008C1E2D">
        <w:t>Në nenin 6 bëhen këto ndryshime dhe shtesa:</w:t>
      </w:r>
    </w:p>
    <w:p w:rsidR="00F40978" w:rsidRPr="008C1E2D" w:rsidRDefault="00F40978" w:rsidP="00F40978">
      <w:pPr>
        <w:pStyle w:val="Paragrafi"/>
      </w:pPr>
      <w:r w:rsidRPr="008C1E2D">
        <w:t>1. Në pikën 1 hiqet fjala “Lotaritë” dhe fjalët “Lojërat sportive të fatit” zëvendësohen me fjalët “bastet sportive”.</w:t>
      </w:r>
    </w:p>
    <w:p w:rsidR="00F40978" w:rsidRPr="008C1E2D" w:rsidRDefault="00F40978" w:rsidP="00F40978">
      <w:pPr>
        <w:pStyle w:val="Paragrafi"/>
      </w:pPr>
      <w:r w:rsidRPr="008C1E2D">
        <w:t xml:space="preserve">2. Pas pikës 1 shtohen pikat 1.1 dhe 1.2 me këtë   përmbajtje:  </w:t>
      </w:r>
    </w:p>
    <w:p w:rsidR="00F40978" w:rsidRPr="008C1E2D" w:rsidRDefault="00F40978" w:rsidP="00F40978">
      <w:pPr>
        <w:pStyle w:val="Paragrafi"/>
      </w:pPr>
      <w:r w:rsidRPr="008C1E2D">
        <w:t xml:space="preserve">“1.1. Ministri përgjegjës për ekonominë, me propozimin e Komitetit të Lojërave të Fatit,  jep licencën “Lotari kombëtare” për një periudhë 10-vjeçare. Kjo licencë është një e vetme dhe i jepet aplikantit, i cili përzgjidhet i pari në procesin e konkurrimit, të zhvilluar sipas procedurave të përcaktuara në këtë ligj. Organizatori, për marrjen e licencës “Lotari kombëtare”, duhet të paguajë shumën prej 120 000 000 (njëqind e njëzet milionë) lekësh.  </w:t>
      </w:r>
    </w:p>
    <w:p w:rsidR="00F40978" w:rsidRPr="008C1E2D" w:rsidRDefault="00F40978" w:rsidP="00F40978">
      <w:pPr>
        <w:pStyle w:val="Paragrafi"/>
      </w:pPr>
      <w:r w:rsidRPr="008C1E2D">
        <w:t>1.2. Ministri përgjegjës për ekonominë, me propozimin e Komitetit të Lojërave të Fatit,  jep licencën “Konkurs për parashikimet sportive” për një periudhë 10-vjeçare. Kjo licencë është një e vetme dhe i jepet aplikantit, i cili përzgjidhet i pari në procesin e konkurrimit, të zhvilluar sipas procedurave të përcaktuara në këtë ligj. Organizatori, për marrjen e licencës “Konkurs për parashikimet sportive” duhet të paguajë shumën prej 120 000 000 (njëqind e njëzet milionë) lekësh.”.</w:t>
      </w:r>
    </w:p>
    <w:p w:rsidR="00F40978" w:rsidRPr="008C1E2D" w:rsidRDefault="00F40978" w:rsidP="00F40978">
      <w:pPr>
        <w:pStyle w:val="Paragrafi"/>
      </w:pPr>
      <w:r w:rsidRPr="008C1E2D">
        <w:t>3.  Pas pikës 2 shtohen shkronjat “a” dhe “b” me këtë përmbajtje:</w:t>
      </w:r>
    </w:p>
    <w:p w:rsidR="00F40978" w:rsidRPr="008C1E2D" w:rsidRDefault="00F40978" w:rsidP="00F40978">
      <w:pPr>
        <w:pStyle w:val="Paragrafi"/>
      </w:pPr>
      <w:r w:rsidRPr="008C1E2D">
        <w:t>“a) Procedura për hapjen dhe mbylljen e sallave, ku zhvillohet veprimtaria e lojërave të fatit, përcaktohet me udhëzim të ministrit përgjegjës për ekonominë.</w:t>
      </w:r>
    </w:p>
    <w:p w:rsidR="00F40978" w:rsidRPr="008C1E2D" w:rsidRDefault="00F40978" w:rsidP="00F40978">
      <w:pPr>
        <w:pStyle w:val="Paragrafi"/>
      </w:pPr>
      <w:r w:rsidRPr="008C1E2D">
        <w:t xml:space="preserve">b) Numri i mjeteve të lojërave, për çdo mjedis ku luhen lojëra elektronike, është jo më pak se 10 dhe jo më shumë se 70, për rrethet e kategorisë së parë; jo më pak se 5 dhe jo më shumë se 50, për rrethet e kategorisë së dytë; jo më pak se 3 dhe jo më shumë se 30, për rrethet e kategorisë së tretë.”.  </w:t>
      </w:r>
    </w:p>
    <w:p w:rsidR="00F40978" w:rsidRPr="008C1E2D" w:rsidRDefault="00F40978" w:rsidP="00F40978">
      <w:pPr>
        <w:pStyle w:val="Paragrafi"/>
      </w:pPr>
      <w:r w:rsidRPr="008C1E2D">
        <w:t>4.  Pika  3 shfuqizohet.</w:t>
      </w:r>
    </w:p>
    <w:p w:rsidR="00F40978" w:rsidRPr="008C1E2D" w:rsidRDefault="00F40978" w:rsidP="00F40978">
      <w:pPr>
        <w:pStyle w:val="NeniNr"/>
      </w:pPr>
      <w:r w:rsidRPr="008C1E2D">
        <w:t>Neni 5</w:t>
      </w:r>
    </w:p>
    <w:p w:rsidR="00F40978" w:rsidRPr="008C1E2D" w:rsidRDefault="00F40978" w:rsidP="00F40978">
      <w:pPr>
        <w:pStyle w:val="Paragrafi"/>
        <w:rPr>
          <w:highlight w:val="yellow"/>
        </w:rPr>
      </w:pPr>
    </w:p>
    <w:p w:rsidR="00F40978" w:rsidRPr="008C1E2D" w:rsidRDefault="00F40978" w:rsidP="00F40978">
      <w:pPr>
        <w:pStyle w:val="Paragrafi"/>
      </w:pPr>
      <w:r w:rsidRPr="008C1E2D">
        <w:t>Në nenin 7 bëhen këto ndryshime:</w:t>
      </w:r>
    </w:p>
    <w:p w:rsidR="00F40978" w:rsidRPr="008C1E2D" w:rsidRDefault="00F40978" w:rsidP="00F40978">
      <w:pPr>
        <w:pStyle w:val="Paragrafi"/>
      </w:pPr>
      <w:r w:rsidRPr="008C1E2D">
        <w:t>1. Në paragrafin e parafundit, fjalia “Mënyra, forma dhe shuma e garancive përcaktohen në lejen që i jepet organizatorit, në përputhje me dispozitat e këtij ligji.” zëvendësohet me fjalinë “Mënyra, forma dhe shuma e garancive përcaktohen me udhëzim të ministrit përgjegjës për ekonominë.”.</w:t>
      </w:r>
    </w:p>
    <w:p w:rsidR="00F40978" w:rsidRPr="008C1E2D" w:rsidRDefault="00F40978" w:rsidP="00F40978">
      <w:pPr>
        <w:pStyle w:val="Paragrafi"/>
      </w:pPr>
      <w:r w:rsidRPr="008C1E2D">
        <w:t>2. Pas paragrafit të fundit shtohet paragrafi me këtë përmbajtje:</w:t>
      </w:r>
    </w:p>
    <w:p w:rsidR="00F40978" w:rsidRPr="008C1E2D" w:rsidRDefault="00F40978" w:rsidP="00F40978">
      <w:pPr>
        <w:pStyle w:val="Paragrafi"/>
      </w:pPr>
      <w:r w:rsidRPr="008C1E2D">
        <w:t xml:space="preserve">“Kapitali themeltar i shoqërisë është: jo më i vogël se 10 000 000 (dhjetë milionë) lekë për shoqëritë e licencuara në kategoritë “lojëra aritmetike” dhe “lojëra elektronike”; 20 000 000 (njëzet milionë) lekë për shoqëritë e basteve sportive; 100 000 000 (njëqind milionë) lekë për shoqëritë e licencuara për “Lotarinë kombëtare” dhe “Konkurs për parashikimet sportive”. </w:t>
      </w:r>
    </w:p>
    <w:p w:rsidR="00F40978" w:rsidRPr="008C1E2D" w:rsidRDefault="00F40978" w:rsidP="00F40978">
      <w:pPr>
        <w:pStyle w:val="Paragrafi"/>
      </w:pPr>
      <w:r w:rsidRPr="008C1E2D">
        <w:t xml:space="preserve">Deklaron vendin, ku do të ushtrojë veprimtarinë (sallat, sipas kategorisë së lojërave të fatit), </w:t>
      </w:r>
      <w:r w:rsidRPr="008C1E2D">
        <w:lastRenderedPageBreak/>
        <w:t>pikat e shitjes së biletave dhe mjetet e lojërave të fatit.”.</w:t>
      </w:r>
    </w:p>
    <w:p w:rsidR="00F40978" w:rsidRPr="008C1E2D" w:rsidRDefault="00F40978" w:rsidP="00F40978">
      <w:pPr>
        <w:pStyle w:val="Paragrafi"/>
      </w:pPr>
    </w:p>
    <w:p w:rsidR="00F40978" w:rsidRPr="008C1E2D" w:rsidRDefault="00F40978" w:rsidP="00F40978">
      <w:pPr>
        <w:pStyle w:val="NeniNr"/>
      </w:pPr>
      <w:r w:rsidRPr="008C1E2D">
        <w:t>Neni 6</w:t>
      </w:r>
    </w:p>
    <w:p w:rsidR="00F40978" w:rsidRPr="008C1E2D" w:rsidRDefault="00F40978" w:rsidP="00F40978">
      <w:pPr>
        <w:pStyle w:val="Paragrafi"/>
      </w:pPr>
    </w:p>
    <w:p w:rsidR="00F40978" w:rsidRPr="008C1E2D" w:rsidRDefault="00F40978" w:rsidP="00F40978">
      <w:pPr>
        <w:pStyle w:val="Paragrafi"/>
      </w:pPr>
      <w:r w:rsidRPr="008C1E2D">
        <w:t>Pas nenit 7 shtohen nenet 7/1, 7/2, 7/3, 7/4 e 7/5 me këtë përmbajtje:</w:t>
      </w:r>
    </w:p>
    <w:p w:rsidR="00F40978" w:rsidRPr="008C1E2D" w:rsidRDefault="00F40978" w:rsidP="00F40978">
      <w:pPr>
        <w:pStyle w:val="Paragrafi"/>
      </w:pPr>
    </w:p>
    <w:p w:rsidR="00F40978" w:rsidRPr="008C1E2D" w:rsidRDefault="00F40978" w:rsidP="00F40978">
      <w:pPr>
        <w:pStyle w:val="NeniNr"/>
      </w:pPr>
      <w:r w:rsidRPr="008C1E2D">
        <w:t xml:space="preserve"> “Neni 7/1</w:t>
      </w:r>
    </w:p>
    <w:p w:rsidR="00F40978" w:rsidRPr="008C1E2D" w:rsidRDefault="00F40978" w:rsidP="00F40978">
      <w:pPr>
        <w:pStyle w:val="NeniTitull"/>
      </w:pPr>
      <w:r w:rsidRPr="008C1E2D">
        <w:t>Kërkesa për licencën “Lotari kombëtare”</w:t>
      </w:r>
    </w:p>
    <w:p w:rsidR="00F40978" w:rsidRPr="008C1E2D" w:rsidRDefault="00F40978" w:rsidP="00F40978">
      <w:pPr>
        <w:pStyle w:val="Paragrafi"/>
      </w:pPr>
    </w:p>
    <w:p w:rsidR="00F40978" w:rsidRPr="008C1E2D" w:rsidRDefault="00F40978" w:rsidP="00F40978">
      <w:pPr>
        <w:pStyle w:val="Paragrafi"/>
      </w:pPr>
      <w:r w:rsidRPr="008C1E2D">
        <w:t xml:space="preserve">1. Çdo person juridik apo bashkim personash juridikë, </w:t>
      </w:r>
      <w:smartTag w:uri="urn:schemas-microsoft-com:office:smarttags" w:element="place">
        <w:smartTag w:uri="urn:schemas-microsoft-com:office:smarttags" w:element="country-region">
          <w:r w:rsidRPr="008C1E2D">
            <w:t>vendas</w:t>
          </w:r>
        </w:smartTag>
      </w:smartTag>
      <w:r w:rsidRPr="008C1E2D">
        <w:t xml:space="preserve"> ose i huaj, ka të drejtë të paraqesë kërkesën me shkrim pranë ministrisë përgjegjëse për ekonominë,  për t’u pajisur me licencën “Lotari kombëtare”.</w:t>
      </w:r>
    </w:p>
    <w:p w:rsidR="00F40978" w:rsidRPr="008C1E2D" w:rsidRDefault="00F40978" w:rsidP="00F40978">
      <w:pPr>
        <w:pStyle w:val="Paragrafi"/>
      </w:pPr>
      <w:r w:rsidRPr="008C1E2D">
        <w:t>2. Kërkesa për licencën “Lotari kombëtare” duhet të shoqërohet me dokumentet e mëposhtme, me kushtin që këto dokumente të jenë brenda 3 muajve nga data e miratimit nga organet përgjegjëse shtetërore:</w:t>
      </w:r>
    </w:p>
    <w:p w:rsidR="00F40978" w:rsidRPr="008C1E2D" w:rsidRDefault="00F40978" w:rsidP="00F40978">
      <w:pPr>
        <w:pStyle w:val="Paragrafi"/>
      </w:pPr>
      <w:r>
        <w:t>a)</w:t>
      </w:r>
      <w:r w:rsidRPr="008C1E2D">
        <w:t xml:space="preserve">   dokumentet, origjinale apo të noterizuara, që vërtetojnë se aplikanti është i organizuar në formë shoqërish apo bashkim shoqërish, si dhe aktin e themelimit të shoqërisë e statutin;</w:t>
      </w:r>
    </w:p>
    <w:p w:rsidR="00F40978" w:rsidRPr="008C1E2D" w:rsidRDefault="00F40978" w:rsidP="00F40978">
      <w:pPr>
        <w:pStyle w:val="Paragrafi"/>
      </w:pPr>
      <w:r>
        <w:t xml:space="preserve">b) </w:t>
      </w:r>
      <w:r w:rsidRPr="008C1E2D">
        <w:t>vetëdeklarim që aplikanti nuk është në proces falimentimi apo likuidimi;</w:t>
      </w:r>
    </w:p>
    <w:p w:rsidR="00F40978" w:rsidRPr="008C1E2D" w:rsidRDefault="00F40978" w:rsidP="00F40978">
      <w:pPr>
        <w:pStyle w:val="Paragrafi"/>
      </w:pPr>
      <w:r>
        <w:t xml:space="preserve">c) </w:t>
      </w:r>
      <w:r w:rsidRPr="008C1E2D">
        <w:t>një kopje të noterizuar të lejes për ushtrimin e veprimtarisë në fushën e lojërave të fatit, nëse ka, të dhënë nga organi përkatës i vendit ku aplikanti ka selinë qendrore;</w:t>
      </w:r>
    </w:p>
    <w:p w:rsidR="00F40978" w:rsidRPr="008C1E2D" w:rsidRDefault="00F40978" w:rsidP="00F40978">
      <w:pPr>
        <w:pStyle w:val="Paragrafi"/>
      </w:pPr>
      <w:r w:rsidRPr="008C1E2D">
        <w:t>ç)  deklaratën për burimin e kapitalit, që do të investohet për ushtrimin e veprimtarisë në fushën e lotarisë kombëtare;</w:t>
      </w:r>
    </w:p>
    <w:p w:rsidR="00F40978" w:rsidRPr="008C1E2D" w:rsidRDefault="00F40978" w:rsidP="00F40978">
      <w:pPr>
        <w:pStyle w:val="Paragrafi"/>
      </w:pPr>
      <w:r w:rsidRPr="008C1E2D">
        <w:t>kapitali themeltar i shoqërisë të jetë jo më i vogël se 100 000 000 (njëqind milionë) lekë;</w:t>
      </w:r>
    </w:p>
    <w:p w:rsidR="00F40978" w:rsidRPr="008C1E2D" w:rsidRDefault="00F40978" w:rsidP="00F40978">
      <w:pPr>
        <w:pStyle w:val="Paragrafi"/>
      </w:pPr>
      <w:r w:rsidRPr="008C1E2D">
        <w:t>dh) vërtetimin nga organet tatimore, sipas legjislacionit në fuqi, për shlyerjen e detyrimeve ndaj shtetit, si nga shoqëria që aplikon, ashtu edhe nga çdo subjekt juridik, në rast bashkimi shoqërish;</w:t>
      </w:r>
    </w:p>
    <w:p w:rsidR="00F40978" w:rsidRPr="008C1E2D" w:rsidRDefault="00F40978" w:rsidP="00F40978">
      <w:pPr>
        <w:pStyle w:val="Paragrafi"/>
      </w:pPr>
      <w:r>
        <w:t xml:space="preserve">e) </w:t>
      </w:r>
      <w:r w:rsidRPr="008C1E2D">
        <w:t>planbiznesin për zhvillimin e veprimtarisë për “Lotarinë kombëtare”;</w:t>
      </w:r>
    </w:p>
    <w:p w:rsidR="00F40978" w:rsidRPr="008C1E2D" w:rsidRDefault="00F40978" w:rsidP="00F40978">
      <w:pPr>
        <w:pStyle w:val="Paragrafi"/>
      </w:pPr>
      <w:r w:rsidRPr="008C1E2D">
        <w:t>ë)   dokumentin, që vërteton përvojën e subjektit në fushën e lotarive apo të lojërave të fatit.</w:t>
      </w:r>
    </w:p>
    <w:p w:rsidR="00F40978" w:rsidRPr="008C1E2D" w:rsidRDefault="00F40978" w:rsidP="00F40978">
      <w:pPr>
        <w:pStyle w:val="Paragrafi"/>
      </w:pPr>
      <w:r w:rsidRPr="008C1E2D">
        <w:t xml:space="preserve">3. Informacioni, që shoqëron kërkesën për licencë “Lotari kombëtare”, përfshin, të paktën: </w:t>
      </w:r>
    </w:p>
    <w:p w:rsidR="00F40978" w:rsidRPr="008C1E2D" w:rsidRDefault="00F40978" w:rsidP="00F40978">
      <w:pPr>
        <w:pStyle w:val="Paragrafi"/>
      </w:pPr>
      <w:r>
        <w:t xml:space="preserve">a) </w:t>
      </w:r>
      <w:r w:rsidRPr="008C1E2D">
        <w:t xml:space="preserve">të dhëna personale për aksionerët kryesorë të shoqërisë, që kontrollojnë paketën kryesore të aksioneve dhe pronarët kryesorë përfitues; </w:t>
      </w:r>
    </w:p>
    <w:p w:rsidR="00F40978" w:rsidRPr="008C1E2D" w:rsidRDefault="00F40978" w:rsidP="00F40978">
      <w:pPr>
        <w:pStyle w:val="Paragrafi"/>
      </w:pPr>
      <w:r>
        <w:t xml:space="preserve">b) </w:t>
      </w:r>
      <w:r w:rsidRPr="008C1E2D">
        <w:t xml:space="preserve">të dhëna për organet drejtuese të aplikantit; </w:t>
      </w:r>
    </w:p>
    <w:p w:rsidR="00F40978" w:rsidRPr="008C1E2D" w:rsidRDefault="00F40978" w:rsidP="00F40978">
      <w:pPr>
        <w:pStyle w:val="Paragrafi"/>
      </w:pPr>
      <w:r>
        <w:t xml:space="preserve">c) </w:t>
      </w:r>
      <w:r w:rsidRPr="008C1E2D">
        <w:t xml:space="preserve">të dhëna financiare për kryerjen e biznesit të aksionerëve të aplikantit,  për 3 vitet e fundit, përpara paraqitjes së kërkesës; </w:t>
      </w:r>
    </w:p>
    <w:p w:rsidR="00F40978" w:rsidRPr="008C1E2D" w:rsidRDefault="00F40978" w:rsidP="00F40978">
      <w:pPr>
        <w:pStyle w:val="Paragrafi"/>
      </w:pPr>
      <w:r w:rsidRPr="008C1E2D">
        <w:t xml:space="preserve">ç) vetëdeklarimin nga aksionerët e shoqërisë dhe përfaqësuesit në organet drejtuese të saj se nuk janë në ndjekje penale;  </w:t>
      </w:r>
    </w:p>
    <w:p w:rsidR="00F40978" w:rsidRPr="008C1E2D" w:rsidRDefault="00F40978" w:rsidP="00F40978">
      <w:pPr>
        <w:pStyle w:val="Paragrafi"/>
      </w:pPr>
      <w:r>
        <w:t xml:space="preserve">d) </w:t>
      </w:r>
      <w:r w:rsidRPr="008C1E2D">
        <w:t>çdo informacion tjetër, që mund t’i kërkohet aplikantit nga Komiteti i Lojërave të Fatit dhe që gjykohet i nevojshëm nga ai për fushën e veprimtarisë  që do të ushtrohet.</w:t>
      </w:r>
    </w:p>
    <w:p w:rsidR="00F40978" w:rsidRPr="008C1E2D" w:rsidRDefault="00F40978" w:rsidP="00F40978">
      <w:pPr>
        <w:pStyle w:val="Paragrafi"/>
      </w:pPr>
      <w:r w:rsidRPr="008C1E2D">
        <w:t>4. Kundërshtimi, refuzimi, si dhe privilegjet e kërkuara nga aplikanti, në kundërshtim me përcaktimet e parashikuara në shkronjën “d” të pikës 3 të  këtij neni përbëjnë shkak ligjor për refuzimin e kërkesës nga Komiteti i Lojërave të Fatit.</w:t>
      </w:r>
    </w:p>
    <w:p w:rsidR="00F40978" w:rsidRPr="008C1E2D" w:rsidRDefault="00F40978" w:rsidP="00F40978">
      <w:pPr>
        <w:pStyle w:val="Paragrafi"/>
      </w:pPr>
      <w:r w:rsidRPr="008C1E2D">
        <w:t>5. Ministria përgjegjëse për ekonominë, brenda 30 ditëve pas paraqitjes së një kërkese, publikon njoftimin për konkurrim në lojërat e fatit për “Lotari kombëtare”, të paktën në një gazetë të huaj, me qarkullim ndërkombëtar, në dy gazeta që botohen në vendin tonë, në dy numra radhazi, si dhe në Buletinin e Njoftimeve Publike.</w:t>
      </w:r>
    </w:p>
    <w:p w:rsidR="00F40978" w:rsidRPr="008C1E2D" w:rsidRDefault="00F40978" w:rsidP="00F40978">
      <w:pPr>
        <w:pStyle w:val="Paragrafi"/>
      </w:pPr>
      <w:r w:rsidRPr="008C1E2D">
        <w:t>Njoftimi duhet të përmbajë:</w:t>
      </w:r>
    </w:p>
    <w:p w:rsidR="00F40978" w:rsidRPr="008C1E2D" w:rsidRDefault="00F40978" w:rsidP="00F40978">
      <w:pPr>
        <w:pStyle w:val="Paragrafi"/>
      </w:pPr>
      <w:r>
        <w:t xml:space="preserve">a) </w:t>
      </w:r>
      <w:r w:rsidRPr="008C1E2D">
        <w:t xml:space="preserve">   vendin, datën dhe orën e paraqitjes së dokumenteve;</w:t>
      </w:r>
    </w:p>
    <w:p w:rsidR="00F40978" w:rsidRPr="008C1E2D" w:rsidRDefault="00F40978" w:rsidP="00F40978">
      <w:pPr>
        <w:pStyle w:val="Paragrafi"/>
      </w:pPr>
      <w:r>
        <w:t xml:space="preserve">b) </w:t>
      </w:r>
      <w:r w:rsidRPr="008C1E2D">
        <w:t>gjuhën e paraqitjes së dokumenteve;</w:t>
      </w:r>
    </w:p>
    <w:p w:rsidR="00F40978" w:rsidRPr="008C1E2D" w:rsidRDefault="00F40978" w:rsidP="00F40978">
      <w:pPr>
        <w:pStyle w:val="Paragrafi"/>
      </w:pPr>
      <w:r>
        <w:t>c)</w:t>
      </w:r>
      <w:r w:rsidRPr="008C1E2D">
        <w:t xml:space="preserve">   mënyrën e paraqitjes së dokumenteve;</w:t>
      </w:r>
    </w:p>
    <w:p w:rsidR="00F40978" w:rsidRPr="008C1E2D" w:rsidRDefault="00F40978" w:rsidP="00F40978">
      <w:pPr>
        <w:pStyle w:val="Paragrafi"/>
      </w:pPr>
      <w:r w:rsidRPr="008C1E2D">
        <w:t>ç)   vendin, orën dhe datën e shqyrtimit të dokumenteve.</w:t>
      </w:r>
    </w:p>
    <w:p w:rsidR="00F40978" w:rsidRPr="008C1E2D" w:rsidRDefault="00F40978" w:rsidP="00F40978">
      <w:pPr>
        <w:pStyle w:val="Paragrafi"/>
      </w:pPr>
    </w:p>
    <w:p w:rsidR="00F40978" w:rsidRPr="008C1E2D" w:rsidRDefault="00F40978" w:rsidP="00F40978">
      <w:pPr>
        <w:pStyle w:val="NeniNr"/>
      </w:pPr>
      <w:r w:rsidRPr="008C1E2D">
        <w:t>Neni 7/2</w:t>
      </w:r>
    </w:p>
    <w:p w:rsidR="00F40978" w:rsidRPr="008C1E2D" w:rsidRDefault="00F40978" w:rsidP="00F40978">
      <w:pPr>
        <w:pStyle w:val="NeniTitull"/>
      </w:pPr>
      <w:r w:rsidRPr="008C1E2D">
        <w:t>Përzgjedhja e subjektit</w:t>
      </w:r>
    </w:p>
    <w:p w:rsidR="00F40978" w:rsidRPr="008C1E2D" w:rsidRDefault="00F40978" w:rsidP="00F40978">
      <w:pPr>
        <w:pStyle w:val="Paragrafi"/>
      </w:pPr>
    </w:p>
    <w:p w:rsidR="00F40978" w:rsidRPr="008C1E2D" w:rsidRDefault="00F40978" w:rsidP="00F40978">
      <w:pPr>
        <w:pStyle w:val="Paragrafi"/>
      </w:pPr>
      <w:r w:rsidRPr="008C1E2D">
        <w:t>1. Përzgjedhja e subjekteve për kategorinë e lojërave të fatit “Lotari kombëtare” bëhet nga Komiteti i Lojërave të Fatit, i ngritur pranë ministrisë përgjegjëse për ekonominë.</w:t>
      </w:r>
    </w:p>
    <w:p w:rsidR="00F40978" w:rsidRPr="008C1E2D" w:rsidRDefault="00F40978" w:rsidP="00F40978">
      <w:pPr>
        <w:pStyle w:val="Paragrafi"/>
      </w:pPr>
      <w:r w:rsidRPr="008C1E2D">
        <w:lastRenderedPageBreak/>
        <w:t>Procedurat e përgatitjes së dokumenteve të garës bëhen në përputhje me rregullat e përcaktuara sipas legjislacionit për prokurimin publik.</w:t>
      </w:r>
    </w:p>
    <w:p w:rsidR="00F40978" w:rsidRPr="008C1E2D" w:rsidRDefault="00F40978" w:rsidP="00F40978">
      <w:pPr>
        <w:pStyle w:val="Paragrafi"/>
      </w:pPr>
      <w:r w:rsidRPr="008C1E2D">
        <w:t>2. Komiteti i Lojërave të Fatit bën klasifikimin e subjekteve, sipas kritereve të vlerësimit, të përcaktuara në tabelën nr.1, që i bashkëlidhet këtij ligji.</w:t>
      </w:r>
    </w:p>
    <w:p w:rsidR="00F40978" w:rsidRPr="008C1E2D" w:rsidRDefault="00F40978" w:rsidP="00F40978">
      <w:pPr>
        <w:pStyle w:val="Paragrafi"/>
      </w:pPr>
      <w:r w:rsidRPr="008C1E2D">
        <w:t>3. Anëtarët e Komitetit të Lojërave të Fatit duhet të vetëdeklarojnë, nën përgjegjësinë e tyre, se pjesëmarrja e tyre në këtë komitet nuk përbën shkak për lindjen e një konflikti interesi me subjektet pjesëmarrëse në konkurrim. Për mosdeklarim zbatohen masat e parashikuara në ligjin nr.9367, datë 7.4.2005 “Për parandalimin e konfliktit të interesave në ushtrimin e funksioneve publike”.</w:t>
      </w:r>
    </w:p>
    <w:p w:rsidR="00F40978" w:rsidRPr="008C1E2D" w:rsidRDefault="00F40978" w:rsidP="00F40978">
      <w:pPr>
        <w:pStyle w:val="Paragrafi"/>
      </w:pPr>
      <w:r w:rsidRPr="008C1E2D">
        <w:t>4. Komiteti i Lojërave të Fatit, në përfundim, shpall listën e pjesëmarrësve në konkurrim, duke filluar renditjen nga aplikanti, që ka marrë numrin më të madh të pikëve dhe ia paraqet për miratim ministrit përgjegjës për ekonominë.</w:t>
      </w:r>
    </w:p>
    <w:p w:rsidR="00F40978" w:rsidRPr="008C1E2D" w:rsidRDefault="00F40978" w:rsidP="00F40978">
      <w:pPr>
        <w:pStyle w:val="Paragrafi"/>
      </w:pPr>
      <w:r w:rsidRPr="008C1E2D">
        <w:t>5. Komiteti i Lojërave të Fatit njofton aplikantët, që kanë marrë pjesë në konkurrim,  për  rezultatet përfundimtare.</w:t>
      </w:r>
    </w:p>
    <w:p w:rsidR="00F40978" w:rsidRPr="008C1E2D" w:rsidRDefault="00F40978" w:rsidP="00F40978">
      <w:pPr>
        <w:pStyle w:val="Paragrafi"/>
      </w:pPr>
      <w:r w:rsidRPr="008C1E2D">
        <w:t>6. Kur aplikanti, i renditur i pari në listë, nuk  vazhdon procedurat për marrjen e lejes, brenda 30 ditëve nga data e shpalljes së tij fitues, skualifikohet nga ministri përgjegjës për ekonominë  dhe  shpallet fitues konkurrenti i renditur i dyti, sipas listës së miratuar.</w:t>
      </w:r>
    </w:p>
    <w:p w:rsidR="00F40978" w:rsidRPr="008C1E2D" w:rsidRDefault="00F40978" w:rsidP="00F40978">
      <w:pPr>
        <w:pStyle w:val="Paragrafi"/>
      </w:pPr>
      <w:r w:rsidRPr="008C1E2D">
        <w:t>Në rast se edhe konkurrenti i dytë nuk vazhdon procedurën për marrjen e lejes, ministri urdhëron përsëritjen e garës.</w:t>
      </w:r>
    </w:p>
    <w:p w:rsidR="00F40978" w:rsidRPr="008C1E2D" w:rsidRDefault="00F40978" w:rsidP="00F40978">
      <w:pPr>
        <w:pStyle w:val="Paragrafi"/>
      </w:pPr>
    </w:p>
    <w:p w:rsidR="00F40978" w:rsidRPr="008C1E2D" w:rsidRDefault="00F40978" w:rsidP="00F40978">
      <w:pPr>
        <w:pStyle w:val="NeniNr"/>
      </w:pPr>
      <w:r w:rsidRPr="008C1E2D">
        <w:t>Neni 7/3</w:t>
      </w:r>
    </w:p>
    <w:p w:rsidR="00F40978" w:rsidRPr="008C1E2D" w:rsidRDefault="00F40978" w:rsidP="00F40978">
      <w:pPr>
        <w:pStyle w:val="NeniTitull"/>
      </w:pPr>
      <w:r w:rsidRPr="008C1E2D">
        <w:t>Njoftimi i fituesit</w:t>
      </w:r>
    </w:p>
    <w:p w:rsidR="00F40978" w:rsidRPr="008C1E2D" w:rsidRDefault="00F40978" w:rsidP="00F40978">
      <w:pPr>
        <w:pStyle w:val="Paragrafi"/>
      </w:pPr>
    </w:p>
    <w:p w:rsidR="00F40978" w:rsidRPr="008C1E2D" w:rsidRDefault="00F40978" w:rsidP="00F40978">
      <w:pPr>
        <w:pStyle w:val="Paragrafi"/>
      </w:pPr>
      <w:r w:rsidRPr="008C1E2D">
        <w:t>1. Pas miratimit të listës së pjesëmarrësve në konkurrim, ministri përgjegjës për ekonominë urdhëron publikimin e njoftimit të fituesit në faqen zyrtare të internetit të ministrisë përgjegjëse për ekonominë. Brenda 30 ditëve nga data e shpalljes së njoftimit, aplikanti ka të drejtë të paraqesë çdo ankesë në ministrinë përgjegjëse për ekonominë për procedurën e zhvilluar.</w:t>
      </w:r>
    </w:p>
    <w:p w:rsidR="00F40978" w:rsidRPr="008C1E2D" w:rsidRDefault="00F40978" w:rsidP="00F40978">
      <w:pPr>
        <w:pStyle w:val="Paragrafi"/>
      </w:pPr>
      <w:r w:rsidRPr="008C1E2D">
        <w:t>2. Ministri përgjegjës për ekonominë, brenda 30 ditëve nga data e paraqitjes së ankesës, përfundon shqyrtimin administrativ dhe njofton ankuesin për vendimin e marrë.</w:t>
      </w:r>
    </w:p>
    <w:p w:rsidR="00F40978" w:rsidRPr="008C1E2D" w:rsidRDefault="00F40978" w:rsidP="00F40978">
      <w:pPr>
        <w:pStyle w:val="Paragrafi"/>
      </w:pPr>
    </w:p>
    <w:p w:rsidR="00F40978" w:rsidRPr="008C1E2D" w:rsidRDefault="00F40978" w:rsidP="00F40978">
      <w:pPr>
        <w:pStyle w:val="NeniNr"/>
      </w:pPr>
      <w:r w:rsidRPr="008C1E2D">
        <w:t>Neni 7/4</w:t>
      </w:r>
    </w:p>
    <w:p w:rsidR="00F40978" w:rsidRPr="008C1E2D" w:rsidRDefault="00F40978" w:rsidP="00F40978">
      <w:pPr>
        <w:pStyle w:val="NeniTitull"/>
      </w:pPr>
      <w:r w:rsidRPr="008C1E2D">
        <w:t>Dhënia e licencës  “Lotari kombëtare”</w:t>
      </w:r>
    </w:p>
    <w:p w:rsidR="00F40978" w:rsidRPr="008C1E2D" w:rsidRDefault="00F40978" w:rsidP="00F40978">
      <w:pPr>
        <w:pStyle w:val="Paragrafi"/>
      </w:pPr>
    </w:p>
    <w:p w:rsidR="00F40978" w:rsidRPr="008C1E2D" w:rsidRDefault="00F40978" w:rsidP="00F40978">
      <w:pPr>
        <w:pStyle w:val="Paragrafi"/>
      </w:pPr>
      <w:r w:rsidRPr="008C1E2D">
        <w:t xml:space="preserve">1. Me përfundimin e afatit për paraqitjen e ankesave, ministri përgjegjës për ekonominë miraton dhënien e licencës “Lotari kombëtare”, pasi aplikanti i shpallur fitues të ketë plotësuar kushtet e mëposhtme: </w:t>
      </w:r>
    </w:p>
    <w:p w:rsidR="00F40978" w:rsidRPr="008C1E2D" w:rsidRDefault="00F40978" w:rsidP="00F40978">
      <w:pPr>
        <w:pStyle w:val="Paragrafi"/>
      </w:pPr>
      <w:r w:rsidRPr="008C1E2D">
        <w:t>a) aplikanti, vendas apo i huaj, i shpallur i pari në listë, brenda 30 ditëve duhet të paraqesë një garanci bankare, të lëshuar nga një bankë me seli në territorin e Republikës së Shqipërisë, në emër të ministrisë përgjegjëse për ekonominë, si garanci për pagesën dhe shpërndarjen e çmimeve nga i licencuari për fituesit e lojërave, që përbëjnë pjesë të lotarisë në bazë të rregulloreve, të bëra sipas këtij ligji;</w:t>
      </w:r>
    </w:p>
    <w:p w:rsidR="00F40978" w:rsidRPr="008C1E2D" w:rsidRDefault="00F40978" w:rsidP="00F40978">
      <w:pPr>
        <w:pStyle w:val="Paragrafi"/>
      </w:pPr>
      <w:r w:rsidRPr="008C1E2D">
        <w:t xml:space="preserve">b) aplikanti i huaj, i shpallur i pari në listë, brenda 30 ditëve duhet të regjistrohet si person juridik shqiptar, sipas legjislacionit shqiptar në fuqi. </w:t>
      </w:r>
    </w:p>
    <w:p w:rsidR="00F40978" w:rsidRPr="008C1E2D" w:rsidRDefault="00F40978" w:rsidP="00F40978">
      <w:pPr>
        <w:pStyle w:val="Paragrafi"/>
      </w:pPr>
    </w:p>
    <w:p w:rsidR="00F40978" w:rsidRPr="008C1E2D" w:rsidRDefault="00F40978" w:rsidP="00F40978">
      <w:pPr>
        <w:pStyle w:val="NeniNr"/>
      </w:pPr>
      <w:r w:rsidRPr="008C1E2D">
        <w:t>Neni 7/5</w:t>
      </w:r>
    </w:p>
    <w:p w:rsidR="00F40978" w:rsidRPr="008C1E2D" w:rsidRDefault="00F40978" w:rsidP="00F40978">
      <w:pPr>
        <w:pStyle w:val="NeniTitull"/>
      </w:pPr>
      <w:r w:rsidRPr="008C1E2D">
        <w:t>Konkurs për parashikimet sportive</w:t>
      </w:r>
    </w:p>
    <w:p w:rsidR="00F40978" w:rsidRPr="008C1E2D" w:rsidRDefault="00F40978" w:rsidP="00F40978">
      <w:pPr>
        <w:pStyle w:val="Paragrafi"/>
      </w:pPr>
    </w:p>
    <w:p w:rsidR="00F40978" w:rsidRPr="008C1E2D" w:rsidRDefault="00F40978" w:rsidP="00F40978">
      <w:pPr>
        <w:pStyle w:val="Paragrafi"/>
      </w:pPr>
      <w:r w:rsidRPr="008C1E2D">
        <w:t xml:space="preserve">Procedura për licencim për “Konkurs për parashikimet sportive”, ku përfshihen kërkesa për licencë, përzgjedhja e subjektit, njoftimi i fituesit dhe dhënia e licencës, janë të njëjta me ato të përcaktuara në nenet  7/1, 7/2, 7/3  dhe 7/4 të këtij ligji.”. </w:t>
      </w:r>
    </w:p>
    <w:p w:rsidR="00F40978" w:rsidRPr="008C1E2D" w:rsidRDefault="00F40978" w:rsidP="00F40978">
      <w:pPr>
        <w:pStyle w:val="Paragrafi"/>
      </w:pPr>
    </w:p>
    <w:p w:rsidR="00F40978" w:rsidRPr="008C1E2D" w:rsidRDefault="00F40978" w:rsidP="00F40978">
      <w:pPr>
        <w:pStyle w:val="NeniNr"/>
      </w:pPr>
      <w:r w:rsidRPr="008C1E2D">
        <w:t>Neni 7</w:t>
      </w:r>
    </w:p>
    <w:p w:rsidR="00F40978" w:rsidRPr="008C1E2D" w:rsidRDefault="00F40978" w:rsidP="00F40978">
      <w:pPr>
        <w:pStyle w:val="Paragrafi"/>
      </w:pPr>
    </w:p>
    <w:p w:rsidR="00F40978" w:rsidRPr="008C1E2D" w:rsidRDefault="00F40978" w:rsidP="00F40978">
      <w:pPr>
        <w:pStyle w:val="Paragrafi"/>
      </w:pPr>
      <w:r w:rsidRPr="008C1E2D">
        <w:t>Neni 8 ndryshohet si më poshtë:</w:t>
      </w:r>
    </w:p>
    <w:p w:rsidR="00F40978" w:rsidRPr="008C1E2D" w:rsidRDefault="00F40978" w:rsidP="00F40978">
      <w:pPr>
        <w:pStyle w:val="Paragrafi"/>
      </w:pPr>
      <w:r w:rsidRPr="008C1E2D">
        <w:t xml:space="preserve"> </w:t>
      </w:r>
    </w:p>
    <w:p w:rsidR="00F40978" w:rsidRPr="008C1E2D" w:rsidRDefault="00F40978" w:rsidP="00F40978">
      <w:pPr>
        <w:pStyle w:val="NeniNr"/>
      </w:pPr>
      <w:r w:rsidRPr="008C1E2D">
        <w:lastRenderedPageBreak/>
        <w:t>“Neni 8</w:t>
      </w:r>
    </w:p>
    <w:p w:rsidR="00F40978" w:rsidRPr="008C1E2D" w:rsidRDefault="00F40978" w:rsidP="00F40978">
      <w:pPr>
        <w:pStyle w:val="NeniTitull"/>
      </w:pPr>
      <w:r w:rsidRPr="008C1E2D">
        <w:t>Pezullimi dhe revokimi  i licencës për lojëra fati</w:t>
      </w:r>
    </w:p>
    <w:p w:rsidR="00F40978" w:rsidRPr="008C1E2D" w:rsidRDefault="00F40978" w:rsidP="00F40978">
      <w:pPr>
        <w:pStyle w:val="Paragrafi"/>
      </w:pPr>
    </w:p>
    <w:p w:rsidR="00F40978" w:rsidRPr="008C1E2D" w:rsidRDefault="00F40978" w:rsidP="00F40978">
      <w:pPr>
        <w:pStyle w:val="Paragrafi"/>
      </w:pPr>
      <w:r w:rsidRPr="008C1E2D">
        <w:t>1. Ministri përgjegjës për ekonominë, me propozimin e Komitetit të Lojërave të Fatit,  pezullon për 30 ditë licencën e dhënë për lojëra fati, kur vëren se organizatori:</w:t>
      </w:r>
    </w:p>
    <w:p w:rsidR="00F40978" w:rsidRPr="008C1E2D" w:rsidRDefault="00F40978" w:rsidP="00F40978">
      <w:pPr>
        <w:pStyle w:val="Paragrafi"/>
      </w:pPr>
      <w:r w:rsidRPr="008C1E2D">
        <w:t xml:space="preserve">   nuk shlyen detyrimet ndaj fituesve të lojës;</w:t>
      </w:r>
    </w:p>
    <w:p w:rsidR="00F40978" w:rsidRPr="008C1E2D" w:rsidRDefault="00F40978" w:rsidP="00F40978">
      <w:pPr>
        <w:pStyle w:val="Paragrafi"/>
      </w:pPr>
      <w:r w:rsidRPr="008C1E2D">
        <w:t xml:space="preserve">nuk zbaton ose shkel detyrimet e parashikuara në dispozitat e këtij ligji dhe në aktet nënligjore, të dala në zbatim të tij. </w:t>
      </w:r>
    </w:p>
    <w:p w:rsidR="00F40978" w:rsidRPr="008C1E2D" w:rsidRDefault="00F40978" w:rsidP="00F40978">
      <w:pPr>
        <w:pStyle w:val="Paragrafi"/>
      </w:pPr>
      <w:r w:rsidRPr="008C1E2D">
        <w:t>2. Ministri përgjegjës për ekonominë, me propozimin e Komitetit të Lojërave të Fatit,  revokon licencën e dhënë për lojëra fati kur vëren se:</w:t>
      </w:r>
    </w:p>
    <w:p w:rsidR="00F40978" w:rsidRPr="008C1E2D" w:rsidRDefault="00F40978" w:rsidP="00F40978">
      <w:pPr>
        <w:pStyle w:val="Paragrafi"/>
      </w:pPr>
      <w:r w:rsidRPr="008C1E2D">
        <w:t xml:space="preserve">   licenca është marrë në bazë të dokumenteve të rreme;</w:t>
      </w:r>
    </w:p>
    <w:p w:rsidR="00F40978" w:rsidRPr="008C1E2D" w:rsidRDefault="00F40978" w:rsidP="00F40978">
      <w:pPr>
        <w:pStyle w:val="Paragrafi"/>
      </w:pPr>
      <w:r w:rsidRPr="008C1E2D">
        <w:t>në përfundim të afatit të pezullimit të licencës, organizatori nuk ka shlyer detyrimet ligjore, për të cilën i është pezulluar  licenca;</w:t>
      </w:r>
    </w:p>
    <w:p w:rsidR="00F40978" w:rsidRPr="008C1E2D" w:rsidRDefault="00F40978" w:rsidP="00F40978">
      <w:pPr>
        <w:pStyle w:val="Paragrafi"/>
      </w:pPr>
      <w:r w:rsidRPr="008C1E2D">
        <w:t xml:space="preserve">   zhvillimi i veprimtarisë së subjektit të licencuar bie në kundërshtim me dispozitat e këtij ligji, me akte të tjera nënligjore të dala në zbatim të tij dhe me kushtet e përcaktuara në licencën e dhënë.”.</w:t>
      </w:r>
    </w:p>
    <w:p w:rsidR="00F40978" w:rsidRPr="008C1E2D" w:rsidRDefault="00F40978" w:rsidP="00F40978">
      <w:pPr>
        <w:pStyle w:val="Paragrafi"/>
      </w:pPr>
    </w:p>
    <w:p w:rsidR="00F40978" w:rsidRPr="008C1E2D" w:rsidRDefault="00F40978" w:rsidP="00F40978">
      <w:pPr>
        <w:pStyle w:val="NeniNr"/>
      </w:pPr>
      <w:r w:rsidRPr="008C1E2D">
        <w:t>Neni 8</w:t>
      </w:r>
    </w:p>
    <w:p w:rsidR="00F40978" w:rsidRPr="008C1E2D" w:rsidRDefault="00F40978" w:rsidP="00F40978">
      <w:pPr>
        <w:pStyle w:val="Paragrafi"/>
      </w:pPr>
    </w:p>
    <w:p w:rsidR="00F40978" w:rsidRPr="008C1E2D" w:rsidRDefault="00F40978" w:rsidP="00F40978">
      <w:pPr>
        <w:pStyle w:val="Paragrafi"/>
      </w:pPr>
      <w:r w:rsidRPr="008C1E2D">
        <w:t xml:space="preserve"> Në nenin 10 pika 4 bëhen shtesa dhe ndryshimi si  më poshtë:</w:t>
      </w:r>
    </w:p>
    <w:p w:rsidR="00F40978" w:rsidRPr="008C1E2D" w:rsidRDefault="00F40978" w:rsidP="00F40978">
      <w:pPr>
        <w:pStyle w:val="Paragrafi"/>
      </w:pPr>
      <w:r w:rsidRPr="008C1E2D">
        <w:t>1. Pas nënndarjes “ii” të shkronjës “a”  shtohet nënndarja “iii” me këtë përmbajtje:</w:t>
      </w:r>
    </w:p>
    <w:p w:rsidR="00F40978" w:rsidRPr="008C1E2D" w:rsidRDefault="00F40978" w:rsidP="00F40978">
      <w:pPr>
        <w:pStyle w:val="Paragrafi"/>
      </w:pPr>
      <w:r w:rsidRPr="008C1E2D">
        <w:t>“iii) organizatori i lojës keno paguan tatim për lojërat e fatit 20 për qind mbi vëllimin e qarkullimit, gjithsej, të realizuar në bazë të arkëtimeve nga shitja e biletave. Organizatori, për çdo lojë, duhet t’u kthejë lojtarëve, në formën e fitimit, jo më pak se 50 për qind të shumës së vënë në lojë.”.</w:t>
      </w:r>
    </w:p>
    <w:p w:rsidR="00F40978" w:rsidRPr="008C1E2D" w:rsidRDefault="00F40978" w:rsidP="00F40978">
      <w:pPr>
        <w:pStyle w:val="Paragrafi"/>
      </w:pPr>
      <w:r w:rsidRPr="008C1E2D">
        <w:t>2. Në shkronjën “ç” fjala “lotari” zëvendësohet me fjalët “Lotari kombëtare”.</w:t>
      </w:r>
    </w:p>
    <w:p w:rsidR="00F40978" w:rsidRPr="008C1E2D" w:rsidRDefault="00F40978" w:rsidP="00F40978">
      <w:pPr>
        <w:pStyle w:val="Paragrafi"/>
      </w:pPr>
    </w:p>
    <w:p w:rsidR="00F40978" w:rsidRPr="008C1E2D" w:rsidRDefault="00F40978" w:rsidP="00F40978">
      <w:pPr>
        <w:pStyle w:val="NeniNr"/>
      </w:pPr>
      <w:r w:rsidRPr="008C1E2D">
        <w:t>Neni 9</w:t>
      </w:r>
    </w:p>
    <w:p w:rsidR="00F40978" w:rsidRPr="008C1E2D" w:rsidRDefault="00F40978" w:rsidP="00F40978">
      <w:pPr>
        <w:pStyle w:val="Paragrafi"/>
      </w:pPr>
    </w:p>
    <w:p w:rsidR="00F40978" w:rsidRPr="008C1E2D" w:rsidRDefault="00F40978" w:rsidP="00F40978">
      <w:pPr>
        <w:pStyle w:val="Paragrafi"/>
      </w:pPr>
      <w:r w:rsidRPr="008C1E2D">
        <w:t>Në nenin 13 bëhen këto ndryshime:</w:t>
      </w:r>
    </w:p>
    <w:p w:rsidR="00F40978" w:rsidRPr="008C1E2D" w:rsidRDefault="00F40978" w:rsidP="00F40978">
      <w:pPr>
        <w:pStyle w:val="Paragrafi"/>
      </w:pPr>
      <w:r w:rsidRPr="008C1E2D">
        <w:t>1.  Pika 2 ndryshohet si më poshtë:</w:t>
      </w:r>
    </w:p>
    <w:p w:rsidR="00F40978" w:rsidRPr="008C1E2D" w:rsidRDefault="00F40978" w:rsidP="00F40978">
      <w:pPr>
        <w:pStyle w:val="Paragrafi"/>
      </w:pPr>
      <w:r w:rsidRPr="008C1E2D">
        <w:t>“2.  a)  zonat e përcaktuara në territorin e Republikës së Shqipërisë, ku mund të hapen kazinotë, janë si më poshtë:</w:t>
      </w:r>
    </w:p>
    <w:p w:rsidR="00F40978" w:rsidRPr="008C1E2D" w:rsidRDefault="00F40978" w:rsidP="00F40978">
      <w:pPr>
        <w:pStyle w:val="Paragrafi"/>
      </w:pPr>
      <w:r w:rsidRPr="008C1E2D">
        <w:t>zona turistike e Vlorës;</w:t>
      </w:r>
    </w:p>
    <w:p w:rsidR="00F40978" w:rsidRPr="008C1E2D" w:rsidRDefault="00F40978" w:rsidP="00F40978">
      <w:pPr>
        <w:pStyle w:val="Paragrafi"/>
      </w:pPr>
      <w:r w:rsidRPr="008C1E2D">
        <w:t>zona turistike e Sarandës;</w:t>
      </w:r>
    </w:p>
    <w:p w:rsidR="00F40978" w:rsidRPr="008C1E2D" w:rsidRDefault="00F40978" w:rsidP="00F40978">
      <w:pPr>
        <w:pStyle w:val="Paragrafi"/>
      </w:pPr>
      <w:r w:rsidRPr="008C1E2D">
        <w:t>zona turistike e Durrësit;</w:t>
      </w:r>
    </w:p>
    <w:p w:rsidR="00F40978" w:rsidRPr="008C1E2D" w:rsidRDefault="00F40978" w:rsidP="00F40978">
      <w:pPr>
        <w:pStyle w:val="Paragrafi"/>
      </w:pPr>
      <w:r w:rsidRPr="008C1E2D">
        <w:t>qyteti i Tiranës;</w:t>
      </w:r>
    </w:p>
    <w:p w:rsidR="00F40978" w:rsidRPr="008C1E2D" w:rsidRDefault="00F40978" w:rsidP="00F40978">
      <w:pPr>
        <w:pStyle w:val="Paragrafi"/>
      </w:pPr>
      <w:r w:rsidRPr="008C1E2D">
        <w:t>zona turistike e Velipojës.</w:t>
      </w:r>
    </w:p>
    <w:p w:rsidR="00F40978" w:rsidRPr="008C1E2D" w:rsidRDefault="00F40978" w:rsidP="00F40978">
      <w:pPr>
        <w:pStyle w:val="Paragrafi"/>
      </w:pPr>
      <w:r w:rsidRPr="008C1E2D">
        <w:t>Organizatori, i pajisur me licencë, nuk mund të hapë më shumë se një kazino në këto zona;</w:t>
      </w:r>
    </w:p>
    <w:p w:rsidR="00F40978" w:rsidRPr="008C1E2D" w:rsidRDefault="00F40978" w:rsidP="00F40978">
      <w:pPr>
        <w:pStyle w:val="Paragrafi"/>
      </w:pPr>
      <w:r w:rsidRPr="008C1E2D">
        <w:t>b) numri i kazinove, për çdo zonë, përcaktohet me vendim të Këshillit të Ministrave.</w:t>
      </w:r>
    </w:p>
    <w:p w:rsidR="00F40978" w:rsidRPr="008C1E2D" w:rsidRDefault="00F40978" w:rsidP="00F40978">
      <w:pPr>
        <w:pStyle w:val="Paragrafi"/>
      </w:pPr>
      <w:r w:rsidRPr="008C1E2D">
        <w:t>2.  Në pikën 6 fjalët “në çastin e dhënies së lejes” shfuqizohen.</w:t>
      </w:r>
    </w:p>
    <w:p w:rsidR="00F40978" w:rsidRPr="008C1E2D" w:rsidRDefault="00F40978" w:rsidP="00F40978">
      <w:pPr>
        <w:pStyle w:val="Paragrafi"/>
      </w:pPr>
    </w:p>
    <w:p w:rsidR="00F40978" w:rsidRPr="008C1E2D" w:rsidRDefault="00F40978" w:rsidP="00F40978">
      <w:pPr>
        <w:pStyle w:val="NeniNr"/>
      </w:pPr>
      <w:r w:rsidRPr="008C1E2D">
        <w:t>Neni 10</w:t>
      </w:r>
    </w:p>
    <w:p w:rsidR="00F40978" w:rsidRPr="008C1E2D" w:rsidRDefault="00F40978" w:rsidP="00F40978">
      <w:pPr>
        <w:pStyle w:val="Paragrafi"/>
      </w:pPr>
    </w:p>
    <w:p w:rsidR="00F40978" w:rsidRPr="008C1E2D" w:rsidRDefault="00F40978" w:rsidP="00F40978">
      <w:pPr>
        <w:pStyle w:val="Paragrafi"/>
      </w:pPr>
      <w:r w:rsidRPr="008C1E2D">
        <w:t>Në nenin 14 bëhen shtesa dhe ndryshimi si më poshtë:</w:t>
      </w:r>
    </w:p>
    <w:p w:rsidR="00F40978" w:rsidRPr="008C1E2D" w:rsidRDefault="00F40978" w:rsidP="00F40978">
      <w:pPr>
        <w:pStyle w:val="Paragrafi"/>
      </w:pPr>
      <w:r w:rsidRPr="008C1E2D">
        <w:t>1.  Në fund të pikës 2 shtohen fjalët “në përputhje me rregulloren e miratuar nga ministri përgjegjës për ekonominë”.</w:t>
      </w:r>
    </w:p>
    <w:p w:rsidR="00F40978" w:rsidRPr="008C1E2D" w:rsidRDefault="00F40978" w:rsidP="00F40978">
      <w:pPr>
        <w:pStyle w:val="Paragrafi"/>
      </w:pPr>
      <w:r w:rsidRPr="008C1E2D">
        <w:t>2.  Në pikën 3 fjalët “18 vjeç” zëvendësohen me fjalët “21 vjeç”.</w:t>
      </w:r>
    </w:p>
    <w:p w:rsidR="00F40978" w:rsidRPr="008C1E2D" w:rsidRDefault="00F40978" w:rsidP="00F40978">
      <w:pPr>
        <w:pStyle w:val="Paragrafi"/>
      </w:pPr>
    </w:p>
    <w:p w:rsidR="00F40978" w:rsidRPr="008C1E2D" w:rsidRDefault="00F40978" w:rsidP="00F40978">
      <w:pPr>
        <w:pStyle w:val="NeniNr"/>
      </w:pPr>
      <w:r w:rsidRPr="008C1E2D">
        <w:t>Neni 11</w:t>
      </w:r>
    </w:p>
    <w:p w:rsidR="00F40978" w:rsidRPr="008C1E2D" w:rsidRDefault="00F40978" w:rsidP="00F40978">
      <w:pPr>
        <w:pStyle w:val="Paragrafi"/>
      </w:pPr>
    </w:p>
    <w:p w:rsidR="00F40978" w:rsidRPr="008C1E2D" w:rsidRDefault="00F40978" w:rsidP="00F40978">
      <w:pPr>
        <w:pStyle w:val="Paragrafi"/>
      </w:pPr>
      <w:r w:rsidRPr="008C1E2D">
        <w:t>Neni 16 ndryshohet si më poshtë:</w:t>
      </w:r>
    </w:p>
    <w:p w:rsidR="00F40978" w:rsidRPr="008C1E2D" w:rsidRDefault="00F40978" w:rsidP="00F40978">
      <w:pPr>
        <w:pStyle w:val="Paragrafi"/>
      </w:pPr>
    </w:p>
    <w:p w:rsidR="00F40978" w:rsidRPr="008C1E2D" w:rsidRDefault="00F40978" w:rsidP="00F40978">
      <w:pPr>
        <w:pStyle w:val="NeniNr"/>
      </w:pPr>
      <w:r w:rsidRPr="008C1E2D">
        <w:t>“Neni 16</w:t>
      </w:r>
    </w:p>
    <w:p w:rsidR="00F40978" w:rsidRPr="008C1E2D" w:rsidRDefault="00F40978" w:rsidP="00F40978">
      <w:pPr>
        <w:pStyle w:val="NeniTitull"/>
      </w:pPr>
      <w:r w:rsidRPr="008C1E2D">
        <w:t>Pezullimi dhe revokimi i licencës për kazinotë</w:t>
      </w:r>
    </w:p>
    <w:p w:rsidR="00F40978" w:rsidRPr="008C1E2D" w:rsidRDefault="00F40978" w:rsidP="00F40978">
      <w:pPr>
        <w:pStyle w:val="Paragrafi"/>
      </w:pPr>
    </w:p>
    <w:p w:rsidR="00F40978" w:rsidRPr="008C1E2D" w:rsidRDefault="00F40978" w:rsidP="00F40978">
      <w:pPr>
        <w:pStyle w:val="Paragrafi"/>
      </w:pPr>
      <w:r w:rsidRPr="008C1E2D">
        <w:t>1. Ministri përgjegjës për ekonominë, me propozimin e Komitetit të Lojërave të Fatit,  pezullon për 30 ditë licencën e dhënë për kazino, kur vëren se organizatori:</w:t>
      </w:r>
    </w:p>
    <w:p w:rsidR="00F40978" w:rsidRPr="008C1E2D" w:rsidRDefault="00F40978" w:rsidP="00F40978">
      <w:pPr>
        <w:pStyle w:val="Paragrafi"/>
      </w:pPr>
      <w:r w:rsidRPr="008C1E2D">
        <w:t>nuk shlyen detyrimet ndaj fituesve të lojës;</w:t>
      </w:r>
    </w:p>
    <w:p w:rsidR="00F40978" w:rsidRPr="008C1E2D" w:rsidRDefault="00F40978" w:rsidP="00F40978">
      <w:pPr>
        <w:pStyle w:val="Paragrafi"/>
      </w:pPr>
      <w:r w:rsidRPr="008C1E2D">
        <w:t xml:space="preserve">nuk zbaton ose shkel detyrimet e parashikuara në dispozitat e këtij ligji dhe në aktet nënligjore të dala në zbatim të tij. </w:t>
      </w:r>
    </w:p>
    <w:p w:rsidR="00F40978" w:rsidRPr="008C1E2D" w:rsidRDefault="00F40978" w:rsidP="00F40978">
      <w:pPr>
        <w:pStyle w:val="Paragrafi"/>
      </w:pPr>
      <w:r w:rsidRPr="008C1E2D">
        <w:t>2. Ministri përgjegjës për ekonominë, me propozimin e Komitetit të Lojërave të Fatit,  revokon licencën e dhënë për kazino kur vëren se:</w:t>
      </w:r>
    </w:p>
    <w:p w:rsidR="00F40978" w:rsidRPr="008C1E2D" w:rsidRDefault="00F40978" w:rsidP="00F40978">
      <w:pPr>
        <w:pStyle w:val="Paragrafi"/>
      </w:pPr>
      <w:r w:rsidRPr="008C1E2D">
        <w:t xml:space="preserve">licenca është marrë në bazë të dokumenteve të rreme; </w:t>
      </w:r>
    </w:p>
    <w:p w:rsidR="00F40978" w:rsidRPr="008C1E2D" w:rsidRDefault="00F40978" w:rsidP="00F40978">
      <w:pPr>
        <w:pStyle w:val="Paragrafi"/>
      </w:pPr>
      <w:r w:rsidRPr="008C1E2D">
        <w:t>në përfundim të afatit të pezullimit të licencës, organizatori nuk ka shlyer detyrimet ligjore, për të cilën i është pezulluar  licenca;</w:t>
      </w:r>
    </w:p>
    <w:p w:rsidR="00F40978" w:rsidRPr="008C1E2D" w:rsidRDefault="00F40978" w:rsidP="00F40978">
      <w:pPr>
        <w:pStyle w:val="Paragrafi"/>
      </w:pPr>
      <w:r w:rsidRPr="008C1E2D">
        <w:t>zhvillimi i veprimtarisë së subjektit të licencuar bie në kundërshtim me dispozitat e këtij ligji, me aktet të tjera nënligjore të dala në zbatim të tij dhe me kushtet e përcaktuara në licencën e dhënë.”.</w:t>
      </w:r>
    </w:p>
    <w:p w:rsidR="00F40978" w:rsidRPr="008C1E2D" w:rsidRDefault="00F40978" w:rsidP="00F40978">
      <w:pPr>
        <w:pStyle w:val="Paragrafi"/>
      </w:pPr>
    </w:p>
    <w:p w:rsidR="00F40978" w:rsidRPr="008C1E2D" w:rsidRDefault="00F40978" w:rsidP="00F40978">
      <w:pPr>
        <w:pStyle w:val="NeniNr"/>
      </w:pPr>
      <w:r w:rsidRPr="008C1E2D">
        <w:t>Neni 12</w:t>
      </w:r>
    </w:p>
    <w:p w:rsidR="00F40978" w:rsidRPr="008C1E2D" w:rsidRDefault="00F40978" w:rsidP="00F40978">
      <w:pPr>
        <w:pStyle w:val="Paragrafi"/>
      </w:pPr>
    </w:p>
    <w:p w:rsidR="00F40978" w:rsidRPr="008C1E2D" w:rsidRDefault="00F40978" w:rsidP="00F40978">
      <w:pPr>
        <w:pStyle w:val="Paragrafi"/>
      </w:pPr>
      <w:r w:rsidRPr="008C1E2D">
        <w:t>Në nenin  21 pika 3 ndryshohet si më poshtë:</w:t>
      </w:r>
    </w:p>
    <w:p w:rsidR="00F40978" w:rsidRPr="008C1E2D" w:rsidRDefault="00F40978" w:rsidP="00F40978">
      <w:pPr>
        <w:pStyle w:val="Paragrafi"/>
      </w:pPr>
      <w:r w:rsidRPr="008C1E2D">
        <w:t>“3. Miratimi i rregullores së paraqitur nga organizatori bëhet nga ministri përgjegjës për ekonominë, me propozimin e Komitetit të Lojërave të Fatit, në përputhje me kriteret e përcaktuara në rregulloren e miratuar për këtë qëllim.”.</w:t>
      </w:r>
    </w:p>
    <w:p w:rsidR="00F40978" w:rsidRPr="008C1E2D" w:rsidRDefault="00F40978" w:rsidP="00F40978">
      <w:pPr>
        <w:pStyle w:val="NeniNr"/>
      </w:pPr>
    </w:p>
    <w:p w:rsidR="00F40978" w:rsidRPr="008C1E2D" w:rsidRDefault="00F40978" w:rsidP="00F40978">
      <w:pPr>
        <w:pStyle w:val="NeniNr"/>
      </w:pPr>
      <w:r w:rsidRPr="008C1E2D">
        <w:t>Neni 13</w:t>
      </w:r>
    </w:p>
    <w:p w:rsidR="00F40978" w:rsidRPr="008C1E2D" w:rsidRDefault="00F40978" w:rsidP="00F40978">
      <w:pPr>
        <w:pStyle w:val="Paragrafi"/>
      </w:pPr>
    </w:p>
    <w:p w:rsidR="00F40978" w:rsidRPr="008C1E2D" w:rsidRDefault="00F40978" w:rsidP="00F40978">
      <w:pPr>
        <w:pStyle w:val="Paragrafi"/>
      </w:pPr>
      <w:r w:rsidRPr="008C1E2D">
        <w:t>Në nenin 24, në fund të pikës 1 shtohet paragrafi me këtë përmbajtje:</w:t>
      </w:r>
    </w:p>
    <w:p w:rsidR="00F40978" w:rsidRPr="008C1E2D" w:rsidRDefault="00F40978" w:rsidP="00F40978">
      <w:pPr>
        <w:pStyle w:val="Paragrafi"/>
      </w:pPr>
      <w:r w:rsidRPr="008C1E2D">
        <w:t>“Të këtë miratimin e ministrisë përgjegjëse për rendin publik për kontrollin dhe sigurinë e hipodromit.”.</w:t>
      </w:r>
    </w:p>
    <w:p w:rsidR="00F40978" w:rsidRPr="008C1E2D" w:rsidRDefault="00F40978" w:rsidP="00F40978">
      <w:pPr>
        <w:pStyle w:val="Paragrafi"/>
      </w:pPr>
    </w:p>
    <w:p w:rsidR="00F40978" w:rsidRPr="008C1E2D" w:rsidRDefault="00F40978" w:rsidP="00F40978">
      <w:pPr>
        <w:pStyle w:val="NeniNr"/>
      </w:pPr>
      <w:r w:rsidRPr="008C1E2D">
        <w:t>Neni 14</w:t>
      </w:r>
    </w:p>
    <w:p w:rsidR="00F40978" w:rsidRPr="008C1E2D" w:rsidRDefault="00F40978" w:rsidP="00F40978">
      <w:pPr>
        <w:pStyle w:val="Paragrafi"/>
      </w:pPr>
    </w:p>
    <w:p w:rsidR="00F40978" w:rsidRPr="008C1E2D" w:rsidRDefault="00F40978" w:rsidP="00F40978">
      <w:pPr>
        <w:pStyle w:val="Paragrafi"/>
      </w:pPr>
      <w:r w:rsidRPr="008C1E2D">
        <w:t>Neni 26 ndryshohet si më poshtë:</w:t>
      </w:r>
    </w:p>
    <w:p w:rsidR="00F40978" w:rsidRPr="008C1E2D" w:rsidRDefault="00F40978" w:rsidP="00F40978">
      <w:pPr>
        <w:pStyle w:val="Paragrafi"/>
      </w:pPr>
    </w:p>
    <w:p w:rsidR="00F40978" w:rsidRPr="008C1E2D" w:rsidRDefault="00F40978" w:rsidP="00F40978">
      <w:pPr>
        <w:pStyle w:val="NeniNr"/>
      </w:pPr>
      <w:r w:rsidRPr="008C1E2D">
        <w:t xml:space="preserve"> “Neni 26</w:t>
      </w:r>
    </w:p>
    <w:p w:rsidR="00F40978" w:rsidRPr="008C1E2D" w:rsidRDefault="00F40978" w:rsidP="00F40978">
      <w:pPr>
        <w:pStyle w:val="NeniTitull"/>
      </w:pPr>
      <w:r w:rsidRPr="008C1E2D">
        <w:t>Pezullimi dhe revokimi i licencës për hipodromet</w:t>
      </w:r>
    </w:p>
    <w:p w:rsidR="00F40978" w:rsidRPr="008C1E2D" w:rsidRDefault="00F40978" w:rsidP="00F40978">
      <w:pPr>
        <w:pStyle w:val="Paragrafi"/>
      </w:pPr>
    </w:p>
    <w:p w:rsidR="00F40978" w:rsidRPr="008C1E2D" w:rsidRDefault="00F40978" w:rsidP="00F40978">
      <w:pPr>
        <w:pStyle w:val="Paragrafi"/>
      </w:pPr>
      <w:r w:rsidRPr="008C1E2D">
        <w:t>1. Ministri përgjegjës për ekonominë, me propozimin e Komitetit të Lojërave të Fatit,  pezullon për 30 ditë licencën e dhënë për hipodrom, kur vëren se organizatori:</w:t>
      </w:r>
    </w:p>
    <w:p w:rsidR="00F40978" w:rsidRPr="008C1E2D" w:rsidRDefault="00F40978" w:rsidP="00F40978">
      <w:pPr>
        <w:pStyle w:val="Paragrafi"/>
      </w:pPr>
      <w:r w:rsidRPr="008C1E2D">
        <w:t>nuk shlyen detyrimet ndaj fituesve të lojës;</w:t>
      </w:r>
    </w:p>
    <w:p w:rsidR="00F40978" w:rsidRPr="008C1E2D" w:rsidRDefault="00F40978" w:rsidP="00F40978">
      <w:pPr>
        <w:pStyle w:val="Paragrafi"/>
      </w:pPr>
      <w:r w:rsidRPr="008C1E2D">
        <w:t xml:space="preserve">nuk zbaton ose shkel detyrimet e parashikuara në dispozitat e këtij ligji dhe në aktet nënligjore të dala në zbatim të tij. </w:t>
      </w:r>
    </w:p>
    <w:p w:rsidR="00F40978" w:rsidRPr="008C1E2D" w:rsidRDefault="00F40978" w:rsidP="00F40978">
      <w:pPr>
        <w:pStyle w:val="Paragrafi"/>
      </w:pPr>
      <w:r w:rsidRPr="008C1E2D">
        <w:t>2. Ministri përgjegjës për ekonominë, me propozimin e Komitetit të Lojërave të Fatit,  revokon licencën e dhënë për hipodrom kur vëren se:</w:t>
      </w:r>
    </w:p>
    <w:p w:rsidR="00F40978" w:rsidRPr="008C1E2D" w:rsidRDefault="00F40978" w:rsidP="00F40978">
      <w:pPr>
        <w:pStyle w:val="Paragrafi"/>
      </w:pPr>
      <w:r w:rsidRPr="008C1E2D">
        <w:t>licenca është marrë në bazë të dokumenteve të rreme;</w:t>
      </w:r>
    </w:p>
    <w:p w:rsidR="00F40978" w:rsidRPr="008C1E2D" w:rsidRDefault="00F40978" w:rsidP="00F40978">
      <w:pPr>
        <w:pStyle w:val="Paragrafi"/>
      </w:pPr>
      <w:r w:rsidRPr="008C1E2D">
        <w:t>në përfundim të afatit të pezullimit të lejes, organizatori nuk ka shlyer detyrimet ligjore, për të cilën i është pezulluar  licenca;</w:t>
      </w:r>
    </w:p>
    <w:p w:rsidR="00F40978" w:rsidRPr="008C1E2D" w:rsidRDefault="00F40978" w:rsidP="00F40978">
      <w:pPr>
        <w:pStyle w:val="Paragrafi"/>
      </w:pPr>
      <w:r w:rsidRPr="008C1E2D">
        <w:t>zhvillimi i veprimtarisë së subjektit të licencuar bie në kundërshtim me dispozitat e këtij ligji, me akte të tjera nënligjore të dala në zbatim të tij dhe me kushtet e përcaktuara në licencën e dhënë.”.</w:t>
      </w:r>
    </w:p>
    <w:p w:rsidR="00F40978" w:rsidRPr="008C1E2D" w:rsidRDefault="00F40978" w:rsidP="00F40978">
      <w:pPr>
        <w:pStyle w:val="Paragrafi"/>
      </w:pPr>
    </w:p>
    <w:p w:rsidR="00F40978" w:rsidRPr="008C1E2D" w:rsidRDefault="00F40978" w:rsidP="00F40978">
      <w:pPr>
        <w:pStyle w:val="NeniNr"/>
      </w:pPr>
      <w:r w:rsidRPr="008C1E2D">
        <w:t>Neni 15</w:t>
      </w:r>
    </w:p>
    <w:p w:rsidR="00F40978" w:rsidRPr="008C1E2D" w:rsidRDefault="00F40978" w:rsidP="00F40978">
      <w:pPr>
        <w:pStyle w:val="Paragrafi"/>
      </w:pPr>
    </w:p>
    <w:p w:rsidR="00F40978" w:rsidRPr="008C1E2D" w:rsidRDefault="00F40978" w:rsidP="00F40978">
      <w:pPr>
        <w:pStyle w:val="Paragrafi"/>
      </w:pPr>
      <w:r w:rsidRPr="008C1E2D">
        <w:t>Në nenin  27 pika 2 ndryshohet si më poshtë:</w:t>
      </w:r>
    </w:p>
    <w:p w:rsidR="00F40978" w:rsidRPr="008C1E2D" w:rsidRDefault="00F40978" w:rsidP="00F40978">
      <w:pPr>
        <w:pStyle w:val="Paragrafi"/>
      </w:pPr>
      <w:r w:rsidRPr="008C1E2D">
        <w:t>“2. Shkelja e dispozitave të këtij ligji dhe akteve nënligjore të dala në zbatim të tij nga organizatori i lojërave të fatit, kazinove dhe  hipodromeve, nëse nuk përbën vepër penale, përbën kundërvajtje administrative dhe dënohet me gjobë si më poshtë:</w:t>
      </w:r>
    </w:p>
    <w:p w:rsidR="00F40978" w:rsidRPr="008C1E2D" w:rsidRDefault="00F40978" w:rsidP="00F40978">
      <w:pPr>
        <w:pStyle w:val="Paragrafi"/>
      </w:pPr>
      <w:r w:rsidRPr="008C1E2D">
        <w:t>Gjobë në masën prej 500 000 (pesëqind mijë) lekësh:</w:t>
      </w:r>
    </w:p>
    <w:p w:rsidR="00F40978" w:rsidRPr="008C1E2D" w:rsidRDefault="00F40978" w:rsidP="00F40978">
      <w:pPr>
        <w:pStyle w:val="Paragrafi"/>
      </w:pPr>
      <w:r w:rsidRPr="008C1E2D">
        <w:t>a) kur ka ndryshuar selia dhe adresa e sallave të lojërave të shoqërisë dhe nuk ka njoftuar strukturat përgjegjëse në ministrinë përgjegjëse për ekonominë;</w:t>
      </w:r>
    </w:p>
    <w:p w:rsidR="00F40978" w:rsidRPr="008C1E2D" w:rsidRDefault="00F40978" w:rsidP="00F40978">
      <w:pPr>
        <w:pStyle w:val="Paragrafi"/>
      </w:pPr>
      <w:r w:rsidRPr="008C1E2D">
        <w:t>b) kur ka ndryshuar personeli i punësuar në shoqëri pa njoftimet paraprake;</w:t>
      </w:r>
    </w:p>
    <w:p w:rsidR="00F40978" w:rsidRPr="008C1E2D" w:rsidRDefault="00F40978" w:rsidP="00F40978">
      <w:pPr>
        <w:pStyle w:val="Paragrafi"/>
      </w:pPr>
      <w:r w:rsidRPr="008C1E2D">
        <w:t>c) kur konstatohen të punësuar, të pranishëm në mjediset e lojërave të fatit ose lojtarë nën moshën e ndaluar, sipas dispozitave të këtij ligji;</w:t>
      </w:r>
    </w:p>
    <w:p w:rsidR="00F40978" w:rsidRPr="008C1E2D" w:rsidRDefault="00F40978" w:rsidP="00F40978">
      <w:pPr>
        <w:pStyle w:val="Paragrafi"/>
      </w:pPr>
      <w:r w:rsidRPr="008C1E2D">
        <w:t>ç) kur rregulloret e lojërave të fatit nuk janë afishuar në mjediset e lojërave, në mënyrë të dukshme, në dispozicion të lojtarëve, si dhe kur këto mjedise janë të ekspozuara ndaj institucioneve fetare, arsimore dhe shëndetësore;</w:t>
      </w:r>
    </w:p>
    <w:p w:rsidR="00F40978" w:rsidRPr="008C1E2D" w:rsidRDefault="00F40978" w:rsidP="00F40978">
      <w:pPr>
        <w:pStyle w:val="Paragrafi"/>
      </w:pPr>
      <w:r w:rsidRPr="008C1E2D">
        <w:t>d) kur kryhet publicitet për lojëra fati në kundërshtim me nenin 3/4 të këtij ligji;</w:t>
      </w:r>
    </w:p>
    <w:p w:rsidR="00F40978" w:rsidRPr="008C1E2D" w:rsidRDefault="00F40978" w:rsidP="00F40978">
      <w:pPr>
        <w:pStyle w:val="Paragrafi"/>
      </w:pPr>
      <w:r w:rsidRPr="008C1E2D">
        <w:t>dh) kur konstatohet parregullsi në funksionimin e aparaturave të lojërave të fatit;</w:t>
      </w:r>
    </w:p>
    <w:p w:rsidR="00F40978" w:rsidRPr="008C1E2D" w:rsidRDefault="00F40978" w:rsidP="00F40978">
      <w:pPr>
        <w:pStyle w:val="Paragrafi"/>
      </w:pPr>
      <w:r w:rsidRPr="008C1E2D">
        <w:t>e) kur nuk sigurohet kontrolli dhe identifikimi i personave në kazino.</w:t>
      </w:r>
    </w:p>
    <w:p w:rsidR="00F40978" w:rsidRPr="008C1E2D" w:rsidRDefault="00F40978" w:rsidP="00F40978">
      <w:pPr>
        <w:pStyle w:val="Paragrafi"/>
      </w:pPr>
      <w:r w:rsidRPr="008C1E2D">
        <w:t>Gjobë në masën prej 1 000 000 (një milion) lekësh:</w:t>
      </w:r>
    </w:p>
    <w:p w:rsidR="00F40978" w:rsidRPr="008C1E2D" w:rsidRDefault="00F40978" w:rsidP="00F40978">
      <w:pPr>
        <w:pStyle w:val="Paragrafi"/>
      </w:pPr>
      <w:r w:rsidRPr="008C1E2D">
        <w:t>a) kur konstatohet mosfunksionim i sistemit audioviziv në kazino;</w:t>
      </w:r>
    </w:p>
    <w:p w:rsidR="00F40978" w:rsidRPr="008C1E2D" w:rsidRDefault="00F40978" w:rsidP="00F40978">
      <w:pPr>
        <w:pStyle w:val="Paragrafi"/>
      </w:pPr>
      <w:r w:rsidRPr="008C1E2D">
        <w:t xml:space="preserve">b) kur të dhënat e depozituara nga shoqëria pranë Komitetit të Lojërave të Fatit nuk përputhen me ato të konstatuara gjatë kontrollit; </w:t>
      </w:r>
    </w:p>
    <w:p w:rsidR="00F40978" w:rsidRPr="008C1E2D" w:rsidRDefault="00F40978" w:rsidP="00F40978">
      <w:pPr>
        <w:pStyle w:val="Paragrafi"/>
      </w:pPr>
      <w:r w:rsidRPr="008C1E2D">
        <w:t xml:space="preserve">c) kur konstatohen pajisje të padeklaruara dhe të pacertifikuara; </w:t>
      </w:r>
    </w:p>
    <w:p w:rsidR="00F40978" w:rsidRPr="008C1E2D" w:rsidRDefault="00F40978" w:rsidP="00F40978">
      <w:pPr>
        <w:pStyle w:val="Paragrafi"/>
      </w:pPr>
      <w:r w:rsidRPr="008C1E2D">
        <w:t>ç) kur konstatohet  që organizatori ka shkelur kërkesat e nenit 3/3 të këtij ligji.</w:t>
      </w:r>
    </w:p>
    <w:p w:rsidR="00F40978" w:rsidRPr="008C1E2D" w:rsidRDefault="00F40978" w:rsidP="00F40978">
      <w:pPr>
        <w:pStyle w:val="Paragrafi"/>
      </w:pPr>
      <w:r w:rsidRPr="008C1E2D">
        <w:t>Njësia e Mbikëqyrjes së Lojërave të Fatit vendos sanksionet e parashikuara në këtë nen.</w:t>
      </w:r>
    </w:p>
    <w:p w:rsidR="00F40978" w:rsidRPr="008C1E2D" w:rsidRDefault="00F40978" w:rsidP="00F40978">
      <w:pPr>
        <w:pStyle w:val="Paragrafi"/>
      </w:pPr>
    </w:p>
    <w:p w:rsidR="00F40978" w:rsidRPr="008C1E2D" w:rsidRDefault="00F40978" w:rsidP="00F40978">
      <w:pPr>
        <w:pStyle w:val="NeniNr"/>
      </w:pPr>
      <w:r w:rsidRPr="008C1E2D">
        <w:t>Neni 16</w:t>
      </w:r>
    </w:p>
    <w:p w:rsidR="00F40978" w:rsidRPr="008C1E2D" w:rsidRDefault="00F40978" w:rsidP="00F40978">
      <w:pPr>
        <w:pStyle w:val="Paragrafi"/>
      </w:pPr>
    </w:p>
    <w:p w:rsidR="00F40978" w:rsidRPr="008C1E2D" w:rsidRDefault="00F40978" w:rsidP="00F40978">
      <w:pPr>
        <w:pStyle w:val="Paragrafi"/>
      </w:pPr>
      <w:r w:rsidRPr="008C1E2D">
        <w:t>Neni 27/1 ndryshohet si më poshtë:</w:t>
      </w:r>
    </w:p>
    <w:p w:rsidR="00F40978" w:rsidRPr="008C1E2D" w:rsidRDefault="00F40978" w:rsidP="00F40978">
      <w:pPr>
        <w:pStyle w:val="Paragrafi"/>
      </w:pPr>
    </w:p>
    <w:p w:rsidR="00F40978" w:rsidRPr="008C1E2D" w:rsidRDefault="00F40978" w:rsidP="00F40978">
      <w:pPr>
        <w:pStyle w:val="NeniNr"/>
      </w:pPr>
      <w:r w:rsidRPr="008C1E2D">
        <w:t>“Neni 27/1</w:t>
      </w:r>
    </w:p>
    <w:p w:rsidR="00F40978" w:rsidRPr="008C1E2D" w:rsidRDefault="00F40978" w:rsidP="00F40978">
      <w:pPr>
        <w:pStyle w:val="Paragrafi"/>
      </w:pPr>
    </w:p>
    <w:p w:rsidR="00F40978" w:rsidRPr="008C1E2D" w:rsidRDefault="00F40978" w:rsidP="00F40978">
      <w:pPr>
        <w:pStyle w:val="Paragrafi"/>
      </w:pPr>
      <w:r w:rsidRPr="008C1E2D">
        <w:t>1. Kur organizatori, person i tatueshëm me tatimin mbi lojërat e fatit, nuk bën deklarimin brenda 15 ditëve nga afati i përcaktuar në nenin 10 të ligjit nr.8438, datë 28.12.1998 “Për tatimin mbi të ardhurat”, të ndryshuar, detyrohet të paguajë shumën 20 për qind të detyrimit për t’u paguar, por jo më pak se 10 mijë lekë.</w:t>
      </w:r>
    </w:p>
    <w:p w:rsidR="00F40978" w:rsidRPr="008C1E2D" w:rsidRDefault="00F40978" w:rsidP="00F40978">
      <w:pPr>
        <w:pStyle w:val="Paragrafi"/>
      </w:pPr>
      <w:r w:rsidRPr="008C1E2D">
        <w:t>2. Kur organizatori i lojërave të fatit, person i tatueshëm me tatimin mbi lojërat e fatit, nuk bën deklarimin brenda 30 ditëve nga afati i përcaktuar në nenin 10 të ligjit nr.8438, datë 28.12.1998 “Për tatimin mbi të ardhurat”, të ndryshuar, detyrohet të paguajë një dënim 50 për qind të detyrimit për t’u paguar, por jo më pak se 25 mijë lekë.</w:t>
      </w:r>
    </w:p>
    <w:p w:rsidR="00F40978" w:rsidRPr="008C1E2D" w:rsidRDefault="00F40978" w:rsidP="00F40978">
      <w:pPr>
        <w:pStyle w:val="Paragrafi"/>
      </w:pPr>
      <w:r w:rsidRPr="008C1E2D">
        <w:t xml:space="preserve">3. Kur organizatori i lojërave të fatit, person i tatueshëm me tatimin mbi lojërat e fatit, nuk paguan brenda 15 ditëve nga afati i përcaktuar në nenin 10 të ligjit nr.8438, datë 28.12.1998 “Për tatimin mbi të ardhurat”, të ndryshuar, detyrohet të paguajë një dënim 20 për qind të detyrimit të papaguar.   </w:t>
      </w:r>
    </w:p>
    <w:p w:rsidR="00F40978" w:rsidRPr="008C1E2D" w:rsidRDefault="00F40978" w:rsidP="00F40978">
      <w:pPr>
        <w:pStyle w:val="Paragrafi"/>
      </w:pPr>
      <w:r w:rsidRPr="008C1E2D">
        <w:t>4. Nëse personi i tatueshëm bën dy shkelje njëkohësisht, edhe deklarim të vonuar, edhe pagesë të vonuar, zbatohet dënimi vetëm për deklarim të vonuar.</w:t>
      </w:r>
    </w:p>
    <w:p w:rsidR="00F40978" w:rsidRPr="008C1E2D" w:rsidRDefault="00F40978" w:rsidP="00F40978">
      <w:pPr>
        <w:pStyle w:val="Paragrafi"/>
      </w:pPr>
      <w:r w:rsidRPr="008C1E2D">
        <w:t xml:space="preserve">5. Kur organizatori i lojërave të fatit, person i tatueshëm me tatimin mbi lojërat e fatit, nuk paguan brenda 30 ditëve nga afati i përcaktuar në nenin 10 të ligjit nr.8438, datë 28.12.1998 “Për tatimin mbi të ardhurat”, të ndryshuar, detyrohet të paguajë një dënim 50 për qind të detyrimit të papaguar. </w:t>
      </w:r>
    </w:p>
    <w:p w:rsidR="00F40978" w:rsidRPr="008C1E2D" w:rsidRDefault="00F40978" w:rsidP="00F40978">
      <w:pPr>
        <w:pStyle w:val="Paragrafi"/>
      </w:pPr>
      <w:r w:rsidRPr="008C1E2D">
        <w:t xml:space="preserve">6. Kur tatimi mbi lojërat e fatit, i deklaruar si i pagueshëm, është më i vogël se tatimi i pagueshëm në fakt dhe kjo konsiderohet si fshehje me dashje, përveç dënimit për pagesë të vonuar, dënohet edhe me gjobë 50 për qind të diferencës së padeklaruar.      </w:t>
      </w:r>
    </w:p>
    <w:p w:rsidR="00F40978" w:rsidRPr="008C1E2D" w:rsidRDefault="00F40978" w:rsidP="00F40978">
      <w:pPr>
        <w:pStyle w:val="Paragrafi"/>
      </w:pPr>
      <w:r w:rsidRPr="008C1E2D">
        <w:t>7. Për mospagim në afat të detyrimeve tatimore, përveç dënimeve të mësipërme, organizatori i lojërave të fatit paguan edhe interesat për pagesë të vonuar, në përputhje me ligjin nr.8560, datë 22.12.1999 “Për procedurat tatimore në Republikën e Shqipërisë”, të ndryshuar.</w:t>
      </w:r>
    </w:p>
    <w:p w:rsidR="00F40978" w:rsidRPr="008C1E2D" w:rsidRDefault="00F40978" w:rsidP="00F40978">
      <w:pPr>
        <w:pStyle w:val="Paragrafi"/>
      </w:pPr>
      <w:r w:rsidRPr="008C1E2D">
        <w:t>8. Për mbledhjen e detyrimeve tatimore të papaguara, organet tatimore marrin masat e përcaktuara në ligjin nr.8560, datë 22.12.1999 “Për procedurat tatimore në Republikën e Shqipërisë”, të ndryshuar.”.</w:t>
      </w:r>
    </w:p>
    <w:p w:rsidR="00F40978" w:rsidRPr="008C1E2D" w:rsidRDefault="00F40978" w:rsidP="00F40978">
      <w:pPr>
        <w:pStyle w:val="Paragrafi"/>
      </w:pPr>
    </w:p>
    <w:p w:rsidR="00F40978" w:rsidRPr="008C1E2D" w:rsidRDefault="00F40978" w:rsidP="00F40978">
      <w:pPr>
        <w:pStyle w:val="NeniNr"/>
      </w:pPr>
      <w:r w:rsidRPr="008C1E2D">
        <w:t>Neni 17</w:t>
      </w:r>
    </w:p>
    <w:p w:rsidR="00F40978" w:rsidRPr="008C1E2D" w:rsidRDefault="00F40978" w:rsidP="00F40978">
      <w:pPr>
        <w:pStyle w:val="Paragrafi"/>
      </w:pPr>
    </w:p>
    <w:p w:rsidR="00F40978" w:rsidRPr="008C1E2D" w:rsidRDefault="00F40978" w:rsidP="00F40978">
      <w:pPr>
        <w:pStyle w:val="Paragrafi"/>
      </w:pPr>
      <w:r w:rsidRPr="008C1E2D">
        <w:t>Pas nenit 27/1 shtohet neni 27/2 me këtë përmbajtje:</w:t>
      </w:r>
    </w:p>
    <w:p w:rsidR="00F40978" w:rsidRPr="008C1E2D" w:rsidRDefault="00F40978" w:rsidP="00F40978">
      <w:pPr>
        <w:pStyle w:val="Paragrafi"/>
      </w:pPr>
    </w:p>
    <w:p w:rsidR="00F40978" w:rsidRPr="008C1E2D" w:rsidRDefault="00F40978" w:rsidP="00F40978">
      <w:pPr>
        <w:pStyle w:val="NeniNr"/>
      </w:pPr>
      <w:r w:rsidRPr="008C1E2D">
        <w:t>“Neni 27/2</w:t>
      </w:r>
    </w:p>
    <w:p w:rsidR="00F40978" w:rsidRPr="008C1E2D" w:rsidRDefault="00F40978" w:rsidP="00F40978">
      <w:pPr>
        <w:pStyle w:val="Paragrafi"/>
      </w:pPr>
    </w:p>
    <w:p w:rsidR="00F40978" w:rsidRPr="008C1E2D" w:rsidRDefault="00F40978" w:rsidP="00F40978">
      <w:pPr>
        <w:pStyle w:val="Paragrafi"/>
      </w:pPr>
      <w:r w:rsidRPr="008C1E2D">
        <w:t>Subjekti, të cilit i pezullohet ose i revokohet leja, sipas rasteve të parashikuara në këtë ligj, ka të drejtën e ankimit, sipas procedurave të parashikuara në Kodin e Procedurave Administrative.”.</w:t>
      </w:r>
    </w:p>
    <w:p w:rsidR="00F40978" w:rsidRPr="008C1E2D" w:rsidRDefault="00F40978" w:rsidP="00F40978">
      <w:pPr>
        <w:pStyle w:val="Paragrafi"/>
      </w:pPr>
    </w:p>
    <w:p w:rsidR="00F40978" w:rsidRPr="008C1E2D" w:rsidRDefault="00F40978" w:rsidP="00F40978">
      <w:pPr>
        <w:pStyle w:val="NeniNr"/>
      </w:pPr>
      <w:r w:rsidRPr="008C1E2D">
        <w:t>Neni 18</w:t>
      </w:r>
    </w:p>
    <w:p w:rsidR="00F40978" w:rsidRPr="008C1E2D" w:rsidRDefault="00F40978" w:rsidP="00F40978">
      <w:pPr>
        <w:pStyle w:val="Paragrafi"/>
      </w:pPr>
    </w:p>
    <w:p w:rsidR="00F40978" w:rsidRPr="008C1E2D" w:rsidRDefault="00F40978" w:rsidP="00F40978">
      <w:pPr>
        <w:pStyle w:val="Paragrafi"/>
      </w:pPr>
      <w:r w:rsidRPr="008C1E2D">
        <w:t>Në nenin 29 shtohet paragrafi me këtë përmbajtje:</w:t>
      </w:r>
    </w:p>
    <w:p w:rsidR="00F40978" w:rsidRPr="008C1E2D" w:rsidRDefault="00F40978" w:rsidP="00F40978">
      <w:pPr>
        <w:pStyle w:val="Paragrafi"/>
      </w:pPr>
      <w:r w:rsidRPr="008C1E2D">
        <w:t>“Ngarkohet Këshilli i Ministrave për nxjerrjen e akteve nënligjore në zbatim të këtij ligji.”.</w:t>
      </w:r>
    </w:p>
    <w:p w:rsidR="00F40978" w:rsidRPr="008C1E2D" w:rsidRDefault="00F40978" w:rsidP="00F40978">
      <w:pPr>
        <w:pStyle w:val="NeniNr"/>
      </w:pPr>
    </w:p>
    <w:p w:rsidR="00F40978" w:rsidRPr="008C1E2D" w:rsidRDefault="00F40978" w:rsidP="00F40978">
      <w:pPr>
        <w:pStyle w:val="NeniNr"/>
      </w:pPr>
      <w:r w:rsidRPr="008C1E2D">
        <w:t>Neni 19</w:t>
      </w:r>
    </w:p>
    <w:p w:rsidR="00F40978" w:rsidRPr="008C1E2D" w:rsidRDefault="00F40978" w:rsidP="00F40978">
      <w:pPr>
        <w:pStyle w:val="Paragrafi"/>
      </w:pPr>
    </w:p>
    <w:p w:rsidR="00F40978" w:rsidRPr="008C1E2D" w:rsidRDefault="00F40978" w:rsidP="00F40978">
      <w:pPr>
        <w:pStyle w:val="Paragrafi"/>
      </w:pPr>
      <w:r w:rsidRPr="008C1E2D">
        <w:t>Neni 30/1 ndryshohet si më poshtë:</w:t>
      </w:r>
    </w:p>
    <w:p w:rsidR="00F40978" w:rsidRPr="008C1E2D" w:rsidRDefault="00F40978" w:rsidP="00F40978">
      <w:pPr>
        <w:pStyle w:val="Paragrafi"/>
      </w:pPr>
    </w:p>
    <w:p w:rsidR="00F40978" w:rsidRPr="008C1E2D" w:rsidRDefault="00F40978" w:rsidP="00F40978">
      <w:pPr>
        <w:pStyle w:val="NeniNr"/>
      </w:pPr>
      <w:r w:rsidRPr="008C1E2D">
        <w:t>“Neni 30/1</w:t>
      </w:r>
    </w:p>
    <w:p w:rsidR="00F40978" w:rsidRPr="008C1E2D" w:rsidRDefault="00F40978" w:rsidP="00F40978">
      <w:pPr>
        <w:pStyle w:val="Paragrafi"/>
      </w:pPr>
    </w:p>
    <w:p w:rsidR="00F40978" w:rsidRPr="008C1E2D" w:rsidRDefault="00F40978" w:rsidP="00F40978">
      <w:pPr>
        <w:pStyle w:val="Paragrafi"/>
      </w:pPr>
      <w:r w:rsidRPr="008C1E2D">
        <w:t>1. Për kontrollin e zbatimit të ligjshmërisë së ushtrimit të veprimtarisë së subjekteve të licencuara në fushën e lojërave të fatit, kazinove dhe hipodromeve krijohet Njësia e Mbikëqyrjes së Lojërave të Fatit, në varësi të ministrit përgjegjës për ekonominë. Mënyra e funksionimit të kësaj njësie përcaktohet me vendim të Këshillit të Ministrave.</w:t>
      </w:r>
    </w:p>
    <w:p w:rsidR="00F40978" w:rsidRPr="008C1E2D" w:rsidRDefault="00F40978" w:rsidP="00F40978">
      <w:pPr>
        <w:pStyle w:val="Paragrafi"/>
      </w:pPr>
      <w:r w:rsidRPr="008C1E2D">
        <w:t>2. Shoqëritë  e licencuara në fushën e lojërave të fatit, kazinotë dhe hipodromet derdhin në  Buxhetin e Shtetit 1 për qind të fitimit neto mujor të parashikuar. Këto të ardhura do të përdoren për financimin e ushtrimit të veprimtarisë së Njësisë së Mbikëqyrjes së Lojërave të Fatit dhe Komitetit të Lojërave të Fatit.”.</w:t>
      </w:r>
    </w:p>
    <w:p w:rsidR="00F40978" w:rsidRPr="008C1E2D" w:rsidRDefault="00F40978" w:rsidP="00F40978">
      <w:pPr>
        <w:pStyle w:val="Paragrafi"/>
      </w:pPr>
    </w:p>
    <w:p w:rsidR="00F40978" w:rsidRPr="008C1E2D" w:rsidRDefault="00F40978" w:rsidP="00F40978">
      <w:pPr>
        <w:pStyle w:val="NeniNr"/>
      </w:pPr>
      <w:r w:rsidRPr="008C1E2D">
        <w:t>Neni 20</w:t>
      </w:r>
    </w:p>
    <w:p w:rsidR="00F40978" w:rsidRPr="008C1E2D" w:rsidRDefault="00F40978" w:rsidP="00F40978">
      <w:pPr>
        <w:pStyle w:val="Paragrafi"/>
      </w:pPr>
    </w:p>
    <w:p w:rsidR="00F40978" w:rsidRPr="008C1E2D" w:rsidRDefault="00F40978" w:rsidP="00F40978">
      <w:pPr>
        <w:pStyle w:val="Paragrafi"/>
      </w:pPr>
      <w:r w:rsidRPr="008C1E2D">
        <w:t>Pas nenit 30/2 shtohet neni 30/3 me këtë përmbajtje:</w:t>
      </w:r>
    </w:p>
    <w:p w:rsidR="00F40978" w:rsidRPr="008C1E2D" w:rsidRDefault="00F40978" w:rsidP="00F40978">
      <w:pPr>
        <w:pStyle w:val="Paragrafi"/>
      </w:pPr>
    </w:p>
    <w:p w:rsidR="00F40978" w:rsidRPr="008C1E2D" w:rsidRDefault="00F40978" w:rsidP="00F40978">
      <w:pPr>
        <w:pStyle w:val="NeniNr"/>
      </w:pPr>
      <w:r w:rsidRPr="008C1E2D">
        <w:t>“Neni 30/3</w:t>
      </w:r>
    </w:p>
    <w:p w:rsidR="00F40978" w:rsidRPr="008C1E2D" w:rsidRDefault="00F40978" w:rsidP="00F40978">
      <w:pPr>
        <w:pStyle w:val="NeniTitull"/>
      </w:pPr>
      <w:r w:rsidRPr="008C1E2D">
        <w:t>Dispozita kalimtare</w:t>
      </w:r>
    </w:p>
    <w:p w:rsidR="00F40978" w:rsidRPr="008C1E2D" w:rsidRDefault="00F40978" w:rsidP="00F40978">
      <w:pPr>
        <w:pStyle w:val="Paragrafi"/>
      </w:pPr>
    </w:p>
    <w:p w:rsidR="00F40978" w:rsidRPr="008C1E2D" w:rsidRDefault="00F40978" w:rsidP="00F40978">
      <w:pPr>
        <w:pStyle w:val="Paragrafi"/>
      </w:pPr>
      <w:r w:rsidRPr="008C1E2D">
        <w:t>1. Licencat për kategoritë e lojërave “lotari çasti” dhe “lotari me shorte”, të lëshuara para hyrjes në fuqi  të këtij ligji, revokohen dhe shteti ka detyrimin t’u kthejë subjekteve shumat që rrjedhin nga revokimi.</w:t>
      </w:r>
    </w:p>
    <w:p w:rsidR="00F40978" w:rsidRPr="008C1E2D" w:rsidRDefault="00F40978" w:rsidP="00F40978">
      <w:pPr>
        <w:pStyle w:val="Paragrafi"/>
      </w:pPr>
      <w:r w:rsidRPr="008C1E2D">
        <w:t>2. Këshilli i Ministrave përcakton kriteret, mënyrën dhe formën e dëmshpërblimit për këto shoqëri.”.</w:t>
      </w:r>
    </w:p>
    <w:p w:rsidR="00F40978" w:rsidRPr="008C1E2D" w:rsidRDefault="00F40978" w:rsidP="00F40978">
      <w:pPr>
        <w:pStyle w:val="Paragrafi"/>
      </w:pPr>
    </w:p>
    <w:p w:rsidR="00F40978" w:rsidRPr="008C1E2D" w:rsidRDefault="00F40978" w:rsidP="00F40978">
      <w:pPr>
        <w:pStyle w:val="NeniNr"/>
      </w:pPr>
      <w:r w:rsidRPr="008C1E2D">
        <w:t>Neni 21</w:t>
      </w:r>
    </w:p>
    <w:p w:rsidR="00F40978" w:rsidRPr="008C1E2D" w:rsidRDefault="00F40978" w:rsidP="00F40978">
      <w:pPr>
        <w:pStyle w:val="Paragrafi"/>
      </w:pPr>
    </w:p>
    <w:p w:rsidR="00F40978" w:rsidRPr="008C1E2D" w:rsidRDefault="00F40978" w:rsidP="00F40978">
      <w:pPr>
        <w:pStyle w:val="Paragrafi"/>
      </w:pPr>
      <w:r w:rsidRPr="008C1E2D">
        <w:t>Ky ligj hyn në fuqi 15 ditë pas botimit në Fletoren Zyrtare.</w:t>
      </w:r>
    </w:p>
    <w:p w:rsidR="00F40978" w:rsidRPr="008C1E2D" w:rsidRDefault="00F40978" w:rsidP="00F40978">
      <w:pPr>
        <w:pStyle w:val="Paragrafi"/>
      </w:pPr>
    </w:p>
    <w:p w:rsidR="00F40978" w:rsidRPr="008C1E2D" w:rsidRDefault="00F40978" w:rsidP="00F40978">
      <w:pPr>
        <w:pStyle w:val="Shpallja"/>
      </w:pPr>
      <w:r w:rsidRPr="008C1E2D">
        <w:t>Shpallur me dekretin nr.5356, datë 15.6.2007 të Presidentit të Republikës së Shqipërisë, Alfred Moisiu</w:t>
      </w: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TitulliNr"/>
      </w:pPr>
      <w:r w:rsidRPr="008C1E2D">
        <w:t>Tabela 1</w:t>
      </w:r>
    </w:p>
    <w:p w:rsidR="00F40978" w:rsidRPr="008C1E2D" w:rsidRDefault="00F40978" w:rsidP="00F40978">
      <w:pPr>
        <w:pStyle w:val="TitulliTitull"/>
      </w:pPr>
      <w:r w:rsidRPr="008C1E2D">
        <w:t>Tabela e vlerësimit për aplikantët e “Lotarisë kombëtare”</w:t>
      </w:r>
    </w:p>
    <w:p w:rsidR="00F40978" w:rsidRPr="008C1E2D" w:rsidRDefault="00F40978" w:rsidP="00F4097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420"/>
      </w:tblGrid>
      <w:tr w:rsidR="00F40978" w:rsidRPr="008C1E2D">
        <w:tc>
          <w:tcPr>
            <w:tcW w:w="4608" w:type="dxa"/>
          </w:tcPr>
          <w:p w:rsidR="00F40978" w:rsidRPr="008C1E2D" w:rsidRDefault="00F40978" w:rsidP="00F40978">
            <w:pPr>
              <w:pStyle w:val="Tabele"/>
            </w:pPr>
          </w:p>
          <w:p w:rsidR="00F40978" w:rsidRPr="008C1E2D" w:rsidRDefault="00F40978" w:rsidP="00F40978">
            <w:pPr>
              <w:pStyle w:val="Tabele"/>
            </w:pPr>
            <w:r w:rsidRPr="008C1E2D">
              <w:t>Kriteret e vlerësimit</w:t>
            </w:r>
          </w:p>
          <w:p w:rsidR="00F40978" w:rsidRPr="008C1E2D" w:rsidRDefault="00F40978" w:rsidP="00F40978">
            <w:pPr>
              <w:pStyle w:val="Tabele"/>
            </w:pPr>
          </w:p>
        </w:tc>
        <w:tc>
          <w:tcPr>
            <w:tcW w:w="3420" w:type="dxa"/>
          </w:tcPr>
          <w:p w:rsidR="00F40978" w:rsidRPr="008C1E2D" w:rsidRDefault="00F40978" w:rsidP="00F40978">
            <w:pPr>
              <w:pStyle w:val="Tabele"/>
            </w:pPr>
          </w:p>
          <w:p w:rsidR="00F40978" w:rsidRPr="008C1E2D" w:rsidRDefault="00F40978" w:rsidP="00F40978">
            <w:pPr>
              <w:pStyle w:val="Tabele"/>
            </w:pPr>
            <w:r w:rsidRPr="008C1E2D">
              <w:t>Pikët e vlerësimit</w:t>
            </w:r>
          </w:p>
          <w:p w:rsidR="00F40978" w:rsidRPr="008C1E2D" w:rsidRDefault="00F40978" w:rsidP="00F40978">
            <w:pPr>
              <w:pStyle w:val="Tabele"/>
            </w:pPr>
            <w:r w:rsidRPr="008C1E2D">
              <w:t>Totali 100 pikë</w:t>
            </w:r>
          </w:p>
          <w:p w:rsidR="00F40978" w:rsidRPr="008C1E2D" w:rsidRDefault="00F40978" w:rsidP="00F40978">
            <w:pPr>
              <w:pStyle w:val="Tabele"/>
            </w:pPr>
          </w:p>
        </w:tc>
      </w:tr>
      <w:tr w:rsidR="00F40978" w:rsidRPr="008C1E2D">
        <w:tc>
          <w:tcPr>
            <w:tcW w:w="4608" w:type="dxa"/>
          </w:tcPr>
          <w:p w:rsidR="00F40978" w:rsidRPr="008C1E2D" w:rsidRDefault="00F40978" w:rsidP="00F40978">
            <w:pPr>
              <w:pStyle w:val="Tabele"/>
            </w:pPr>
            <w:r w:rsidRPr="008C1E2D">
              <w:t>Planbiznesi</w:t>
            </w:r>
          </w:p>
          <w:p w:rsidR="00F40978" w:rsidRPr="008C1E2D" w:rsidRDefault="00F40978" w:rsidP="00F40978">
            <w:pPr>
              <w:pStyle w:val="Tabele"/>
            </w:pPr>
          </w:p>
        </w:tc>
        <w:tc>
          <w:tcPr>
            <w:tcW w:w="3420" w:type="dxa"/>
          </w:tcPr>
          <w:p w:rsidR="00F40978" w:rsidRPr="008C1E2D" w:rsidRDefault="00F40978" w:rsidP="00F40978">
            <w:pPr>
              <w:pStyle w:val="Tabele"/>
            </w:pPr>
          </w:p>
          <w:p w:rsidR="00F40978" w:rsidRPr="008C1E2D" w:rsidRDefault="00F40978" w:rsidP="00F40978">
            <w:pPr>
              <w:pStyle w:val="Tabele"/>
            </w:pPr>
            <w:r w:rsidRPr="008C1E2D">
              <w:t>20</w:t>
            </w:r>
          </w:p>
        </w:tc>
      </w:tr>
      <w:tr w:rsidR="00F40978" w:rsidRPr="008C1E2D">
        <w:tc>
          <w:tcPr>
            <w:tcW w:w="4608" w:type="dxa"/>
          </w:tcPr>
          <w:p w:rsidR="00F40978" w:rsidRPr="008C1E2D" w:rsidRDefault="00F40978" w:rsidP="00F40978">
            <w:pPr>
              <w:pStyle w:val="Tabele"/>
            </w:pPr>
            <w:r w:rsidRPr="008C1E2D">
              <w:t>Përvoja e subjektit në fushën e lotarive apo të lojërave të fatit</w:t>
            </w:r>
          </w:p>
        </w:tc>
        <w:tc>
          <w:tcPr>
            <w:tcW w:w="3420" w:type="dxa"/>
          </w:tcPr>
          <w:p w:rsidR="00F40978" w:rsidRPr="008C1E2D" w:rsidRDefault="00F40978" w:rsidP="00F40978">
            <w:pPr>
              <w:pStyle w:val="Tabele"/>
            </w:pPr>
          </w:p>
          <w:p w:rsidR="00F40978" w:rsidRPr="008C1E2D" w:rsidRDefault="00F40978" w:rsidP="00F40978">
            <w:pPr>
              <w:pStyle w:val="Tabele"/>
            </w:pPr>
          </w:p>
          <w:p w:rsidR="00F40978" w:rsidRPr="008C1E2D" w:rsidRDefault="00F40978" w:rsidP="00F40978">
            <w:pPr>
              <w:pStyle w:val="Tabele"/>
            </w:pPr>
            <w:r w:rsidRPr="008C1E2D">
              <w:t>40</w:t>
            </w:r>
          </w:p>
        </w:tc>
      </w:tr>
      <w:tr w:rsidR="00F40978" w:rsidRPr="008C1E2D">
        <w:tc>
          <w:tcPr>
            <w:tcW w:w="8028" w:type="dxa"/>
            <w:gridSpan w:val="2"/>
          </w:tcPr>
          <w:p w:rsidR="00F40978" w:rsidRPr="008C1E2D" w:rsidRDefault="00F40978" w:rsidP="00F40978">
            <w:pPr>
              <w:pStyle w:val="Tabele"/>
            </w:pPr>
          </w:p>
          <w:p w:rsidR="00F40978" w:rsidRPr="008C1E2D" w:rsidRDefault="00F40978" w:rsidP="00F40978">
            <w:pPr>
              <w:pStyle w:val="Tabele"/>
            </w:pPr>
            <w:r w:rsidRPr="008C1E2D">
              <w:t>Madhësia e kapitalit në lekë:</w:t>
            </w:r>
          </w:p>
          <w:p w:rsidR="00F40978" w:rsidRPr="008C1E2D" w:rsidRDefault="00F40978" w:rsidP="00F40978">
            <w:pPr>
              <w:pStyle w:val="Tabele"/>
            </w:pPr>
          </w:p>
        </w:tc>
      </w:tr>
      <w:tr w:rsidR="00F40978" w:rsidRPr="008C1E2D">
        <w:tc>
          <w:tcPr>
            <w:tcW w:w="4608" w:type="dxa"/>
          </w:tcPr>
          <w:p w:rsidR="00F40978" w:rsidRPr="008C1E2D" w:rsidRDefault="00F40978" w:rsidP="00F40978">
            <w:pPr>
              <w:pStyle w:val="Tabele"/>
            </w:pPr>
          </w:p>
          <w:p w:rsidR="00F40978" w:rsidRPr="008C1E2D" w:rsidRDefault="00F40978" w:rsidP="00F40978">
            <w:pPr>
              <w:pStyle w:val="Tabele"/>
            </w:pPr>
            <w:r w:rsidRPr="008C1E2D">
              <w:t>120 000 000 – 200 000 000</w:t>
            </w:r>
          </w:p>
          <w:p w:rsidR="00F40978" w:rsidRPr="008C1E2D" w:rsidRDefault="00F40978" w:rsidP="00F40978">
            <w:pPr>
              <w:pStyle w:val="Tabele"/>
            </w:pPr>
          </w:p>
        </w:tc>
        <w:tc>
          <w:tcPr>
            <w:tcW w:w="3420" w:type="dxa"/>
          </w:tcPr>
          <w:p w:rsidR="00F40978" w:rsidRPr="008C1E2D" w:rsidRDefault="00F40978" w:rsidP="00F40978">
            <w:pPr>
              <w:pStyle w:val="Tabele"/>
            </w:pPr>
          </w:p>
          <w:p w:rsidR="00F40978" w:rsidRPr="008C1E2D" w:rsidRDefault="00F40978" w:rsidP="00F40978">
            <w:pPr>
              <w:pStyle w:val="Tabele"/>
            </w:pPr>
            <w:r w:rsidRPr="008C1E2D">
              <w:t>15</w:t>
            </w:r>
          </w:p>
        </w:tc>
      </w:tr>
      <w:tr w:rsidR="00F40978" w:rsidRPr="008C1E2D">
        <w:tc>
          <w:tcPr>
            <w:tcW w:w="4608" w:type="dxa"/>
          </w:tcPr>
          <w:p w:rsidR="00F40978" w:rsidRPr="008C1E2D" w:rsidRDefault="00F40978" w:rsidP="00F40978">
            <w:pPr>
              <w:pStyle w:val="Tabele"/>
            </w:pPr>
          </w:p>
          <w:p w:rsidR="00F40978" w:rsidRPr="008C1E2D" w:rsidRDefault="00F40978" w:rsidP="00F40978">
            <w:pPr>
              <w:pStyle w:val="Tabele"/>
            </w:pPr>
            <w:r w:rsidRPr="008C1E2D">
              <w:t xml:space="preserve">Mbi 200 000 000 </w:t>
            </w:r>
          </w:p>
          <w:p w:rsidR="00F40978" w:rsidRPr="008C1E2D" w:rsidRDefault="00F40978" w:rsidP="00F40978">
            <w:pPr>
              <w:pStyle w:val="Tabele"/>
            </w:pPr>
          </w:p>
        </w:tc>
        <w:tc>
          <w:tcPr>
            <w:tcW w:w="3420" w:type="dxa"/>
          </w:tcPr>
          <w:p w:rsidR="00F40978" w:rsidRPr="008C1E2D" w:rsidRDefault="00F40978" w:rsidP="00F40978">
            <w:pPr>
              <w:pStyle w:val="Tabele"/>
            </w:pPr>
          </w:p>
          <w:p w:rsidR="00F40978" w:rsidRPr="008C1E2D" w:rsidRDefault="00F40978" w:rsidP="00F40978">
            <w:pPr>
              <w:pStyle w:val="Tabele"/>
            </w:pPr>
            <w:r w:rsidRPr="008C1E2D">
              <w:t>25</w:t>
            </w:r>
          </w:p>
        </w:tc>
      </w:tr>
    </w:tbl>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F40978" w:rsidRPr="008C1E2D" w:rsidRDefault="00F40978" w:rsidP="00F40978">
      <w:pPr>
        <w:pStyle w:val="Paragrafi"/>
      </w:pPr>
    </w:p>
    <w:p w:rsidR="000178C2" w:rsidRPr="00C84B66" w:rsidRDefault="000178C2" w:rsidP="00F40978">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40978"/>
    <w:rsid w:val="000178C2"/>
    <w:rsid w:val="005975C1"/>
    <w:rsid w:val="0064561E"/>
    <w:rsid w:val="00C84B66"/>
    <w:rsid w:val="00F40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86181E8-5050-458A-A888-A911B37C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978"/>
    <w:pPr>
      <w:widowControl w:val="0"/>
    </w:pPr>
    <w:rPr>
      <w:rFonts w:ascii="CG Times" w:hAnsi="CG Times"/>
      <w:sz w:val="22"/>
      <w:szCs w:val="22"/>
      <w:lang w:val="sq-AL" w:eastAsia="en-US"/>
    </w:rPr>
  </w:style>
  <w:style w:type="paragraph" w:styleId="Heading1">
    <w:name w:val="heading 1"/>
    <w:basedOn w:val="Normal"/>
    <w:next w:val="Normal"/>
    <w:qFormat/>
    <w:rsid w:val="005975C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5975C1"/>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5975C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75C1"/>
    <w:rPr>
      <w:rFonts w:ascii="CG Times" w:hAnsi="CG Times"/>
      <w:sz w:val="22"/>
      <w:lang w:eastAsia="en-US"/>
    </w:rPr>
  </w:style>
  <w:style w:type="paragraph" w:customStyle="1" w:styleId="AneksiNr">
    <w:name w:val="Aneksi_Nr"/>
    <w:next w:val="Normal"/>
    <w:rsid w:val="005975C1"/>
    <w:pPr>
      <w:keepNext/>
      <w:widowControl w:val="0"/>
      <w:jc w:val="center"/>
    </w:pPr>
    <w:rPr>
      <w:rFonts w:ascii="CG Times" w:hAnsi="CG Times"/>
      <w:caps/>
      <w:sz w:val="22"/>
      <w:szCs w:val="22"/>
      <w:lang w:eastAsia="en-US"/>
    </w:rPr>
  </w:style>
  <w:style w:type="paragraph" w:customStyle="1" w:styleId="AneksiTitull">
    <w:name w:val="Aneksi_Titull"/>
    <w:next w:val="Normal"/>
    <w:rsid w:val="005975C1"/>
    <w:pPr>
      <w:jc w:val="center"/>
    </w:pPr>
    <w:rPr>
      <w:rFonts w:ascii="CG Times" w:hAnsi="CG Times"/>
      <w:sz w:val="24"/>
      <w:szCs w:val="24"/>
      <w:lang w:eastAsia="en-US"/>
    </w:rPr>
  </w:style>
  <w:style w:type="paragraph" w:customStyle="1" w:styleId="Autoriteti">
    <w:name w:val="Autoriteti"/>
    <w:next w:val="Normal"/>
    <w:rsid w:val="005975C1"/>
    <w:pPr>
      <w:keepNext/>
      <w:widowControl w:val="0"/>
      <w:jc w:val="right"/>
    </w:pPr>
    <w:rPr>
      <w:rFonts w:ascii="CG Times" w:hAnsi="CG Times"/>
      <w:caps/>
      <w:sz w:val="22"/>
      <w:szCs w:val="22"/>
      <w:lang w:eastAsia="en-US"/>
    </w:rPr>
  </w:style>
  <w:style w:type="paragraph" w:customStyle="1" w:styleId="AutoritetiEmer">
    <w:name w:val="Autoriteti_Emer"/>
    <w:next w:val="Normal"/>
    <w:rsid w:val="005975C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5975C1"/>
    <w:rPr>
      <w:rFonts w:ascii="CG Times" w:eastAsia="MS Mincho" w:hAnsi="CG Times"/>
      <w:b/>
      <w:sz w:val="22"/>
      <w:szCs w:val="22"/>
      <w:lang w:val="en-GB" w:eastAsia="en-US" w:bidi="ar-SA"/>
    </w:rPr>
  </w:style>
  <w:style w:type="paragraph" w:customStyle="1" w:styleId="BazLigjPropozues">
    <w:name w:val="Baz_Ligj_Propozues"/>
    <w:rsid w:val="005975C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75C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75C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75C1"/>
    <w:pPr>
      <w:spacing w:after="720"/>
      <w:ind w:left="1134"/>
      <w:jc w:val="both"/>
    </w:pPr>
    <w:rPr>
      <w:rFonts w:ascii="Arial" w:hAnsi="Arial"/>
      <w:sz w:val="20"/>
      <w:szCs w:val="20"/>
      <w:lang w:val="en-GB"/>
    </w:rPr>
  </w:style>
  <w:style w:type="paragraph" w:customStyle="1" w:styleId="bcverylastparaa">
    <w:name w:val="bc very last para (a)"/>
    <w:basedOn w:val="Normal"/>
    <w:rsid w:val="005975C1"/>
    <w:pPr>
      <w:spacing w:after="720"/>
      <w:ind w:left="1843" w:hanging="709"/>
      <w:jc w:val="both"/>
    </w:pPr>
    <w:rPr>
      <w:rFonts w:ascii="Arial" w:hAnsi="Arial"/>
      <w:noProof/>
      <w:sz w:val="20"/>
      <w:szCs w:val="20"/>
      <w:lang w:val="en-GB"/>
    </w:rPr>
  </w:style>
  <w:style w:type="paragraph" w:customStyle="1" w:styleId="Bllok">
    <w:name w:val="Bllok"/>
    <w:next w:val="Normal"/>
    <w:rsid w:val="005975C1"/>
    <w:pPr>
      <w:jc w:val="center"/>
    </w:pPr>
    <w:rPr>
      <w:rFonts w:ascii="CG Times" w:hAnsi="CG Times"/>
      <w:caps/>
      <w:sz w:val="22"/>
      <w:szCs w:val="22"/>
      <w:lang w:eastAsia="en-US"/>
    </w:rPr>
  </w:style>
  <w:style w:type="paragraph" w:customStyle="1" w:styleId="extraclauses">
    <w:name w:val="extra_clauses"/>
    <w:basedOn w:val="Normal"/>
    <w:rsid w:val="005975C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75C1"/>
    <w:pPr>
      <w:widowControl w:val="0"/>
      <w:outlineLvl w:val="2"/>
    </w:pPr>
    <w:rPr>
      <w:rFonts w:ascii="CG Times" w:hAnsi="CG Times"/>
      <w:sz w:val="22"/>
      <w:lang w:val="en-US" w:eastAsia="en-US"/>
    </w:rPr>
  </w:style>
  <w:style w:type="paragraph" w:customStyle="1" w:styleId="footnote">
    <w:name w:val="footnote"/>
    <w:basedOn w:val="Normal"/>
    <w:rsid w:val="005975C1"/>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75C1"/>
    <w:pPr>
      <w:keepNext/>
      <w:widowControl w:val="0"/>
      <w:jc w:val="center"/>
    </w:pPr>
    <w:rPr>
      <w:rFonts w:ascii="CG Times" w:hAnsi="CG Times"/>
      <w:caps/>
      <w:sz w:val="22"/>
      <w:szCs w:val="22"/>
      <w:lang w:eastAsia="en-US"/>
    </w:rPr>
  </w:style>
  <w:style w:type="paragraph" w:customStyle="1" w:styleId="Kapakufund">
    <w:name w:val="Kapaku_fund"/>
    <w:next w:val="Normal"/>
    <w:rsid w:val="005975C1"/>
    <w:pPr>
      <w:pageBreakBefore/>
    </w:pPr>
    <w:rPr>
      <w:rFonts w:ascii="CG Times" w:hAnsi="CG Times"/>
      <w:b/>
      <w:sz w:val="22"/>
      <w:szCs w:val="22"/>
      <w:lang w:val="en-US" w:eastAsia="en-US"/>
    </w:rPr>
  </w:style>
  <w:style w:type="paragraph" w:customStyle="1" w:styleId="KapitulliNr">
    <w:name w:val="Kapitulli_Nr"/>
    <w:rsid w:val="005975C1"/>
    <w:pPr>
      <w:keepNext/>
      <w:widowControl w:val="0"/>
      <w:jc w:val="center"/>
    </w:pPr>
    <w:rPr>
      <w:rFonts w:ascii="CG Times" w:hAnsi="CG Times"/>
      <w:caps/>
      <w:sz w:val="22"/>
      <w:szCs w:val="22"/>
      <w:lang w:eastAsia="en-US"/>
    </w:rPr>
  </w:style>
  <w:style w:type="paragraph" w:customStyle="1" w:styleId="KapitulliTitull">
    <w:name w:val="Kapitulli_Titull"/>
    <w:rsid w:val="005975C1"/>
    <w:pPr>
      <w:keepNext/>
      <w:widowControl w:val="0"/>
      <w:jc w:val="center"/>
    </w:pPr>
    <w:rPr>
      <w:rFonts w:ascii="CG Times" w:hAnsi="CG Times"/>
      <w:caps/>
      <w:sz w:val="22"/>
      <w:szCs w:val="22"/>
      <w:lang w:eastAsia="en-US"/>
    </w:rPr>
  </w:style>
  <w:style w:type="paragraph" w:customStyle="1" w:styleId="KreuNr">
    <w:name w:val="Kreu_Nr"/>
    <w:rsid w:val="005975C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75C1"/>
    <w:pPr>
      <w:keepNext/>
      <w:widowControl w:val="0"/>
      <w:jc w:val="center"/>
    </w:pPr>
    <w:rPr>
      <w:rFonts w:ascii="CG Times" w:hAnsi="CG Times"/>
      <w:caps/>
      <w:sz w:val="22"/>
      <w:szCs w:val="22"/>
      <w:lang w:val="en-US" w:eastAsia="en-US"/>
    </w:rPr>
  </w:style>
  <w:style w:type="paragraph" w:customStyle="1" w:styleId="Ndryshimet">
    <w:name w:val="Ndryshimet"/>
    <w:next w:val="Normal"/>
    <w:rsid w:val="005975C1"/>
    <w:pPr>
      <w:keepNext/>
      <w:widowControl w:val="0"/>
      <w:jc w:val="center"/>
    </w:pPr>
    <w:rPr>
      <w:rFonts w:ascii="CG Times" w:hAnsi="CG Times"/>
      <w:i/>
      <w:sz w:val="22"/>
      <w:lang w:val="en-US" w:eastAsia="en-US"/>
    </w:rPr>
  </w:style>
  <w:style w:type="paragraph" w:customStyle="1" w:styleId="NeniNr">
    <w:name w:val="Neni_Nr"/>
    <w:next w:val="Normal"/>
    <w:link w:val="NeniNrChar"/>
    <w:rsid w:val="005975C1"/>
    <w:pPr>
      <w:keepNext/>
      <w:widowControl w:val="0"/>
      <w:jc w:val="center"/>
    </w:pPr>
    <w:rPr>
      <w:rFonts w:ascii="CG Times" w:hAnsi="CG Times"/>
      <w:sz w:val="22"/>
      <w:lang w:eastAsia="en-US"/>
    </w:rPr>
  </w:style>
  <w:style w:type="paragraph" w:customStyle="1" w:styleId="NeniTitull">
    <w:name w:val="Neni_Titull"/>
    <w:next w:val="Normal"/>
    <w:link w:val="NeniTitullChar"/>
    <w:rsid w:val="005975C1"/>
    <w:pPr>
      <w:keepNext/>
      <w:widowControl w:val="0"/>
      <w:jc w:val="center"/>
      <w:outlineLvl w:val="2"/>
    </w:pPr>
    <w:rPr>
      <w:rFonts w:ascii="CG Times" w:hAnsi="CG Times"/>
      <w:b/>
      <w:sz w:val="22"/>
      <w:lang w:eastAsia="en-US"/>
    </w:rPr>
  </w:style>
  <w:style w:type="paragraph" w:customStyle="1" w:styleId="NenkreuNr">
    <w:name w:val="Nenkreu_Nr"/>
    <w:rsid w:val="005975C1"/>
    <w:pPr>
      <w:keepNext/>
      <w:widowControl w:val="0"/>
      <w:jc w:val="center"/>
    </w:pPr>
    <w:rPr>
      <w:rFonts w:ascii="CG Times" w:hAnsi="CG Times"/>
      <w:caps/>
      <w:sz w:val="22"/>
      <w:szCs w:val="22"/>
      <w:lang w:eastAsia="en-US"/>
    </w:rPr>
  </w:style>
  <w:style w:type="paragraph" w:customStyle="1" w:styleId="NenkreuTitull">
    <w:name w:val="Nenkreu_Titull"/>
    <w:rsid w:val="005975C1"/>
    <w:pPr>
      <w:jc w:val="center"/>
    </w:pPr>
    <w:rPr>
      <w:rFonts w:ascii="CG Times" w:hAnsi="CG Times"/>
      <w:caps/>
      <w:sz w:val="22"/>
      <w:szCs w:val="22"/>
      <w:lang w:eastAsia="en-US"/>
    </w:rPr>
  </w:style>
  <w:style w:type="paragraph" w:customStyle="1" w:styleId="Nenpika">
    <w:name w:val="Nenpika"/>
    <w:next w:val="Normal"/>
    <w:autoRedefine/>
    <w:rsid w:val="005975C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75C1"/>
    <w:pPr>
      <w:spacing w:after="120"/>
      <w:jc w:val="both"/>
    </w:pPr>
    <w:rPr>
      <w:rFonts w:ascii="Bookman Old Style" w:hAnsi="Bookman Old Style"/>
      <w:szCs w:val="20"/>
    </w:rPr>
  </w:style>
  <w:style w:type="paragraph" w:customStyle="1" w:styleId="numberedindent">
    <w:name w:val="numberedindent"/>
    <w:rsid w:val="005975C1"/>
    <w:pPr>
      <w:tabs>
        <w:tab w:val="num" w:pos="1800"/>
      </w:tabs>
      <w:spacing w:after="120"/>
      <w:jc w:val="both"/>
    </w:pPr>
    <w:rPr>
      <w:rFonts w:ascii="Arial" w:hAnsi="Arial"/>
      <w:lang w:eastAsia="en-US"/>
    </w:rPr>
  </w:style>
  <w:style w:type="paragraph" w:customStyle="1" w:styleId="NumriData">
    <w:name w:val="Numri_Data"/>
    <w:next w:val="Normal"/>
    <w:rsid w:val="005975C1"/>
    <w:pPr>
      <w:keepNext/>
      <w:widowControl w:val="0"/>
      <w:jc w:val="center"/>
      <w:outlineLvl w:val="0"/>
    </w:pPr>
    <w:rPr>
      <w:rFonts w:ascii="CG Times" w:hAnsi="CG Times"/>
      <w:b/>
      <w:sz w:val="22"/>
      <w:lang w:eastAsia="en-US"/>
    </w:rPr>
  </w:style>
  <w:style w:type="paragraph" w:customStyle="1" w:styleId="Paragrafi">
    <w:name w:val="Paragrafi"/>
    <w:rsid w:val="005975C1"/>
    <w:pPr>
      <w:widowControl w:val="0"/>
      <w:ind w:firstLine="720"/>
      <w:jc w:val="both"/>
    </w:pPr>
    <w:rPr>
      <w:rFonts w:ascii="CG Times" w:hAnsi="CG Times"/>
      <w:sz w:val="22"/>
      <w:lang w:val="en-US" w:eastAsia="en-US"/>
    </w:rPr>
  </w:style>
  <w:style w:type="paragraph" w:customStyle="1" w:styleId="Pika">
    <w:name w:val="Pika"/>
    <w:next w:val="Normal"/>
    <w:autoRedefine/>
    <w:rsid w:val="005975C1"/>
    <w:pPr>
      <w:ind w:firstLine="720"/>
    </w:pPr>
    <w:rPr>
      <w:rFonts w:ascii="CG Times" w:hAnsi="CG Times"/>
      <w:sz w:val="22"/>
      <w:lang w:val="en-US" w:eastAsia="en-US"/>
    </w:rPr>
  </w:style>
  <w:style w:type="paragraph" w:customStyle="1" w:styleId="PikeKreu">
    <w:name w:val="Pike_Kreu"/>
    <w:basedOn w:val="Heading1"/>
    <w:rsid w:val="005975C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75C1"/>
    <w:pPr>
      <w:keepNext/>
      <w:widowControl w:val="0"/>
      <w:jc w:val="center"/>
    </w:pPr>
    <w:rPr>
      <w:rFonts w:ascii="CG Times" w:hAnsi="CG Times"/>
      <w:caps/>
      <w:sz w:val="22"/>
      <w:szCs w:val="22"/>
      <w:lang w:eastAsia="en-US"/>
    </w:rPr>
  </w:style>
  <w:style w:type="paragraph" w:customStyle="1" w:styleId="PjesaTitull">
    <w:name w:val="Pjesa_Titull"/>
    <w:rsid w:val="005975C1"/>
    <w:pPr>
      <w:keepNext/>
      <w:widowControl w:val="0"/>
      <w:jc w:val="center"/>
    </w:pPr>
    <w:rPr>
      <w:rFonts w:ascii="CG Times" w:hAnsi="CG Times"/>
      <w:caps/>
      <w:sz w:val="22"/>
      <w:szCs w:val="22"/>
      <w:lang w:eastAsia="en-US"/>
    </w:rPr>
  </w:style>
  <w:style w:type="paragraph" w:customStyle="1" w:styleId="Shpallja">
    <w:name w:val="Shpallja"/>
    <w:rsid w:val="005975C1"/>
    <w:pPr>
      <w:widowControl w:val="0"/>
      <w:jc w:val="both"/>
    </w:pPr>
    <w:rPr>
      <w:rFonts w:ascii="CG Times" w:hAnsi="CG Times"/>
      <w:b/>
      <w:color w:val="000000"/>
      <w:sz w:val="22"/>
      <w:szCs w:val="22"/>
      <w:lang w:val="sq-AL" w:eastAsia="en-US"/>
    </w:rPr>
  </w:style>
  <w:style w:type="paragraph" w:customStyle="1" w:styleId="Tabele">
    <w:name w:val="Tabele"/>
    <w:rsid w:val="005975C1"/>
    <w:rPr>
      <w:rFonts w:ascii="CG Times" w:hAnsi="CG Times"/>
      <w:sz w:val="22"/>
      <w:lang w:eastAsia="en-US"/>
    </w:rPr>
  </w:style>
  <w:style w:type="paragraph" w:customStyle="1" w:styleId="text">
    <w:name w:val="text"/>
    <w:basedOn w:val="Normal"/>
    <w:rsid w:val="005975C1"/>
    <w:pPr>
      <w:ind w:left="709"/>
      <w:jc w:val="both"/>
    </w:pPr>
    <w:rPr>
      <w:rFonts w:ascii="Arial" w:hAnsi="Arial"/>
      <w:sz w:val="20"/>
      <w:szCs w:val="20"/>
      <w:lang w:val="fr-FR"/>
    </w:rPr>
  </w:style>
  <w:style w:type="paragraph" w:customStyle="1" w:styleId="Titulli">
    <w:name w:val="Titulli"/>
    <w:next w:val="Normal"/>
    <w:link w:val="TitulliChar"/>
    <w:rsid w:val="005975C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5975C1"/>
    <w:rPr>
      <w:rFonts w:ascii="CG Times" w:eastAsia="MS Mincho" w:hAnsi="CG Times"/>
      <w:b/>
      <w:caps/>
      <w:sz w:val="22"/>
      <w:szCs w:val="22"/>
      <w:lang w:val="en-GB" w:eastAsia="en-US" w:bidi="ar-SA"/>
    </w:rPr>
  </w:style>
  <w:style w:type="paragraph" w:customStyle="1" w:styleId="TitulliNr">
    <w:name w:val="Titulli_Nr"/>
    <w:rsid w:val="005975C1"/>
    <w:pPr>
      <w:keepNext/>
      <w:widowControl w:val="0"/>
      <w:jc w:val="center"/>
    </w:pPr>
    <w:rPr>
      <w:rFonts w:ascii="CG Times" w:hAnsi="CG Times"/>
      <w:caps/>
      <w:sz w:val="22"/>
      <w:szCs w:val="22"/>
      <w:lang w:eastAsia="en-US"/>
    </w:rPr>
  </w:style>
  <w:style w:type="paragraph" w:customStyle="1" w:styleId="TitulliTitull">
    <w:name w:val="Titulli_Titull"/>
    <w:rsid w:val="005975C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75C1"/>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F40978"/>
    <w:rPr>
      <w:rFonts w:ascii="CG Times" w:hAnsi="CG Times"/>
      <w:sz w:val="22"/>
      <w:lang w:val="en-GB" w:eastAsia="en-US" w:bidi="ar-SA"/>
    </w:rPr>
  </w:style>
  <w:style w:type="character" w:customStyle="1" w:styleId="TitulliChar">
    <w:name w:val="Titulli Char"/>
    <w:basedOn w:val="DefaultParagraphFont"/>
    <w:link w:val="Titulli"/>
    <w:rsid w:val="00F40978"/>
    <w:rPr>
      <w:rFonts w:ascii="CG Times" w:hAnsi="CG Times"/>
      <w:b/>
      <w:caps/>
      <w:sz w:val="22"/>
      <w:szCs w:val="22"/>
      <w:lang w:val="en-GB" w:eastAsia="en-US" w:bidi="ar-SA"/>
    </w:rPr>
  </w:style>
  <w:style w:type="character" w:customStyle="1" w:styleId="VENDOSIChar">
    <w:name w:val="VENDOSI Char"/>
    <w:basedOn w:val="DefaultParagraphFont"/>
    <w:link w:val="VENDOSI"/>
    <w:rsid w:val="00F40978"/>
    <w:rPr>
      <w:rFonts w:ascii="CG Times" w:hAnsi="CG Times"/>
      <w:caps/>
      <w:sz w:val="22"/>
      <w:szCs w:val="22"/>
      <w:lang w:val="en-GB" w:eastAsia="en-US" w:bidi="ar-SA"/>
    </w:rPr>
  </w:style>
  <w:style w:type="paragraph" w:styleId="BodyText3">
    <w:name w:val="Body Text 3"/>
    <w:basedOn w:val="Normal"/>
    <w:rsid w:val="00F40978"/>
    <w:pPr>
      <w:widowControl/>
      <w:jc w:val="both"/>
    </w:pPr>
    <w:rPr>
      <w:rFonts w:ascii="Times New Roman" w:hAnsi="Times New Roman"/>
      <w:sz w:val="24"/>
      <w:szCs w:val="20"/>
    </w:rPr>
  </w:style>
  <w:style w:type="character" w:customStyle="1" w:styleId="NeniTitullChar">
    <w:name w:val="Neni_Titull Char"/>
    <w:basedOn w:val="DefaultParagraphFont"/>
    <w:link w:val="NeniTitull"/>
    <w:rsid w:val="00F40978"/>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3959</Words>
  <Characters>22569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2019-03-16T15:06:00Z</dcterms:created>
  <dcterms:modified xsi:type="dcterms:W3CDTF">2019-03-16T15:06:00Z</dcterms:modified>
</cp:coreProperties>
</file>