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7D6" w:rsidRPr="005F45DF" w:rsidRDefault="001367D6" w:rsidP="001367D6">
      <w:pPr>
        <w:pStyle w:val="Akti"/>
      </w:pPr>
      <w:bookmarkStart w:id="0" w:name="_GoBack"/>
      <w:bookmarkEnd w:id="0"/>
      <w:r w:rsidRPr="005F45DF">
        <w:t>LIGJ</w:t>
      </w:r>
    </w:p>
    <w:p w:rsidR="001367D6" w:rsidRPr="005F45DF" w:rsidRDefault="001367D6" w:rsidP="001367D6">
      <w:pPr>
        <w:pStyle w:val="NumriData"/>
      </w:pPr>
      <w:r w:rsidRPr="005F45DF">
        <w:t>Nr.9764, datë 9.7.2007</w:t>
      </w:r>
    </w:p>
    <w:p w:rsidR="001367D6" w:rsidRPr="005F45DF" w:rsidRDefault="001367D6" w:rsidP="001367D6">
      <w:pPr>
        <w:pStyle w:val="Paragrafi"/>
      </w:pPr>
    </w:p>
    <w:p w:rsidR="001367D6" w:rsidRPr="005F45DF" w:rsidRDefault="001367D6" w:rsidP="001367D6">
      <w:pPr>
        <w:pStyle w:val="Titulli"/>
      </w:pPr>
      <w:r w:rsidRPr="005F45DF">
        <w:t>PËR DISA NDRYSHIME NË LIGJIN NR.9632, DATË 30.10.2006 “PËR SISTEMIN E TAKSAVE VENDORE”, TË NDRYSHUAR</w:t>
      </w:r>
    </w:p>
    <w:p w:rsidR="001367D6" w:rsidRPr="005F45DF" w:rsidRDefault="001367D6" w:rsidP="001367D6">
      <w:pPr>
        <w:pStyle w:val="Paragrafi"/>
      </w:pPr>
    </w:p>
    <w:p w:rsidR="001367D6" w:rsidRPr="005F45DF" w:rsidRDefault="001367D6" w:rsidP="001367D6">
      <w:pPr>
        <w:pStyle w:val="BazLigjPropozues"/>
      </w:pPr>
      <w:r w:rsidRPr="005F45DF">
        <w:t xml:space="preserve">Në mbështetje të neneve 78, 83 pika 1, 113 pika 1 shkronja “ç”, 155 e 157 pika 3 të Kushtetutës, me propozimin e Këshillit të Ministrave, </w:t>
      </w:r>
    </w:p>
    <w:p w:rsidR="001367D6" w:rsidRPr="005F45DF" w:rsidRDefault="001367D6" w:rsidP="001367D6">
      <w:pPr>
        <w:pStyle w:val="Paragrafi"/>
      </w:pPr>
    </w:p>
    <w:p w:rsidR="001367D6" w:rsidRPr="005F45DF" w:rsidRDefault="001367D6" w:rsidP="001367D6">
      <w:pPr>
        <w:pStyle w:val="Institucioni"/>
      </w:pPr>
      <w:r w:rsidRPr="005F45DF">
        <w:t>KUVENDI</w:t>
      </w:r>
    </w:p>
    <w:p w:rsidR="001367D6" w:rsidRPr="005F45DF" w:rsidRDefault="001367D6" w:rsidP="001367D6">
      <w:pPr>
        <w:pStyle w:val="Institucioni"/>
      </w:pPr>
      <w:r w:rsidRPr="005F45DF">
        <w:t>I REPUBLIKËS SË SHQIPËRISË</w:t>
      </w:r>
    </w:p>
    <w:p w:rsidR="001367D6" w:rsidRPr="005F45DF" w:rsidRDefault="001367D6" w:rsidP="001367D6">
      <w:pPr>
        <w:pStyle w:val="Institucioni"/>
      </w:pPr>
    </w:p>
    <w:p w:rsidR="001367D6" w:rsidRPr="005F45DF" w:rsidRDefault="001367D6" w:rsidP="001367D6">
      <w:pPr>
        <w:pStyle w:val="VENDOSI"/>
      </w:pPr>
      <w:r w:rsidRPr="005F45DF">
        <w:t>VENDOSI:</w:t>
      </w:r>
    </w:p>
    <w:p w:rsidR="001367D6" w:rsidRPr="005F45DF" w:rsidRDefault="001367D6" w:rsidP="001367D6">
      <w:pPr>
        <w:pStyle w:val="Paragrafi"/>
      </w:pPr>
    </w:p>
    <w:p w:rsidR="001367D6" w:rsidRPr="005F45DF" w:rsidRDefault="001367D6" w:rsidP="001367D6">
      <w:pPr>
        <w:pStyle w:val="Paragrafi"/>
      </w:pPr>
      <w:r w:rsidRPr="005F45DF">
        <w:t>Në ligjin nr.9632, datë 30.10.2006 “Për sistemin e taksave vendore”, të ndryshuar, bëhen ndryshimet e mëposhtme:</w:t>
      </w:r>
    </w:p>
    <w:p w:rsidR="001367D6" w:rsidRPr="005F45DF" w:rsidRDefault="001367D6" w:rsidP="001367D6">
      <w:pPr>
        <w:pStyle w:val="Paragrafi"/>
      </w:pPr>
    </w:p>
    <w:p w:rsidR="001367D6" w:rsidRPr="005F45DF" w:rsidRDefault="001367D6" w:rsidP="001367D6">
      <w:pPr>
        <w:pStyle w:val="NeniNr"/>
      </w:pPr>
      <w:r w:rsidRPr="005F45DF">
        <w:t>Neni 1</w:t>
      </w:r>
    </w:p>
    <w:p w:rsidR="001367D6" w:rsidRPr="005F45DF" w:rsidRDefault="001367D6" w:rsidP="001367D6">
      <w:pPr>
        <w:pStyle w:val="Paragrafi"/>
      </w:pPr>
    </w:p>
    <w:p w:rsidR="001367D6" w:rsidRPr="005F45DF" w:rsidRDefault="001367D6" w:rsidP="001367D6">
      <w:pPr>
        <w:pStyle w:val="Paragrafi"/>
      </w:pPr>
      <w:r w:rsidRPr="005F45DF">
        <w:t>Në nenin 22 “Taksa mbi ndërtesat”, në fund të pikës 1 shtohet një paragraf me këtë përmbajtje:</w:t>
      </w:r>
    </w:p>
    <w:p w:rsidR="001367D6" w:rsidRPr="005F45DF" w:rsidRDefault="001367D6" w:rsidP="001367D6">
      <w:pPr>
        <w:pStyle w:val="Paragrafi"/>
      </w:pPr>
      <w:r w:rsidRPr="005F45DF">
        <w:t>“Taksës mbi ndërtesat i nënshtrohen edhe taksapaguesit, të cilët kanë, në përdorim apo në pronësi, ndërtesa brenda territoreve të miratuara si fshatra turistike. Sipërfaqja e ndërtesës, në përdorim apo në pronësi, përcaktohet në bazë të dokumenteve, që vërtetojnë përdorimin ose pronësinë e saj.”.</w:t>
      </w:r>
    </w:p>
    <w:p w:rsidR="001367D6" w:rsidRPr="005F45DF" w:rsidRDefault="001367D6" w:rsidP="001367D6">
      <w:pPr>
        <w:pStyle w:val="Paragrafi"/>
      </w:pPr>
    </w:p>
    <w:p w:rsidR="001367D6" w:rsidRPr="005F45DF" w:rsidRDefault="001367D6" w:rsidP="001367D6">
      <w:pPr>
        <w:pStyle w:val="NeniNr"/>
      </w:pPr>
      <w:r w:rsidRPr="005F45DF">
        <w:t>Neni 2</w:t>
      </w:r>
    </w:p>
    <w:p w:rsidR="001367D6" w:rsidRPr="005F45DF" w:rsidRDefault="001367D6" w:rsidP="001367D6">
      <w:pPr>
        <w:pStyle w:val="Paragrafi"/>
      </w:pPr>
    </w:p>
    <w:p w:rsidR="001367D6" w:rsidRPr="005F45DF" w:rsidRDefault="001367D6" w:rsidP="001367D6">
      <w:pPr>
        <w:pStyle w:val="Paragrafi"/>
      </w:pPr>
      <w:r w:rsidRPr="005F45DF">
        <w:t>Aneksi nr.l “Nivelet treguese të taksës mbi ndërtesat” zëvendësohet me aneksin me të njëjtin numër dhe titull, që i bashkëlidhet këtij ligji.</w:t>
      </w:r>
    </w:p>
    <w:p w:rsidR="001367D6" w:rsidRPr="005F45DF" w:rsidRDefault="001367D6" w:rsidP="001367D6">
      <w:pPr>
        <w:pStyle w:val="Paragrafi"/>
      </w:pPr>
    </w:p>
    <w:p w:rsidR="001367D6" w:rsidRPr="005F45DF" w:rsidRDefault="001367D6" w:rsidP="001367D6">
      <w:pPr>
        <w:pStyle w:val="NeniNr"/>
      </w:pPr>
      <w:r w:rsidRPr="005F45DF">
        <w:t>Neni 3</w:t>
      </w:r>
    </w:p>
    <w:p w:rsidR="001367D6" w:rsidRPr="005F45DF" w:rsidRDefault="001367D6" w:rsidP="001367D6">
      <w:pPr>
        <w:pStyle w:val="Paragrafi"/>
      </w:pPr>
    </w:p>
    <w:p w:rsidR="001367D6" w:rsidRPr="005F45DF" w:rsidRDefault="001367D6" w:rsidP="001367D6">
      <w:pPr>
        <w:pStyle w:val="Paragrafi"/>
      </w:pPr>
      <w:r w:rsidRPr="005F45DF">
        <w:t>Ky ligj hyn në fuqi 15 ditë pas botimit në Fletoren Zyrtare.</w:t>
      </w:r>
    </w:p>
    <w:p w:rsidR="001367D6" w:rsidRPr="005F45DF" w:rsidRDefault="001367D6" w:rsidP="001367D6">
      <w:pPr>
        <w:pStyle w:val="Paragrafi"/>
      </w:pPr>
    </w:p>
    <w:p w:rsidR="001367D6" w:rsidRPr="005F45DF" w:rsidRDefault="001367D6" w:rsidP="001367D6">
      <w:pPr>
        <w:pStyle w:val="Shpallja"/>
      </w:pPr>
      <w:r w:rsidRPr="005F45DF">
        <w:t>Shpallur me dekretin nr.5393, datë 16.7.2007 të Presidentit të Republikës së Shqipërisë, Alfred Moisiu</w:t>
      </w:r>
    </w:p>
    <w:p w:rsidR="001367D6" w:rsidRPr="005F45DF" w:rsidRDefault="001367D6" w:rsidP="001367D6">
      <w:pPr>
        <w:pStyle w:val="Paragrafi"/>
      </w:pPr>
    </w:p>
    <w:p w:rsidR="001367D6" w:rsidRPr="005F45DF" w:rsidRDefault="001367D6" w:rsidP="001367D6">
      <w:pPr>
        <w:pStyle w:val="Paragrafi"/>
      </w:pPr>
    </w:p>
    <w:p w:rsidR="001367D6" w:rsidRPr="005F45DF" w:rsidRDefault="001367D6" w:rsidP="001367D6">
      <w:pPr>
        <w:pStyle w:val="Paragrafi"/>
      </w:pPr>
    </w:p>
    <w:p w:rsidR="001367D6" w:rsidRPr="005F45DF" w:rsidRDefault="001367D6" w:rsidP="001367D6">
      <w:pPr>
        <w:pStyle w:val="Paragrafi"/>
      </w:pPr>
    </w:p>
    <w:p w:rsidR="001367D6" w:rsidRPr="005F45DF" w:rsidRDefault="001367D6" w:rsidP="001367D6">
      <w:pPr>
        <w:pStyle w:val="Paragrafi"/>
      </w:pPr>
    </w:p>
    <w:p w:rsidR="001367D6" w:rsidRPr="005F45DF" w:rsidRDefault="001367D6" w:rsidP="001367D6">
      <w:pPr>
        <w:pStyle w:val="Paragrafi"/>
      </w:pPr>
    </w:p>
    <w:p w:rsidR="001367D6" w:rsidRPr="005F45DF" w:rsidRDefault="001367D6" w:rsidP="001367D6">
      <w:pPr>
        <w:pStyle w:val="Paragrafi"/>
      </w:pPr>
    </w:p>
    <w:p w:rsidR="001367D6" w:rsidRPr="005F45DF" w:rsidRDefault="001367D6" w:rsidP="001367D6">
      <w:pPr>
        <w:pStyle w:val="Paragrafi"/>
      </w:pPr>
    </w:p>
    <w:p w:rsidR="001367D6" w:rsidRPr="005F45DF" w:rsidRDefault="001367D6" w:rsidP="001367D6">
      <w:pPr>
        <w:pStyle w:val="Paragrafi"/>
      </w:pPr>
    </w:p>
    <w:p w:rsidR="001367D6" w:rsidRPr="005F45DF" w:rsidRDefault="001367D6" w:rsidP="001367D6">
      <w:pPr>
        <w:pStyle w:val="Paragrafi"/>
      </w:pPr>
    </w:p>
    <w:p w:rsidR="001367D6" w:rsidRPr="005F45DF" w:rsidRDefault="001367D6" w:rsidP="001367D6">
      <w:pPr>
        <w:pStyle w:val="Paragrafi"/>
      </w:pPr>
    </w:p>
    <w:p w:rsidR="001367D6" w:rsidRPr="005F45DF" w:rsidRDefault="001367D6" w:rsidP="001367D6">
      <w:pPr>
        <w:pStyle w:val="Paragrafi"/>
      </w:pPr>
    </w:p>
    <w:p w:rsidR="001367D6" w:rsidRPr="005F45DF" w:rsidRDefault="001367D6" w:rsidP="001367D6">
      <w:pPr>
        <w:pStyle w:val="Paragrafi"/>
      </w:pPr>
    </w:p>
    <w:p w:rsidR="001367D6" w:rsidRPr="005F45DF" w:rsidRDefault="001367D6" w:rsidP="001367D6">
      <w:pPr>
        <w:pStyle w:val="Paragrafi"/>
      </w:pPr>
    </w:p>
    <w:p w:rsidR="001367D6" w:rsidRPr="005F45DF" w:rsidRDefault="001367D6" w:rsidP="001367D6">
      <w:pPr>
        <w:pStyle w:val="Paragrafi"/>
      </w:pPr>
    </w:p>
    <w:p w:rsidR="001367D6" w:rsidRPr="005F45DF" w:rsidRDefault="001367D6" w:rsidP="001367D6">
      <w:pPr>
        <w:pStyle w:val="Paragrafi"/>
      </w:pPr>
    </w:p>
    <w:p w:rsidR="001367D6" w:rsidRPr="005F45DF" w:rsidRDefault="001367D6" w:rsidP="001367D6">
      <w:pPr>
        <w:pStyle w:val="AneksiNr"/>
      </w:pPr>
      <w:r w:rsidRPr="005F45DF">
        <w:t>ANEKSI 1</w:t>
      </w:r>
    </w:p>
    <w:p w:rsidR="001367D6" w:rsidRPr="005F45DF" w:rsidRDefault="001367D6" w:rsidP="001367D6">
      <w:pPr>
        <w:pStyle w:val="Paragrafi"/>
      </w:pPr>
    </w:p>
    <w:p w:rsidR="001367D6" w:rsidRPr="005F45DF" w:rsidRDefault="001367D6" w:rsidP="001367D6">
      <w:pPr>
        <w:pStyle w:val="AneksiTitull"/>
      </w:pPr>
      <w:r w:rsidRPr="005F45DF">
        <w:lastRenderedPageBreak/>
        <w:t>NIVELET TREGUESE TË TAKSËS MBI NDËRTESAT</w:t>
      </w:r>
    </w:p>
    <w:p w:rsidR="001367D6" w:rsidRPr="005F45DF" w:rsidRDefault="001367D6" w:rsidP="001367D6">
      <w:pPr>
        <w:pStyle w:val="Paragraf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1"/>
        <w:gridCol w:w="1747"/>
        <w:gridCol w:w="1873"/>
        <w:gridCol w:w="1811"/>
      </w:tblGrid>
      <w:tr w:rsidR="001367D6" w:rsidRPr="005F45DF">
        <w:tc>
          <w:tcPr>
            <w:tcW w:w="343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p>
        </w:tc>
        <w:tc>
          <w:tcPr>
            <w:tcW w:w="5431" w:type="dxa"/>
            <w:gridSpan w:val="3"/>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p>
          <w:p w:rsidR="001367D6" w:rsidRPr="005F45DF" w:rsidRDefault="001367D6" w:rsidP="001367D6">
            <w:pPr>
              <w:pStyle w:val="Tabele"/>
              <w:rPr>
                <w:rFonts w:eastAsia="MS Mincho"/>
              </w:rPr>
            </w:pPr>
            <w:r w:rsidRPr="005F45DF">
              <w:rPr>
                <w:rFonts w:eastAsia="MS Mincho"/>
              </w:rPr>
              <w:t>Bashkitë</w:t>
            </w:r>
          </w:p>
        </w:tc>
      </w:tr>
      <w:tr w:rsidR="001367D6" w:rsidRPr="005F45DF">
        <w:tc>
          <w:tcPr>
            <w:tcW w:w="343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p>
        </w:tc>
        <w:tc>
          <w:tcPr>
            <w:tcW w:w="1747"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p>
          <w:p w:rsidR="001367D6" w:rsidRPr="005F45DF" w:rsidRDefault="001367D6" w:rsidP="001367D6">
            <w:pPr>
              <w:pStyle w:val="Tabele"/>
              <w:rPr>
                <w:rFonts w:eastAsia="MS Mincho"/>
              </w:rPr>
            </w:pPr>
            <w:r w:rsidRPr="005F45DF">
              <w:rPr>
                <w:rFonts w:eastAsia="MS Mincho"/>
              </w:rPr>
              <w:t>Zona 1</w:t>
            </w:r>
          </w:p>
        </w:tc>
        <w:tc>
          <w:tcPr>
            <w:tcW w:w="1873"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p>
          <w:p w:rsidR="001367D6" w:rsidRPr="005F45DF" w:rsidRDefault="001367D6" w:rsidP="001367D6">
            <w:pPr>
              <w:pStyle w:val="Tabele"/>
              <w:rPr>
                <w:rFonts w:eastAsia="MS Mincho"/>
              </w:rPr>
            </w:pPr>
            <w:r w:rsidRPr="005F45DF">
              <w:rPr>
                <w:rFonts w:eastAsia="MS Mincho"/>
              </w:rPr>
              <w:t>Zona 2</w:t>
            </w:r>
          </w:p>
        </w:tc>
        <w:tc>
          <w:tcPr>
            <w:tcW w:w="181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p>
          <w:p w:rsidR="001367D6" w:rsidRPr="005F45DF" w:rsidRDefault="001367D6" w:rsidP="001367D6">
            <w:pPr>
              <w:pStyle w:val="Tabele"/>
              <w:rPr>
                <w:rFonts w:eastAsia="MS Mincho"/>
              </w:rPr>
            </w:pPr>
            <w:r w:rsidRPr="005F45DF">
              <w:rPr>
                <w:rFonts w:eastAsia="MS Mincho"/>
              </w:rPr>
              <w:t>Zona 3</w:t>
            </w:r>
          </w:p>
        </w:tc>
      </w:tr>
      <w:tr w:rsidR="001367D6" w:rsidRPr="005F45DF">
        <w:tc>
          <w:tcPr>
            <w:tcW w:w="343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Kategoritë minimale të ndërtesave</w:t>
            </w:r>
          </w:p>
        </w:tc>
        <w:tc>
          <w:tcPr>
            <w:tcW w:w="1747" w:type="dxa"/>
            <w:tcBorders>
              <w:top w:val="single" w:sz="4" w:space="0" w:color="auto"/>
              <w:left w:val="single" w:sz="4" w:space="0" w:color="auto"/>
              <w:bottom w:val="single" w:sz="4" w:space="0" w:color="auto"/>
              <w:right w:val="single" w:sz="4" w:space="0" w:color="auto"/>
            </w:tcBorders>
          </w:tcPr>
          <w:p w:rsidR="001367D6" w:rsidRPr="005F45DF" w:rsidRDefault="001367D6" w:rsidP="001367D6">
            <w:pPr>
              <w:pStyle w:val="Tabele"/>
              <w:rPr>
                <w:rFonts w:eastAsia="MS Mincho"/>
              </w:rPr>
            </w:pPr>
          </w:p>
          <w:p w:rsidR="001367D6" w:rsidRPr="005F45DF" w:rsidRDefault="001367D6" w:rsidP="001367D6">
            <w:pPr>
              <w:pStyle w:val="Tabele"/>
              <w:rPr>
                <w:rFonts w:eastAsia="MS Mincho"/>
              </w:rPr>
            </w:pPr>
          </w:p>
          <w:p w:rsidR="001367D6" w:rsidRPr="005F45DF" w:rsidRDefault="001367D6" w:rsidP="001367D6">
            <w:pPr>
              <w:pStyle w:val="Tabele"/>
              <w:rPr>
                <w:rFonts w:eastAsia="MS Mincho"/>
              </w:rPr>
            </w:pPr>
            <w:r w:rsidRPr="005F45DF">
              <w:rPr>
                <w:rFonts w:eastAsia="MS Mincho"/>
              </w:rPr>
              <w:t>Tiranë</w:t>
            </w:r>
          </w:p>
          <w:p w:rsidR="001367D6" w:rsidRPr="005F45DF" w:rsidRDefault="001367D6" w:rsidP="001367D6">
            <w:pPr>
              <w:pStyle w:val="Tabele"/>
              <w:rPr>
                <w:rFonts w:eastAsia="MS Mincho"/>
              </w:rPr>
            </w:pPr>
            <w:r w:rsidRPr="005F45DF">
              <w:rPr>
                <w:rFonts w:eastAsia="MS Mincho"/>
              </w:rPr>
              <w:t>Durrës</w:t>
            </w:r>
          </w:p>
        </w:tc>
        <w:tc>
          <w:tcPr>
            <w:tcW w:w="1873" w:type="dxa"/>
            <w:tcBorders>
              <w:top w:val="single" w:sz="4" w:space="0" w:color="auto"/>
              <w:left w:val="single" w:sz="4" w:space="0" w:color="auto"/>
              <w:bottom w:val="single" w:sz="4" w:space="0" w:color="auto"/>
              <w:right w:val="single" w:sz="4" w:space="0" w:color="auto"/>
            </w:tcBorders>
          </w:tcPr>
          <w:p w:rsidR="001367D6" w:rsidRPr="005F45DF" w:rsidRDefault="001367D6" w:rsidP="001367D6">
            <w:pPr>
              <w:pStyle w:val="Tabele"/>
              <w:rPr>
                <w:rFonts w:eastAsia="MS Mincho"/>
              </w:rPr>
            </w:pPr>
            <w:r w:rsidRPr="005F45DF">
              <w:rPr>
                <w:rFonts w:eastAsia="MS Mincho"/>
              </w:rPr>
              <w:t>Vlorë</w:t>
            </w:r>
          </w:p>
          <w:p w:rsidR="001367D6" w:rsidRPr="005F45DF" w:rsidRDefault="001367D6" w:rsidP="001367D6">
            <w:pPr>
              <w:pStyle w:val="Tabele"/>
              <w:rPr>
                <w:rFonts w:eastAsia="MS Mincho"/>
              </w:rPr>
            </w:pPr>
            <w:r w:rsidRPr="005F45DF">
              <w:rPr>
                <w:rFonts w:eastAsia="MS Mincho"/>
              </w:rPr>
              <w:t>Fier</w:t>
            </w:r>
          </w:p>
          <w:p w:rsidR="001367D6" w:rsidRPr="005F45DF" w:rsidRDefault="001367D6" w:rsidP="001367D6">
            <w:pPr>
              <w:pStyle w:val="Tabele"/>
              <w:rPr>
                <w:rFonts w:eastAsia="MS Mincho"/>
              </w:rPr>
            </w:pPr>
            <w:r w:rsidRPr="005F45DF">
              <w:rPr>
                <w:rFonts w:eastAsia="MS Mincho"/>
              </w:rPr>
              <w:t>Sarandë</w:t>
            </w:r>
          </w:p>
          <w:p w:rsidR="001367D6" w:rsidRPr="005F45DF" w:rsidRDefault="001367D6" w:rsidP="001367D6">
            <w:pPr>
              <w:pStyle w:val="Tabele"/>
              <w:rPr>
                <w:rFonts w:eastAsia="MS Mincho"/>
              </w:rPr>
            </w:pPr>
            <w:r w:rsidRPr="005F45DF">
              <w:rPr>
                <w:rFonts w:eastAsia="MS Mincho"/>
              </w:rPr>
              <w:t>Pogradec</w:t>
            </w:r>
          </w:p>
          <w:p w:rsidR="001367D6" w:rsidRPr="005F45DF" w:rsidRDefault="001367D6" w:rsidP="001367D6">
            <w:pPr>
              <w:pStyle w:val="Tabele"/>
              <w:rPr>
                <w:rFonts w:eastAsia="MS Mincho"/>
              </w:rPr>
            </w:pPr>
            <w:r w:rsidRPr="005F45DF">
              <w:rPr>
                <w:rFonts w:eastAsia="MS Mincho"/>
              </w:rPr>
              <w:t>Korçë</w:t>
            </w:r>
          </w:p>
          <w:p w:rsidR="001367D6" w:rsidRPr="005F45DF" w:rsidRDefault="001367D6" w:rsidP="001367D6">
            <w:pPr>
              <w:pStyle w:val="Tabele"/>
              <w:rPr>
                <w:rFonts w:eastAsia="MS Mincho"/>
              </w:rPr>
            </w:pPr>
            <w:r w:rsidRPr="005F45DF">
              <w:rPr>
                <w:rFonts w:eastAsia="MS Mincho"/>
              </w:rPr>
              <w:t>Elbasan</w:t>
            </w:r>
          </w:p>
          <w:p w:rsidR="001367D6" w:rsidRPr="005F45DF" w:rsidRDefault="001367D6" w:rsidP="001367D6">
            <w:pPr>
              <w:pStyle w:val="Tabele"/>
              <w:rPr>
                <w:rFonts w:eastAsia="MS Mincho"/>
              </w:rPr>
            </w:pPr>
            <w:r w:rsidRPr="005F45DF">
              <w:rPr>
                <w:rFonts w:eastAsia="MS Mincho"/>
              </w:rPr>
              <w:t>Berat</w:t>
            </w:r>
          </w:p>
          <w:p w:rsidR="001367D6" w:rsidRPr="005F45DF" w:rsidRDefault="001367D6" w:rsidP="001367D6">
            <w:pPr>
              <w:pStyle w:val="Tabele"/>
              <w:rPr>
                <w:rFonts w:eastAsia="MS Mincho"/>
              </w:rPr>
            </w:pPr>
            <w:r w:rsidRPr="005F45DF">
              <w:rPr>
                <w:rFonts w:eastAsia="MS Mincho"/>
              </w:rPr>
              <w:t>Lushnjë</w:t>
            </w:r>
          </w:p>
          <w:p w:rsidR="001367D6" w:rsidRPr="005F45DF" w:rsidRDefault="001367D6" w:rsidP="001367D6">
            <w:pPr>
              <w:pStyle w:val="Tabele"/>
              <w:rPr>
                <w:rFonts w:eastAsia="MS Mincho"/>
              </w:rPr>
            </w:pPr>
            <w:r w:rsidRPr="005F45DF">
              <w:rPr>
                <w:rFonts w:eastAsia="MS Mincho"/>
              </w:rPr>
              <w:t>Gjirokastër</w:t>
            </w:r>
          </w:p>
          <w:p w:rsidR="001367D6" w:rsidRPr="005F45DF" w:rsidRDefault="001367D6" w:rsidP="001367D6">
            <w:pPr>
              <w:pStyle w:val="Tabele"/>
              <w:rPr>
                <w:rFonts w:eastAsia="MS Mincho"/>
              </w:rPr>
            </w:pPr>
            <w:r w:rsidRPr="005F45DF">
              <w:rPr>
                <w:rFonts w:eastAsia="MS Mincho"/>
              </w:rPr>
              <w:t>Shkodër</w:t>
            </w:r>
          </w:p>
          <w:p w:rsidR="001367D6" w:rsidRPr="005F45DF" w:rsidRDefault="001367D6" w:rsidP="001367D6">
            <w:pPr>
              <w:pStyle w:val="Tabele"/>
              <w:rPr>
                <w:rFonts w:eastAsia="MS Mincho"/>
              </w:rPr>
            </w:pPr>
            <w:r w:rsidRPr="005F45DF">
              <w:rPr>
                <w:rFonts w:eastAsia="MS Mincho"/>
              </w:rPr>
              <w:t>Kavajë</w:t>
            </w:r>
          </w:p>
          <w:p w:rsidR="001367D6" w:rsidRPr="005F45DF" w:rsidRDefault="001367D6" w:rsidP="001367D6">
            <w:pPr>
              <w:pStyle w:val="Tabele"/>
              <w:rPr>
                <w:rFonts w:eastAsia="MS Mincho"/>
              </w:rPr>
            </w:pPr>
            <w:r w:rsidRPr="005F45DF">
              <w:rPr>
                <w:rFonts w:eastAsia="MS Mincho"/>
              </w:rPr>
              <w:t>Lezhë</w:t>
            </w:r>
          </w:p>
        </w:tc>
        <w:tc>
          <w:tcPr>
            <w:tcW w:w="181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Të gjitha bashkitë e tjera</w:t>
            </w:r>
          </w:p>
        </w:tc>
      </w:tr>
      <w:tr w:rsidR="001367D6" w:rsidRPr="005F45DF">
        <w:tc>
          <w:tcPr>
            <w:tcW w:w="8862" w:type="dxa"/>
            <w:gridSpan w:val="4"/>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p>
          <w:p w:rsidR="001367D6" w:rsidRPr="005F45DF" w:rsidRDefault="001367D6" w:rsidP="001367D6">
            <w:pPr>
              <w:pStyle w:val="Tabele"/>
              <w:rPr>
                <w:rFonts w:eastAsia="MS Mincho"/>
              </w:rPr>
            </w:pPr>
            <w:r w:rsidRPr="005F45DF">
              <w:rPr>
                <w:rFonts w:eastAsia="MS Mincho"/>
              </w:rPr>
              <w:t>Lekë/m2 në vit</w:t>
            </w:r>
          </w:p>
        </w:tc>
      </w:tr>
      <w:tr w:rsidR="001367D6" w:rsidRPr="005F45DF">
        <w:tc>
          <w:tcPr>
            <w:tcW w:w="343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I. Ndërtesa banimi</w:t>
            </w:r>
          </w:p>
        </w:tc>
        <w:tc>
          <w:tcPr>
            <w:tcW w:w="1747"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p>
        </w:tc>
        <w:tc>
          <w:tcPr>
            <w:tcW w:w="1873"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p>
        </w:tc>
        <w:tc>
          <w:tcPr>
            <w:tcW w:w="181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p>
        </w:tc>
      </w:tr>
      <w:tr w:rsidR="001367D6" w:rsidRPr="005F45DF">
        <w:tc>
          <w:tcPr>
            <w:tcW w:w="343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 ndërtuar para 1993-shit</w:t>
            </w:r>
          </w:p>
        </w:tc>
        <w:tc>
          <w:tcPr>
            <w:tcW w:w="1747"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15</w:t>
            </w:r>
          </w:p>
        </w:tc>
        <w:tc>
          <w:tcPr>
            <w:tcW w:w="1873"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10</w:t>
            </w:r>
          </w:p>
        </w:tc>
        <w:tc>
          <w:tcPr>
            <w:tcW w:w="181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5</w:t>
            </w:r>
          </w:p>
        </w:tc>
      </w:tr>
      <w:tr w:rsidR="001367D6" w:rsidRPr="005F45DF">
        <w:tc>
          <w:tcPr>
            <w:tcW w:w="343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 ndërtuar gjatë dhe pas 1993-shit</w:t>
            </w:r>
          </w:p>
        </w:tc>
        <w:tc>
          <w:tcPr>
            <w:tcW w:w="1747"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30</w:t>
            </w:r>
          </w:p>
        </w:tc>
        <w:tc>
          <w:tcPr>
            <w:tcW w:w="1873"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12</w:t>
            </w:r>
          </w:p>
        </w:tc>
        <w:tc>
          <w:tcPr>
            <w:tcW w:w="181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6</w:t>
            </w:r>
          </w:p>
        </w:tc>
      </w:tr>
      <w:tr w:rsidR="001367D6" w:rsidRPr="005F45DF">
        <w:tc>
          <w:tcPr>
            <w:tcW w:w="343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II. Ndërtesa të tjera</w:t>
            </w:r>
          </w:p>
        </w:tc>
        <w:tc>
          <w:tcPr>
            <w:tcW w:w="1747"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p>
        </w:tc>
        <w:tc>
          <w:tcPr>
            <w:tcW w:w="1873"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p>
        </w:tc>
        <w:tc>
          <w:tcPr>
            <w:tcW w:w="181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p>
        </w:tc>
      </w:tr>
      <w:tr w:rsidR="001367D6" w:rsidRPr="005F45DF">
        <w:tc>
          <w:tcPr>
            <w:tcW w:w="343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 për tregti dhe shërbime</w:t>
            </w:r>
          </w:p>
        </w:tc>
        <w:tc>
          <w:tcPr>
            <w:tcW w:w="1747"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200</w:t>
            </w:r>
          </w:p>
        </w:tc>
        <w:tc>
          <w:tcPr>
            <w:tcW w:w="1873"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150</w:t>
            </w:r>
          </w:p>
        </w:tc>
        <w:tc>
          <w:tcPr>
            <w:tcW w:w="181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100</w:t>
            </w:r>
          </w:p>
        </w:tc>
      </w:tr>
      <w:tr w:rsidR="001367D6" w:rsidRPr="005F45DF">
        <w:tc>
          <w:tcPr>
            <w:tcW w:w="343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 të tjera</w:t>
            </w:r>
          </w:p>
        </w:tc>
        <w:tc>
          <w:tcPr>
            <w:tcW w:w="1747"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50</w:t>
            </w:r>
          </w:p>
        </w:tc>
        <w:tc>
          <w:tcPr>
            <w:tcW w:w="1873"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30</w:t>
            </w:r>
          </w:p>
        </w:tc>
        <w:tc>
          <w:tcPr>
            <w:tcW w:w="181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20</w:t>
            </w:r>
          </w:p>
        </w:tc>
      </w:tr>
      <w:tr w:rsidR="001367D6" w:rsidRPr="005F45DF">
        <w:tc>
          <w:tcPr>
            <w:tcW w:w="343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III. Ndërtesa  në pronësi apo në përdorim, në territore të miratuara si fshatra turistike.</w:t>
            </w:r>
          </w:p>
        </w:tc>
        <w:tc>
          <w:tcPr>
            <w:tcW w:w="1747"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200</w:t>
            </w:r>
          </w:p>
        </w:tc>
        <w:tc>
          <w:tcPr>
            <w:tcW w:w="1873"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200</w:t>
            </w:r>
          </w:p>
        </w:tc>
        <w:tc>
          <w:tcPr>
            <w:tcW w:w="1811" w:type="dxa"/>
            <w:tcBorders>
              <w:top w:val="single" w:sz="4" w:space="0" w:color="auto"/>
              <w:left w:val="single" w:sz="4" w:space="0" w:color="auto"/>
              <w:bottom w:val="single" w:sz="4" w:space="0" w:color="auto"/>
              <w:right w:val="single" w:sz="4" w:space="0" w:color="auto"/>
            </w:tcBorders>
            <w:vAlign w:val="center"/>
          </w:tcPr>
          <w:p w:rsidR="001367D6" w:rsidRPr="005F45DF" w:rsidRDefault="001367D6" w:rsidP="001367D6">
            <w:pPr>
              <w:pStyle w:val="Tabele"/>
              <w:rPr>
                <w:rFonts w:eastAsia="MS Mincho"/>
              </w:rPr>
            </w:pPr>
            <w:r w:rsidRPr="005F45DF">
              <w:rPr>
                <w:rFonts w:eastAsia="MS Mincho"/>
              </w:rPr>
              <w:t>200</w:t>
            </w:r>
          </w:p>
        </w:tc>
      </w:tr>
    </w:tbl>
    <w:p w:rsidR="001367D6" w:rsidRPr="005F45DF" w:rsidRDefault="001367D6" w:rsidP="001367D6">
      <w:pPr>
        <w:pStyle w:val="Paragrafi"/>
      </w:pPr>
    </w:p>
    <w:p w:rsidR="001367D6" w:rsidRPr="005F45DF" w:rsidRDefault="001367D6" w:rsidP="001367D6">
      <w:pPr>
        <w:pStyle w:val="Paragrafi"/>
      </w:pPr>
      <w:r w:rsidRPr="005F45DF">
        <w:t>Shënim I: Nivelet treguese të taksës, dhënë në tabelë, janë të vlefshme për ndërtesat në zonat urbane (Bashkitë), si dhe për ndërtesat në të gjithë zonat (urbane dhe rurale)  të seksionit III të tabelës “</w:t>
      </w:r>
      <w:r w:rsidRPr="005F45DF">
        <w:rPr>
          <w:rFonts w:eastAsia="MS Mincho"/>
        </w:rPr>
        <w:t>Ndërtesa  në pronësi apo në përdorim, në territore të miratuara si fshatra turistike”.</w:t>
      </w:r>
    </w:p>
    <w:p w:rsidR="001367D6" w:rsidRPr="005F45DF" w:rsidRDefault="001367D6" w:rsidP="001367D6">
      <w:pPr>
        <w:pStyle w:val="Paragrafi"/>
      </w:pPr>
      <w:r w:rsidRPr="005F45DF">
        <w:t>Shënim II: Në zonat rurale (komunat), niveli tregues i taksës për çdo kategori minimale të ndërtesës (përjashtuar seksionin III) është sa një e dyta e nivelit tregues përkatës të kategorisë minimale të ndërtesës në bashkitë qendër rrethi, në të cilat ndodhet komuna.</w:t>
      </w:r>
    </w:p>
    <w:p w:rsidR="001367D6" w:rsidRPr="005F45DF" w:rsidRDefault="001367D6" w:rsidP="001367D6">
      <w:pPr>
        <w:pStyle w:val="Paragrafi"/>
      </w:pPr>
    </w:p>
    <w:p w:rsidR="001367D6" w:rsidRPr="005F45DF" w:rsidRDefault="001367D6" w:rsidP="001367D6">
      <w:pPr>
        <w:pStyle w:val="Paragrafi"/>
      </w:pPr>
    </w:p>
    <w:p w:rsidR="000178C2" w:rsidRPr="00C84B66" w:rsidRDefault="000178C2" w:rsidP="001367D6">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367D6"/>
    <w:rsid w:val="000178C2"/>
    <w:rsid w:val="001367D6"/>
    <w:rsid w:val="004B1717"/>
    <w:rsid w:val="008F5646"/>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0B9F0D5-6FB7-4B5F-9BC3-06D30D2EE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7D6"/>
    <w:pPr>
      <w:widowControl w:val="0"/>
    </w:pPr>
    <w:rPr>
      <w:rFonts w:ascii="CG Times" w:hAnsi="CG Times"/>
      <w:sz w:val="22"/>
      <w:szCs w:val="22"/>
      <w:lang w:val="sq-AL" w:eastAsia="en-US"/>
    </w:rPr>
  </w:style>
  <w:style w:type="paragraph" w:styleId="Heading1">
    <w:name w:val="heading 1"/>
    <w:basedOn w:val="Normal"/>
    <w:next w:val="Normal"/>
    <w:qFormat/>
    <w:rsid w:val="004B1717"/>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4B1717"/>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B171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B1717"/>
    <w:rPr>
      <w:rFonts w:ascii="CG Times" w:hAnsi="CG Times"/>
      <w:sz w:val="22"/>
      <w:lang w:eastAsia="en-US"/>
    </w:rPr>
  </w:style>
  <w:style w:type="paragraph" w:customStyle="1" w:styleId="AneksiNr">
    <w:name w:val="Aneksi_Nr"/>
    <w:next w:val="Normal"/>
    <w:rsid w:val="004B1717"/>
    <w:pPr>
      <w:keepNext/>
      <w:widowControl w:val="0"/>
      <w:jc w:val="center"/>
    </w:pPr>
    <w:rPr>
      <w:rFonts w:ascii="CG Times" w:hAnsi="CG Times"/>
      <w:caps/>
      <w:sz w:val="22"/>
      <w:szCs w:val="22"/>
      <w:lang w:eastAsia="en-US"/>
    </w:rPr>
  </w:style>
  <w:style w:type="paragraph" w:customStyle="1" w:styleId="AneksiTitull">
    <w:name w:val="Aneksi_Titull"/>
    <w:next w:val="Normal"/>
    <w:rsid w:val="004B1717"/>
    <w:pPr>
      <w:jc w:val="center"/>
    </w:pPr>
    <w:rPr>
      <w:rFonts w:ascii="CG Times" w:hAnsi="CG Times"/>
      <w:sz w:val="24"/>
      <w:szCs w:val="24"/>
      <w:lang w:eastAsia="en-US"/>
    </w:rPr>
  </w:style>
  <w:style w:type="paragraph" w:customStyle="1" w:styleId="Autoriteti">
    <w:name w:val="Autoriteti"/>
    <w:next w:val="Normal"/>
    <w:rsid w:val="004B1717"/>
    <w:pPr>
      <w:keepNext/>
      <w:widowControl w:val="0"/>
      <w:jc w:val="right"/>
    </w:pPr>
    <w:rPr>
      <w:rFonts w:ascii="CG Times" w:hAnsi="CG Times"/>
      <w:caps/>
      <w:sz w:val="22"/>
      <w:szCs w:val="22"/>
      <w:lang w:eastAsia="en-US"/>
    </w:rPr>
  </w:style>
  <w:style w:type="paragraph" w:customStyle="1" w:styleId="AutoritetiEmer">
    <w:name w:val="Autoriteti_Emer"/>
    <w:next w:val="Normal"/>
    <w:rsid w:val="004B1717"/>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B1717"/>
    <w:rPr>
      <w:rFonts w:ascii="CG Times" w:eastAsia="MS Mincho" w:hAnsi="CG Times"/>
      <w:b/>
      <w:sz w:val="22"/>
      <w:szCs w:val="22"/>
      <w:lang w:val="en-GB" w:eastAsia="en-US" w:bidi="ar-SA"/>
    </w:rPr>
  </w:style>
  <w:style w:type="paragraph" w:customStyle="1" w:styleId="BazLigjPropozues">
    <w:name w:val="Baz_Ligj_Propozues"/>
    <w:rsid w:val="004B171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B171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B171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B1717"/>
    <w:pPr>
      <w:spacing w:after="720"/>
      <w:ind w:left="1134"/>
      <w:jc w:val="both"/>
    </w:pPr>
    <w:rPr>
      <w:rFonts w:ascii="Arial" w:hAnsi="Arial"/>
      <w:sz w:val="20"/>
      <w:szCs w:val="20"/>
      <w:lang w:val="en-GB"/>
    </w:rPr>
  </w:style>
  <w:style w:type="paragraph" w:customStyle="1" w:styleId="bcverylastparaa">
    <w:name w:val="bc very last para (a)"/>
    <w:basedOn w:val="Normal"/>
    <w:rsid w:val="004B1717"/>
    <w:pPr>
      <w:spacing w:after="720"/>
      <w:ind w:left="1843" w:hanging="709"/>
      <w:jc w:val="both"/>
    </w:pPr>
    <w:rPr>
      <w:rFonts w:ascii="Arial" w:hAnsi="Arial"/>
      <w:noProof/>
      <w:sz w:val="20"/>
      <w:szCs w:val="20"/>
      <w:lang w:val="en-GB"/>
    </w:rPr>
  </w:style>
  <w:style w:type="paragraph" w:customStyle="1" w:styleId="Bllok">
    <w:name w:val="Bllok"/>
    <w:next w:val="Normal"/>
    <w:rsid w:val="004B1717"/>
    <w:pPr>
      <w:jc w:val="center"/>
    </w:pPr>
    <w:rPr>
      <w:rFonts w:ascii="CG Times" w:hAnsi="CG Times"/>
      <w:caps/>
      <w:sz w:val="22"/>
      <w:szCs w:val="22"/>
      <w:lang w:eastAsia="en-US"/>
    </w:rPr>
  </w:style>
  <w:style w:type="paragraph" w:customStyle="1" w:styleId="extraclauses">
    <w:name w:val="extra_clauses"/>
    <w:basedOn w:val="Normal"/>
    <w:rsid w:val="004B171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B1717"/>
    <w:pPr>
      <w:widowControl w:val="0"/>
      <w:outlineLvl w:val="2"/>
    </w:pPr>
    <w:rPr>
      <w:rFonts w:ascii="CG Times" w:hAnsi="CG Times"/>
      <w:sz w:val="22"/>
      <w:lang w:val="en-US" w:eastAsia="en-US"/>
    </w:rPr>
  </w:style>
  <w:style w:type="paragraph" w:customStyle="1" w:styleId="footnote">
    <w:name w:val="footnote"/>
    <w:basedOn w:val="Normal"/>
    <w:rsid w:val="004B1717"/>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4B1717"/>
    <w:pPr>
      <w:keepNext/>
      <w:widowControl w:val="0"/>
      <w:jc w:val="center"/>
    </w:pPr>
    <w:rPr>
      <w:rFonts w:ascii="CG Times" w:hAnsi="CG Times"/>
      <w:caps/>
      <w:sz w:val="22"/>
      <w:szCs w:val="22"/>
      <w:lang w:eastAsia="en-US"/>
    </w:rPr>
  </w:style>
  <w:style w:type="paragraph" w:customStyle="1" w:styleId="Kapakufund">
    <w:name w:val="Kapaku_fund"/>
    <w:next w:val="Normal"/>
    <w:rsid w:val="004B1717"/>
    <w:pPr>
      <w:pageBreakBefore/>
    </w:pPr>
    <w:rPr>
      <w:rFonts w:ascii="CG Times" w:hAnsi="CG Times"/>
      <w:b/>
      <w:sz w:val="22"/>
      <w:szCs w:val="22"/>
      <w:lang w:val="en-US" w:eastAsia="en-US"/>
    </w:rPr>
  </w:style>
  <w:style w:type="paragraph" w:customStyle="1" w:styleId="KapitulliNr">
    <w:name w:val="Kapitulli_Nr"/>
    <w:rsid w:val="004B1717"/>
    <w:pPr>
      <w:keepNext/>
      <w:widowControl w:val="0"/>
      <w:jc w:val="center"/>
    </w:pPr>
    <w:rPr>
      <w:rFonts w:ascii="CG Times" w:hAnsi="CG Times"/>
      <w:caps/>
      <w:sz w:val="22"/>
      <w:szCs w:val="22"/>
      <w:lang w:eastAsia="en-US"/>
    </w:rPr>
  </w:style>
  <w:style w:type="paragraph" w:customStyle="1" w:styleId="KapitulliTitull">
    <w:name w:val="Kapitulli_Titull"/>
    <w:rsid w:val="004B1717"/>
    <w:pPr>
      <w:keepNext/>
      <w:widowControl w:val="0"/>
      <w:jc w:val="center"/>
    </w:pPr>
    <w:rPr>
      <w:rFonts w:ascii="CG Times" w:hAnsi="CG Times"/>
      <w:caps/>
      <w:sz w:val="22"/>
      <w:szCs w:val="22"/>
      <w:lang w:eastAsia="en-US"/>
    </w:rPr>
  </w:style>
  <w:style w:type="paragraph" w:customStyle="1" w:styleId="KreuNr">
    <w:name w:val="Kreu_Nr"/>
    <w:rsid w:val="004B171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B1717"/>
    <w:pPr>
      <w:keepNext/>
      <w:widowControl w:val="0"/>
      <w:jc w:val="center"/>
    </w:pPr>
    <w:rPr>
      <w:rFonts w:ascii="CG Times" w:hAnsi="CG Times"/>
      <w:caps/>
      <w:sz w:val="22"/>
      <w:szCs w:val="22"/>
      <w:lang w:val="en-US" w:eastAsia="en-US"/>
    </w:rPr>
  </w:style>
  <w:style w:type="paragraph" w:customStyle="1" w:styleId="Ndryshimet">
    <w:name w:val="Ndryshimet"/>
    <w:next w:val="Normal"/>
    <w:rsid w:val="004B1717"/>
    <w:pPr>
      <w:keepNext/>
      <w:widowControl w:val="0"/>
      <w:jc w:val="center"/>
    </w:pPr>
    <w:rPr>
      <w:rFonts w:ascii="CG Times" w:hAnsi="CG Times"/>
      <w:i/>
      <w:sz w:val="22"/>
      <w:lang w:val="en-US" w:eastAsia="en-US"/>
    </w:rPr>
  </w:style>
  <w:style w:type="paragraph" w:customStyle="1" w:styleId="NeniNr">
    <w:name w:val="Neni_Nr"/>
    <w:next w:val="Normal"/>
    <w:rsid w:val="004B1717"/>
    <w:pPr>
      <w:keepNext/>
      <w:widowControl w:val="0"/>
      <w:jc w:val="center"/>
    </w:pPr>
    <w:rPr>
      <w:rFonts w:ascii="CG Times" w:hAnsi="CG Times"/>
      <w:sz w:val="22"/>
      <w:lang w:eastAsia="en-US"/>
    </w:rPr>
  </w:style>
  <w:style w:type="paragraph" w:customStyle="1" w:styleId="NeniTitull">
    <w:name w:val="Neni_Titull"/>
    <w:next w:val="Normal"/>
    <w:rsid w:val="004B1717"/>
    <w:pPr>
      <w:keepNext/>
      <w:widowControl w:val="0"/>
      <w:jc w:val="center"/>
      <w:outlineLvl w:val="2"/>
    </w:pPr>
    <w:rPr>
      <w:rFonts w:ascii="CG Times" w:hAnsi="CG Times"/>
      <w:b/>
      <w:sz w:val="22"/>
      <w:lang w:eastAsia="en-US"/>
    </w:rPr>
  </w:style>
  <w:style w:type="paragraph" w:customStyle="1" w:styleId="NenkreuNr">
    <w:name w:val="Nenkreu_Nr"/>
    <w:rsid w:val="004B1717"/>
    <w:pPr>
      <w:keepNext/>
      <w:widowControl w:val="0"/>
      <w:jc w:val="center"/>
    </w:pPr>
    <w:rPr>
      <w:rFonts w:ascii="CG Times" w:hAnsi="CG Times"/>
      <w:caps/>
      <w:sz w:val="22"/>
      <w:szCs w:val="22"/>
      <w:lang w:eastAsia="en-US"/>
    </w:rPr>
  </w:style>
  <w:style w:type="paragraph" w:customStyle="1" w:styleId="NenkreuTitull">
    <w:name w:val="Nenkreu_Titull"/>
    <w:rsid w:val="004B1717"/>
    <w:pPr>
      <w:jc w:val="center"/>
    </w:pPr>
    <w:rPr>
      <w:rFonts w:ascii="CG Times" w:hAnsi="CG Times"/>
      <w:caps/>
      <w:sz w:val="22"/>
      <w:szCs w:val="22"/>
      <w:lang w:eastAsia="en-US"/>
    </w:rPr>
  </w:style>
  <w:style w:type="paragraph" w:customStyle="1" w:styleId="Nenpika">
    <w:name w:val="Nenpika"/>
    <w:next w:val="Normal"/>
    <w:autoRedefine/>
    <w:rsid w:val="004B171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B1717"/>
    <w:pPr>
      <w:spacing w:after="120"/>
      <w:jc w:val="both"/>
    </w:pPr>
    <w:rPr>
      <w:rFonts w:ascii="Bookman Old Style" w:hAnsi="Bookman Old Style"/>
      <w:szCs w:val="20"/>
    </w:rPr>
  </w:style>
  <w:style w:type="paragraph" w:customStyle="1" w:styleId="numberedindent">
    <w:name w:val="numberedindent"/>
    <w:rsid w:val="004B1717"/>
    <w:pPr>
      <w:tabs>
        <w:tab w:val="num" w:pos="1800"/>
      </w:tabs>
      <w:spacing w:after="120"/>
      <w:jc w:val="both"/>
    </w:pPr>
    <w:rPr>
      <w:rFonts w:ascii="Arial" w:hAnsi="Arial"/>
      <w:lang w:eastAsia="en-US"/>
    </w:rPr>
  </w:style>
  <w:style w:type="paragraph" w:customStyle="1" w:styleId="NumriData">
    <w:name w:val="Numri_Data"/>
    <w:next w:val="Normal"/>
    <w:rsid w:val="004B1717"/>
    <w:pPr>
      <w:keepNext/>
      <w:widowControl w:val="0"/>
      <w:jc w:val="center"/>
      <w:outlineLvl w:val="0"/>
    </w:pPr>
    <w:rPr>
      <w:rFonts w:ascii="CG Times" w:hAnsi="CG Times"/>
      <w:b/>
      <w:sz w:val="22"/>
      <w:lang w:eastAsia="en-US"/>
    </w:rPr>
  </w:style>
  <w:style w:type="paragraph" w:customStyle="1" w:styleId="Paragrafi">
    <w:name w:val="Paragrafi"/>
    <w:rsid w:val="004B1717"/>
    <w:pPr>
      <w:widowControl w:val="0"/>
      <w:ind w:firstLine="720"/>
      <w:jc w:val="both"/>
    </w:pPr>
    <w:rPr>
      <w:rFonts w:ascii="CG Times" w:hAnsi="CG Times"/>
      <w:sz w:val="22"/>
      <w:lang w:val="en-US" w:eastAsia="en-US"/>
    </w:rPr>
  </w:style>
  <w:style w:type="paragraph" w:customStyle="1" w:styleId="Pika">
    <w:name w:val="Pika"/>
    <w:next w:val="Normal"/>
    <w:autoRedefine/>
    <w:rsid w:val="004B1717"/>
    <w:pPr>
      <w:ind w:firstLine="720"/>
    </w:pPr>
    <w:rPr>
      <w:rFonts w:ascii="CG Times" w:hAnsi="CG Times"/>
      <w:sz w:val="22"/>
      <w:lang w:val="en-US" w:eastAsia="en-US"/>
    </w:rPr>
  </w:style>
  <w:style w:type="paragraph" w:customStyle="1" w:styleId="PikeKreu">
    <w:name w:val="Pike_Kreu"/>
    <w:basedOn w:val="Heading1"/>
    <w:rsid w:val="004B1717"/>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B1717"/>
    <w:pPr>
      <w:keepNext/>
      <w:widowControl w:val="0"/>
      <w:jc w:val="center"/>
    </w:pPr>
    <w:rPr>
      <w:rFonts w:ascii="CG Times" w:hAnsi="CG Times"/>
      <w:caps/>
      <w:sz w:val="22"/>
      <w:szCs w:val="22"/>
      <w:lang w:eastAsia="en-US"/>
    </w:rPr>
  </w:style>
  <w:style w:type="paragraph" w:customStyle="1" w:styleId="PjesaTitull">
    <w:name w:val="Pjesa_Titull"/>
    <w:rsid w:val="004B1717"/>
    <w:pPr>
      <w:keepNext/>
      <w:widowControl w:val="0"/>
      <w:jc w:val="center"/>
    </w:pPr>
    <w:rPr>
      <w:rFonts w:ascii="CG Times" w:hAnsi="CG Times"/>
      <w:caps/>
      <w:sz w:val="22"/>
      <w:szCs w:val="22"/>
      <w:lang w:eastAsia="en-US"/>
    </w:rPr>
  </w:style>
  <w:style w:type="paragraph" w:customStyle="1" w:styleId="Shpallja">
    <w:name w:val="Shpallja"/>
    <w:rsid w:val="004B1717"/>
    <w:pPr>
      <w:widowControl w:val="0"/>
      <w:jc w:val="both"/>
    </w:pPr>
    <w:rPr>
      <w:rFonts w:ascii="CG Times" w:hAnsi="CG Times"/>
      <w:b/>
      <w:color w:val="000000"/>
      <w:sz w:val="22"/>
      <w:szCs w:val="22"/>
      <w:lang w:val="sq-AL" w:eastAsia="en-US"/>
    </w:rPr>
  </w:style>
  <w:style w:type="paragraph" w:customStyle="1" w:styleId="Tabele">
    <w:name w:val="Tabele"/>
    <w:rsid w:val="004B1717"/>
    <w:rPr>
      <w:rFonts w:ascii="CG Times" w:hAnsi="CG Times"/>
      <w:sz w:val="22"/>
      <w:lang w:eastAsia="en-US"/>
    </w:rPr>
  </w:style>
  <w:style w:type="paragraph" w:customStyle="1" w:styleId="text">
    <w:name w:val="text"/>
    <w:basedOn w:val="Normal"/>
    <w:rsid w:val="004B1717"/>
    <w:pPr>
      <w:ind w:left="709"/>
      <w:jc w:val="both"/>
    </w:pPr>
    <w:rPr>
      <w:rFonts w:ascii="Arial" w:hAnsi="Arial"/>
      <w:sz w:val="20"/>
      <w:szCs w:val="20"/>
      <w:lang w:val="fr-FR"/>
    </w:rPr>
  </w:style>
  <w:style w:type="paragraph" w:customStyle="1" w:styleId="Titulli">
    <w:name w:val="Titulli"/>
    <w:next w:val="Normal"/>
    <w:link w:val="TitulliChar"/>
    <w:rsid w:val="004B1717"/>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B1717"/>
    <w:rPr>
      <w:rFonts w:ascii="CG Times" w:eastAsia="MS Mincho" w:hAnsi="CG Times"/>
      <w:b/>
      <w:caps/>
      <w:sz w:val="22"/>
      <w:szCs w:val="22"/>
      <w:lang w:val="en-GB" w:eastAsia="en-US" w:bidi="ar-SA"/>
    </w:rPr>
  </w:style>
  <w:style w:type="paragraph" w:customStyle="1" w:styleId="TitulliNr">
    <w:name w:val="Titulli_Nr"/>
    <w:rsid w:val="004B1717"/>
    <w:pPr>
      <w:keepNext/>
      <w:widowControl w:val="0"/>
      <w:jc w:val="center"/>
    </w:pPr>
    <w:rPr>
      <w:rFonts w:ascii="CG Times" w:hAnsi="CG Times"/>
      <w:caps/>
      <w:sz w:val="22"/>
      <w:szCs w:val="22"/>
      <w:lang w:eastAsia="en-US"/>
    </w:rPr>
  </w:style>
  <w:style w:type="paragraph" w:customStyle="1" w:styleId="TitulliTitull">
    <w:name w:val="Titulli_Titull"/>
    <w:rsid w:val="004B1717"/>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B1717"/>
    <w:pPr>
      <w:keepNext/>
      <w:widowControl w:val="0"/>
      <w:jc w:val="center"/>
    </w:pPr>
    <w:rPr>
      <w:rFonts w:ascii="CG Times" w:hAnsi="CG Times"/>
      <w:caps/>
      <w:sz w:val="22"/>
      <w:szCs w:val="22"/>
      <w:lang w:eastAsia="en-US"/>
    </w:rPr>
  </w:style>
  <w:style w:type="character" w:customStyle="1" w:styleId="TitulliChar">
    <w:name w:val="Titulli Char"/>
    <w:basedOn w:val="DefaultParagraphFont"/>
    <w:link w:val="Titulli"/>
    <w:rsid w:val="001367D6"/>
    <w:rPr>
      <w:rFonts w:ascii="CG Times" w:hAnsi="CG Times"/>
      <w:b/>
      <w:caps/>
      <w:sz w:val="22"/>
      <w:szCs w:val="22"/>
      <w:lang w:val="en-GB" w:eastAsia="en-US" w:bidi="ar-SA"/>
    </w:rPr>
  </w:style>
  <w:style w:type="character" w:customStyle="1" w:styleId="VENDOSIChar">
    <w:name w:val="VENDOSI Char"/>
    <w:basedOn w:val="DefaultParagraphFont"/>
    <w:link w:val="VENDOSI"/>
    <w:rsid w:val="001367D6"/>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2019-03-16T15:13:00Z</dcterms:created>
  <dcterms:modified xsi:type="dcterms:W3CDTF">2019-03-16T15:13:00Z</dcterms:modified>
</cp:coreProperties>
</file>