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A8C" w:rsidRPr="005F45DF" w:rsidRDefault="00546A8C" w:rsidP="00546A8C">
      <w:pPr>
        <w:pStyle w:val="Akti"/>
      </w:pPr>
      <w:bookmarkStart w:id="0" w:name="_GoBack"/>
      <w:bookmarkEnd w:id="0"/>
      <w:r w:rsidRPr="005F45DF">
        <w:t>LIGJ</w:t>
      </w:r>
    </w:p>
    <w:p w:rsidR="00546A8C" w:rsidRPr="005F45DF" w:rsidRDefault="00546A8C" w:rsidP="00546A8C">
      <w:pPr>
        <w:pStyle w:val="NumriData"/>
      </w:pPr>
      <w:r w:rsidRPr="005F45DF">
        <w:t>Nr.9766, datë 9.7.2007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Titulli"/>
      </w:pPr>
      <w:r w:rsidRPr="005F45DF">
        <w:t>PËR DISA SHTESA DHE NDRYSHIME NË LIGJIN NR.8438, DATË 28.12.1998 “PËR TATIMIN MBI TË ARDHURAT”, TË NDRYSHUAR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BazLigjPropozues"/>
      </w:pPr>
      <w:r w:rsidRPr="005F45DF">
        <w:t xml:space="preserve">Në mbështetje të neneve 78, 83 pika 1 dhe 155 të Kushtetutës, me propozimin e Këshillit të Ministrave, 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Institucioni"/>
      </w:pPr>
      <w:r w:rsidRPr="005F45DF">
        <w:t>KUVENDI</w:t>
      </w:r>
    </w:p>
    <w:p w:rsidR="00546A8C" w:rsidRPr="005F45DF" w:rsidRDefault="00546A8C" w:rsidP="00546A8C">
      <w:pPr>
        <w:pStyle w:val="Institucioni"/>
      </w:pPr>
      <w:r w:rsidRPr="005F45DF">
        <w:t>I REPUBLIKËS SË SHQIPËRISË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VENDOSI"/>
      </w:pPr>
      <w:r w:rsidRPr="005F45DF">
        <w:t>VENDOSI: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  <w:r w:rsidRPr="005F45DF">
        <w:t>Në ligjin nr.8438, datë 28.12.1998 “Për tatimin mbi të ardhurat”, të ndryshuar, bëhen këto shtesa dhe ndryshime: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NeniNr"/>
      </w:pPr>
      <w:r w:rsidRPr="005F45DF">
        <w:t>Neni 1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  <w:r w:rsidRPr="005F45DF">
        <w:t xml:space="preserve">Tabela nr.1 “Tabela për tatimin mbi të ardhurat”, referuar në nenin 9 e që i bashkëlidhet ligjit, zëvendësohet me pasqyrën nr.l, me të njëjtin titull, që i bashkëlidhet këtij ligji.            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NeniNr"/>
      </w:pPr>
      <w:r w:rsidRPr="005F45DF">
        <w:t>Neni 2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  <w:r w:rsidRPr="005F45DF">
        <w:t>Në nenin 21 bëhen ndryshimet dhe shtesat si më poshtë:</w:t>
      </w:r>
    </w:p>
    <w:p w:rsidR="00546A8C" w:rsidRPr="005F45DF" w:rsidRDefault="00546A8C" w:rsidP="00546A8C">
      <w:pPr>
        <w:pStyle w:val="Paragrafi"/>
      </w:pPr>
      <w:r w:rsidRPr="005F45DF">
        <w:t>1. Në pikën 1 shkronjat “h” e “j” ndryshohen si më poshtë:</w:t>
      </w:r>
    </w:p>
    <w:p w:rsidR="00546A8C" w:rsidRPr="005F45DF" w:rsidRDefault="00546A8C" w:rsidP="00546A8C">
      <w:pPr>
        <w:pStyle w:val="Paragrafi"/>
      </w:pPr>
      <w:r w:rsidRPr="005F45DF">
        <w:t>“h) shpenzimet për përfaqësim dhe shpenzimet për pritje-përcjellje, të cilat tejkalojnë shumën 0,3 për qind të qarkullimit vjetor;”</w:t>
      </w:r>
    </w:p>
    <w:p w:rsidR="00546A8C" w:rsidRPr="005F45DF" w:rsidRDefault="00546A8C" w:rsidP="00546A8C">
      <w:pPr>
        <w:pStyle w:val="Paragrafi"/>
      </w:pPr>
      <w:r w:rsidRPr="005F45DF">
        <w:t>“j) shpenzimet, të cilat tejkalojnë kufijtë e përcaktuar me ligj apo me akte të tjera nënligjore. Për kufijtë e përcaktuar në ligjin nr.7892, datë 21.12.1994 “Për sponsorizimet”, për qëllime tatimore, nuk njihen si shpenzime të zbritshme shumat e sponsorizuara, që tejkalojnë masën 3 për qind të fitimit para tatimit dhe shuma e sponsorizuar për botuesit e shtypit, e cila tejkalon masën 5 për qind të fitimit para tatimit”.</w:t>
      </w:r>
    </w:p>
    <w:p w:rsidR="00546A8C" w:rsidRPr="005F45DF" w:rsidRDefault="00546A8C" w:rsidP="00546A8C">
      <w:pPr>
        <w:pStyle w:val="Paragrafi"/>
      </w:pPr>
      <w:r w:rsidRPr="005F45DF">
        <w:t>2.  Pas shkronjës “m” shtohen shkronjat “n”, “nj” e “o” me këtë përmbajtje:</w:t>
      </w:r>
    </w:p>
    <w:p w:rsidR="00546A8C" w:rsidRPr="005F45DF" w:rsidRDefault="00546A8C" w:rsidP="00546A8C">
      <w:pPr>
        <w:pStyle w:val="Paragrafi"/>
      </w:pPr>
      <w:r w:rsidRPr="005F45DF">
        <w:t>“n) shpenzimet për paga, shpërblime dhe çdo formë tjetër e të ardhurave personale, të cilat lidhen me marrëdhëniet e punësimit, që u janë paguar të punësuarve, përfshirë edhe administratorët, pa kaluar nëpërmjet sistemit bankar.</w:t>
      </w:r>
    </w:p>
    <w:p w:rsidR="00546A8C" w:rsidRPr="005F45DF" w:rsidRDefault="00546A8C" w:rsidP="00546A8C">
      <w:pPr>
        <w:pStyle w:val="Paragrafi"/>
      </w:pPr>
      <w:r w:rsidRPr="005F45DF">
        <w:t>Këshilli i Ministrave përcakton me vendim rastet e përjashtimit nga ky rregull;</w:t>
      </w:r>
    </w:p>
    <w:p w:rsidR="00546A8C" w:rsidRPr="005F45DF" w:rsidRDefault="00546A8C" w:rsidP="00546A8C">
      <w:pPr>
        <w:pStyle w:val="Paragrafi"/>
      </w:pPr>
      <w:r w:rsidRPr="005F45DF">
        <w:t>nj) shumat e paguara në cash, mbi kufijtë e përcaktuar në nenin 36/1 të ligjit nr.8560, datë 22.12.1999 “Për procedurat  tatimore në Republikën e Shqipërisë”, të ndryshuar;</w:t>
      </w:r>
    </w:p>
    <w:p w:rsidR="00546A8C" w:rsidRPr="005F45DF" w:rsidRDefault="00546A8C" w:rsidP="00546A8C">
      <w:pPr>
        <w:pStyle w:val="Paragrafi"/>
      </w:pPr>
      <w:r w:rsidRPr="005F45DF">
        <w:t>o) shpenzimet për shërbime të ndërtimit, montimit dhe punime të tjera të faturuara shoqërive të ndërtimit, nga tatimpagues të biznesit të vogël.”.</w:t>
      </w:r>
    </w:p>
    <w:p w:rsidR="00546A8C" w:rsidRPr="005F45DF" w:rsidRDefault="00546A8C" w:rsidP="00546A8C">
      <w:pPr>
        <w:pStyle w:val="Paragrafi"/>
      </w:pPr>
      <w:r w:rsidRPr="005F45DF">
        <w:t>3.  Në pikën 2 fjalia e fundit ndryshohet si më poshtë:</w:t>
      </w:r>
    </w:p>
    <w:p w:rsidR="00546A8C" w:rsidRPr="005F45DF" w:rsidRDefault="00546A8C" w:rsidP="00546A8C">
      <w:pPr>
        <w:pStyle w:val="Paragrafi"/>
      </w:pPr>
      <w:r w:rsidRPr="005F45DF">
        <w:t>“Ky kufizim nuk zbatohet për bankat, shoqëritë e sigurimeve dhe kompanitë e leasing-ut.”.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NeniNr"/>
      </w:pPr>
      <w:r w:rsidRPr="005F45DF">
        <w:t>Neni 3</w:t>
      </w:r>
    </w:p>
    <w:p w:rsidR="00546A8C" w:rsidRPr="005F45DF" w:rsidRDefault="00546A8C" w:rsidP="00546A8C">
      <w:pPr>
        <w:pStyle w:val="NeniNr"/>
      </w:pPr>
    </w:p>
    <w:p w:rsidR="00546A8C" w:rsidRPr="005F45DF" w:rsidRDefault="00546A8C" w:rsidP="00546A8C">
      <w:pPr>
        <w:pStyle w:val="Paragrafi"/>
      </w:pPr>
      <w:r w:rsidRPr="005F45DF">
        <w:t>Neni 28 ndryshohet si më poshtë: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NeniNr"/>
      </w:pPr>
      <w:r w:rsidRPr="005F45DF">
        <w:lastRenderedPageBreak/>
        <w:t xml:space="preserve">“Neni 28 </w:t>
      </w:r>
    </w:p>
    <w:p w:rsidR="00546A8C" w:rsidRPr="005F45DF" w:rsidRDefault="00546A8C" w:rsidP="00546A8C">
      <w:pPr>
        <w:pStyle w:val="NeniTitull"/>
      </w:pPr>
      <w:r w:rsidRPr="005F45DF">
        <w:t>Shkalla tatimore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  <w:r w:rsidRPr="005F45DF">
        <w:t>Shkalla tatimore e tatimit mbi fitimin deri më 31 dhjetor 2007 është 20 për qind, ndërsa nga data 1 janar 2008 do të jetë 10 për qind.”.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NeniNr"/>
      </w:pPr>
      <w:r w:rsidRPr="005F45DF">
        <w:t>Neni 4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  <w:r w:rsidRPr="005F45DF">
        <w:t>Ky ligj hyn në fuqi 15 ditë pas botimit në Fletoren Zyrtare.</w:t>
      </w: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Shpallja"/>
      </w:pPr>
      <w:r w:rsidRPr="005F45DF">
        <w:t>Shpallur me dekretin nr.5395, datë 16.7.2007 të Presidentit të Republikës së Shqipërisë, Alfred Moisiu</w:t>
      </w:r>
    </w:p>
    <w:p w:rsidR="00546A8C" w:rsidRPr="005F45DF" w:rsidRDefault="00546A8C" w:rsidP="00546A8C">
      <w:pPr>
        <w:pStyle w:val="Paragrafi"/>
      </w:pPr>
      <w:r w:rsidRPr="005F45DF">
        <w:t xml:space="preserve">   </w:t>
      </w:r>
      <w:r w:rsidRPr="005F45DF">
        <w:tab/>
      </w:r>
      <w:r w:rsidRPr="005F45DF">
        <w:tab/>
      </w:r>
      <w:r w:rsidRPr="005F45DF">
        <w:tab/>
      </w:r>
      <w:r w:rsidRPr="005F45DF">
        <w:tab/>
      </w:r>
    </w:p>
    <w:p w:rsidR="00546A8C" w:rsidRPr="005F45DF" w:rsidRDefault="00546A8C" w:rsidP="00546A8C">
      <w:pPr>
        <w:pStyle w:val="TitulliNr"/>
      </w:pPr>
      <w:r w:rsidRPr="005F45DF">
        <w:t>Pasqyra nr.1</w:t>
      </w:r>
    </w:p>
    <w:p w:rsidR="00546A8C" w:rsidRPr="005F45DF" w:rsidRDefault="00546A8C" w:rsidP="00546A8C">
      <w:pPr>
        <w:pStyle w:val="TitulliTitull"/>
      </w:pPr>
      <w:r w:rsidRPr="005F45DF">
        <w:t>TABELA PËR TATIMIN MBI TË ARDHURAT PERSONALE NGA PUNËSIMI</w:t>
      </w:r>
    </w:p>
    <w:p w:rsidR="00546A8C" w:rsidRPr="005F45DF" w:rsidRDefault="00546A8C" w:rsidP="00546A8C">
      <w:pPr>
        <w:pStyle w:val="Paragrafi"/>
      </w:pPr>
    </w:p>
    <w:tbl>
      <w:tblPr>
        <w:tblW w:w="8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4770"/>
      </w:tblGrid>
      <w:tr w:rsidR="00546A8C" w:rsidRPr="005F45D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08" w:type="dxa"/>
          </w:tcPr>
          <w:p w:rsidR="00546A8C" w:rsidRPr="005F45DF" w:rsidRDefault="00546A8C" w:rsidP="00546A8C">
            <w:pPr>
              <w:pStyle w:val="Tabele"/>
            </w:pPr>
            <w:r w:rsidRPr="005F45DF">
              <w:t>E ardhura e tatueshme</w:t>
            </w:r>
          </w:p>
          <w:p w:rsidR="00546A8C" w:rsidRPr="005F45DF" w:rsidRDefault="00546A8C" w:rsidP="00546A8C">
            <w:pPr>
              <w:pStyle w:val="Tabele"/>
            </w:pPr>
            <w:r w:rsidRPr="005F45DF">
              <w:t>(në muaj)</w:t>
            </w:r>
          </w:p>
        </w:tc>
        <w:tc>
          <w:tcPr>
            <w:tcW w:w="1350" w:type="dxa"/>
            <w:tcBorders>
              <w:right w:val="nil"/>
            </w:tcBorders>
          </w:tcPr>
          <w:p w:rsidR="00546A8C" w:rsidRPr="005F45DF" w:rsidRDefault="00546A8C" w:rsidP="00546A8C">
            <w:pPr>
              <w:pStyle w:val="Tabele"/>
            </w:pPr>
          </w:p>
        </w:tc>
        <w:tc>
          <w:tcPr>
            <w:tcW w:w="4770" w:type="dxa"/>
            <w:tcBorders>
              <w:left w:val="nil"/>
            </w:tcBorders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</w:t>
            </w:r>
          </w:p>
          <w:p w:rsidR="00546A8C" w:rsidRPr="005F45DF" w:rsidRDefault="00546A8C" w:rsidP="00546A8C">
            <w:pPr>
              <w:pStyle w:val="Tabele"/>
            </w:pPr>
            <w:r w:rsidRPr="005F45DF">
              <w:t xml:space="preserve">              Përqindje</w:t>
            </w:r>
          </w:p>
        </w:tc>
      </w:tr>
      <w:tr w:rsidR="00546A8C" w:rsidRPr="005F45DF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1908" w:type="dxa"/>
          </w:tcPr>
          <w:p w:rsidR="00546A8C" w:rsidRPr="005F45DF" w:rsidRDefault="00546A8C" w:rsidP="00546A8C">
            <w:pPr>
              <w:pStyle w:val="Tabele"/>
            </w:pPr>
            <w:r w:rsidRPr="005F45DF">
              <w:t>Mbi (lekë)</w:t>
            </w:r>
          </w:p>
        </w:tc>
        <w:tc>
          <w:tcPr>
            <w:tcW w:w="1350" w:type="dxa"/>
          </w:tcPr>
          <w:p w:rsidR="00546A8C" w:rsidRPr="005F45DF" w:rsidRDefault="00546A8C" w:rsidP="00546A8C">
            <w:pPr>
              <w:pStyle w:val="Tabele"/>
            </w:pPr>
            <w:r w:rsidRPr="005F45DF">
              <w:t>Deri në (lekë)</w:t>
            </w:r>
          </w:p>
        </w:tc>
        <w:tc>
          <w:tcPr>
            <w:tcW w:w="4770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</w:t>
            </w:r>
          </w:p>
        </w:tc>
      </w:tr>
      <w:tr w:rsidR="00546A8C" w:rsidRPr="005F45D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1908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     0</w:t>
            </w:r>
          </w:p>
        </w:tc>
        <w:tc>
          <w:tcPr>
            <w:tcW w:w="1350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10 000</w:t>
            </w:r>
          </w:p>
        </w:tc>
        <w:tc>
          <w:tcPr>
            <w:tcW w:w="4770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    0 për qind  </w:t>
            </w:r>
          </w:p>
        </w:tc>
      </w:tr>
      <w:tr w:rsidR="00546A8C" w:rsidRPr="005F45DF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1908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     10 001 +</w:t>
            </w:r>
          </w:p>
        </w:tc>
        <w:tc>
          <w:tcPr>
            <w:tcW w:w="1350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30 000</w:t>
            </w:r>
          </w:p>
        </w:tc>
        <w:tc>
          <w:tcPr>
            <w:tcW w:w="4770" w:type="dxa"/>
          </w:tcPr>
          <w:p w:rsidR="00546A8C" w:rsidRPr="005F45DF" w:rsidRDefault="00546A8C" w:rsidP="00546A8C">
            <w:pPr>
              <w:pStyle w:val="Tabele"/>
            </w:pPr>
            <w:r w:rsidRPr="005F45DF">
              <w:t>+   10 për qind  të shumës mbi 10 000 lekë</w:t>
            </w:r>
          </w:p>
        </w:tc>
      </w:tr>
      <w:tr w:rsidR="00546A8C" w:rsidRPr="005F45DF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908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     30 001 +</w:t>
            </w:r>
          </w:p>
        </w:tc>
        <w:tc>
          <w:tcPr>
            <w:tcW w:w="1350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Më tepër</w:t>
            </w:r>
          </w:p>
        </w:tc>
        <w:tc>
          <w:tcPr>
            <w:tcW w:w="4770" w:type="dxa"/>
          </w:tcPr>
          <w:p w:rsidR="00546A8C" w:rsidRPr="005F45DF" w:rsidRDefault="00546A8C" w:rsidP="00546A8C">
            <w:pPr>
              <w:pStyle w:val="Tabele"/>
            </w:pPr>
            <w:r w:rsidRPr="005F45DF">
              <w:t xml:space="preserve">     10 për qind  të shumës mbi 0 lekë</w:t>
            </w:r>
          </w:p>
        </w:tc>
      </w:tr>
    </w:tbl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Pr="005F45DF" w:rsidRDefault="00546A8C" w:rsidP="00546A8C">
      <w:pPr>
        <w:pStyle w:val="Paragrafi"/>
      </w:pPr>
    </w:p>
    <w:p w:rsidR="00546A8C" w:rsidRDefault="00546A8C" w:rsidP="00546A8C">
      <w:pPr>
        <w:pStyle w:val="Paragrafi"/>
      </w:pPr>
    </w:p>
    <w:p w:rsidR="00546A8C" w:rsidRDefault="00546A8C" w:rsidP="00546A8C">
      <w:pPr>
        <w:pStyle w:val="Paragrafi"/>
      </w:pPr>
    </w:p>
    <w:p w:rsidR="00546A8C" w:rsidRDefault="00546A8C" w:rsidP="00546A8C">
      <w:pPr>
        <w:pStyle w:val="Paragrafi"/>
      </w:pPr>
    </w:p>
    <w:sectPr w:rsidR="00546A8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6A8C"/>
    <w:rsid w:val="000178C2"/>
    <w:rsid w:val="00073C87"/>
    <w:rsid w:val="004B1717"/>
    <w:rsid w:val="00546A8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A7D75E-9698-433C-B5C9-790DA65A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A8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4B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4B1717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B171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B1717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B1717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B171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B171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B171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B171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B1717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B171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B1717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B1717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B171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B171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B1717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B1717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B1717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B1717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B1717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B171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B171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B1717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B1717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B1717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B1717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B171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B17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B171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46A8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46A8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2019-03-16T15:13:00Z</dcterms:created>
  <dcterms:modified xsi:type="dcterms:W3CDTF">2019-03-16T15:13:00Z</dcterms:modified>
</cp:coreProperties>
</file>