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2081" w:rsidRPr="005F45DF" w:rsidRDefault="00FD2081" w:rsidP="00FD2081">
      <w:pPr>
        <w:pStyle w:val="Akti"/>
      </w:pPr>
      <w:bookmarkStart w:id="0" w:name="_GoBack"/>
      <w:bookmarkEnd w:id="0"/>
      <w:r w:rsidRPr="005F45DF">
        <w:t>LIGJ</w:t>
      </w:r>
    </w:p>
    <w:p w:rsidR="00FD2081" w:rsidRPr="005F45DF" w:rsidRDefault="00FD2081" w:rsidP="00FD2081">
      <w:pPr>
        <w:pStyle w:val="NumriData"/>
      </w:pPr>
      <w:r w:rsidRPr="005F45DF">
        <w:t>Nr.9767, datë 9.7.2007</w:t>
      </w:r>
    </w:p>
    <w:p w:rsidR="00FD2081" w:rsidRPr="005F45DF" w:rsidRDefault="00FD2081" w:rsidP="00FD2081">
      <w:pPr>
        <w:pStyle w:val="Paragrafi"/>
      </w:pPr>
    </w:p>
    <w:p w:rsidR="00FD2081" w:rsidRPr="005F45DF" w:rsidRDefault="00FD2081" w:rsidP="00FD2081">
      <w:pPr>
        <w:pStyle w:val="Titulli"/>
      </w:pPr>
      <w:r w:rsidRPr="005F45DF">
        <w:t>PËR DISA SHTESA DHE NDRYSHIME NË LIGJIN NR.8560, DATË 22.12.1999 “PËR PROCEDURAT TATIMORE NË REPUBLIKËN E SHQIPËRISË”, TË NDRYSHUAR</w:t>
      </w:r>
    </w:p>
    <w:p w:rsidR="00FD2081" w:rsidRPr="005F45DF" w:rsidRDefault="00FD2081" w:rsidP="00FD2081">
      <w:pPr>
        <w:pStyle w:val="Paragrafi"/>
      </w:pPr>
    </w:p>
    <w:p w:rsidR="00FD2081" w:rsidRPr="005F45DF" w:rsidRDefault="00FD2081" w:rsidP="00FD2081">
      <w:pPr>
        <w:pStyle w:val="BazLigjPropozues"/>
      </w:pPr>
      <w:r w:rsidRPr="005F45DF">
        <w:t xml:space="preserve">Në mbështetje të neneve 78, 83 pika 1 dhe 155 të Kushtetutës, me propozimin e Këshillit të Ministrave, </w:t>
      </w:r>
    </w:p>
    <w:p w:rsidR="00FD2081" w:rsidRPr="005F45DF" w:rsidRDefault="00FD2081" w:rsidP="00FD2081">
      <w:pPr>
        <w:pStyle w:val="Paragrafi"/>
      </w:pPr>
    </w:p>
    <w:p w:rsidR="00FD2081" w:rsidRPr="005F45DF" w:rsidRDefault="00FD2081" w:rsidP="00FD2081">
      <w:pPr>
        <w:pStyle w:val="Institucioni"/>
      </w:pPr>
      <w:r w:rsidRPr="005F45DF">
        <w:t>KUVENDI</w:t>
      </w:r>
    </w:p>
    <w:p w:rsidR="00FD2081" w:rsidRPr="005F45DF" w:rsidRDefault="00FD2081" w:rsidP="00FD2081">
      <w:pPr>
        <w:pStyle w:val="Institucioni"/>
      </w:pPr>
      <w:r w:rsidRPr="005F45DF">
        <w:t>I REPUBLIKËS SË SHQIPËRISË</w:t>
      </w:r>
    </w:p>
    <w:p w:rsidR="00FD2081" w:rsidRPr="005F45DF" w:rsidRDefault="00FD2081" w:rsidP="00FD2081">
      <w:pPr>
        <w:pStyle w:val="Paragrafi"/>
      </w:pPr>
    </w:p>
    <w:p w:rsidR="00FD2081" w:rsidRPr="005F45DF" w:rsidRDefault="00FD2081" w:rsidP="00FD2081">
      <w:pPr>
        <w:pStyle w:val="VENDOSI"/>
      </w:pPr>
      <w:r w:rsidRPr="005F45DF">
        <w:t>VENDOSI:</w:t>
      </w:r>
    </w:p>
    <w:p w:rsidR="00FD2081" w:rsidRPr="005F45DF" w:rsidRDefault="00FD2081" w:rsidP="00FD2081">
      <w:pPr>
        <w:pStyle w:val="Paragrafi"/>
      </w:pPr>
    </w:p>
    <w:p w:rsidR="00FD2081" w:rsidRPr="005F45DF" w:rsidRDefault="00FD2081" w:rsidP="00FD2081">
      <w:pPr>
        <w:pStyle w:val="Paragrafi"/>
      </w:pPr>
      <w:r w:rsidRPr="005F45DF">
        <w:t>Në ligjin nr.8560, datë 22.12.1999 “Për procedurat tatimore në Republikën e Shqipërisë”, të ndryshuar, bëhen këto shtesa dhe ndryshime:</w:t>
      </w:r>
    </w:p>
    <w:p w:rsidR="00FD2081" w:rsidRPr="005F45DF" w:rsidRDefault="00FD2081" w:rsidP="00FD2081">
      <w:pPr>
        <w:pStyle w:val="Paragrafi"/>
      </w:pPr>
    </w:p>
    <w:p w:rsidR="00FD2081" w:rsidRPr="005F45DF" w:rsidRDefault="00FD2081" w:rsidP="00FD2081">
      <w:pPr>
        <w:pStyle w:val="NeniNr"/>
      </w:pPr>
      <w:r w:rsidRPr="005F45DF">
        <w:t>Neni 1</w:t>
      </w:r>
    </w:p>
    <w:p w:rsidR="00FD2081" w:rsidRPr="005F45DF" w:rsidRDefault="00FD2081" w:rsidP="00FD2081">
      <w:pPr>
        <w:pStyle w:val="Paragrafi"/>
      </w:pPr>
    </w:p>
    <w:p w:rsidR="00FD2081" w:rsidRPr="005F45DF" w:rsidRDefault="00FD2081" w:rsidP="00FD2081">
      <w:pPr>
        <w:pStyle w:val="Paragrafi"/>
      </w:pPr>
      <w:r w:rsidRPr="005F45DF">
        <w:t>Në nenin 17/1, në fund të pikës 4 shtohen paragrafët me këtë përmbajtje:</w:t>
      </w:r>
    </w:p>
    <w:p w:rsidR="00FD2081" w:rsidRPr="005F45DF" w:rsidRDefault="00FD2081" w:rsidP="00FD2081">
      <w:pPr>
        <w:pStyle w:val="Paragrafi"/>
      </w:pPr>
      <w:r w:rsidRPr="005F45DF">
        <w:t>“Oficerët e Policisë Tatimore gëzojnë të njëjtat atribute me oficerët e Policisë Gjyqësore.</w:t>
      </w:r>
    </w:p>
    <w:p w:rsidR="00FD2081" w:rsidRPr="005F45DF" w:rsidRDefault="00FD2081" w:rsidP="00FD2081">
      <w:pPr>
        <w:pStyle w:val="Paragrafi"/>
      </w:pPr>
      <w:r w:rsidRPr="005F45DF">
        <w:t>Procedura e dhënies së këtyre atributeve rregullohet në përputhje me legjislacionin në fuqi.”.</w:t>
      </w:r>
    </w:p>
    <w:p w:rsidR="00FD2081" w:rsidRPr="005F45DF" w:rsidRDefault="00FD2081" w:rsidP="00FD2081">
      <w:pPr>
        <w:pStyle w:val="Paragrafi"/>
      </w:pPr>
    </w:p>
    <w:p w:rsidR="00FD2081" w:rsidRPr="005F45DF" w:rsidRDefault="00FD2081" w:rsidP="00FD2081">
      <w:pPr>
        <w:pStyle w:val="NeniNr"/>
      </w:pPr>
      <w:r w:rsidRPr="005F45DF">
        <w:t>Neni 2</w:t>
      </w:r>
    </w:p>
    <w:p w:rsidR="00FD2081" w:rsidRPr="005F45DF" w:rsidRDefault="00FD2081" w:rsidP="00FD2081">
      <w:pPr>
        <w:pStyle w:val="Paragrafi"/>
      </w:pPr>
    </w:p>
    <w:p w:rsidR="00FD2081" w:rsidRPr="005F45DF" w:rsidRDefault="00FD2081" w:rsidP="00FD2081">
      <w:pPr>
        <w:pStyle w:val="Paragrafi"/>
      </w:pPr>
      <w:r w:rsidRPr="005F45DF">
        <w:t>Në nenin 36 shkronja “ç” ndryshohet si më poshtë:</w:t>
      </w:r>
    </w:p>
    <w:p w:rsidR="00FD2081" w:rsidRPr="005F45DF" w:rsidRDefault="00FD2081" w:rsidP="00FD2081">
      <w:pPr>
        <w:pStyle w:val="Paragrafi"/>
      </w:pPr>
      <w:r w:rsidRPr="005F45DF">
        <w:t>“ç) kur tatimpaguesi kryen, me lekë në dorë, transaksione shitblerjeje, që kalojnë kufirin e përcaktuar në nenin 36/1 të këtij ligji.”.</w:t>
      </w:r>
    </w:p>
    <w:p w:rsidR="00FD2081" w:rsidRDefault="00FD2081" w:rsidP="00FD2081">
      <w:pPr>
        <w:pStyle w:val="NeniNr"/>
      </w:pPr>
    </w:p>
    <w:p w:rsidR="00FD2081" w:rsidRPr="005F45DF" w:rsidRDefault="00FD2081" w:rsidP="00FD2081">
      <w:pPr>
        <w:pStyle w:val="NeniNr"/>
      </w:pPr>
      <w:r w:rsidRPr="005F45DF">
        <w:t>Neni 3</w:t>
      </w:r>
    </w:p>
    <w:p w:rsidR="00FD2081" w:rsidRPr="005F45DF" w:rsidRDefault="00FD2081" w:rsidP="00FD2081">
      <w:pPr>
        <w:pStyle w:val="Paragrafi"/>
      </w:pPr>
    </w:p>
    <w:p w:rsidR="00FD2081" w:rsidRPr="005F45DF" w:rsidRDefault="00FD2081" w:rsidP="00FD2081">
      <w:pPr>
        <w:pStyle w:val="Paragrafi"/>
      </w:pPr>
      <w:r w:rsidRPr="005F45DF">
        <w:t>Neni 36/1 ndryshohet si më poshtë:</w:t>
      </w:r>
    </w:p>
    <w:p w:rsidR="00FD2081" w:rsidRPr="005F45DF" w:rsidRDefault="00FD2081" w:rsidP="00FD2081">
      <w:pPr>
        <w:pStyle w:val="Paragrafi"/>
      </w:pPr>
    </w:p>
    <w:p w:rsidR="00FD2081" w:rsidRPr="005F45DF" w:rsidRDefault="00FD2081" w:rsidP="00FD2081">
      <w:pPr>
        <w:pStyle w:val="NeniNr"/>
      </w:pPr>
      <w:r w:rsidRPr="005F45DF">
        <w:t>“Neni 36/1</w:t>
      </w:r>
    </w:p>
    <w:p w:rsidR="00FD2081" w:rsidRPr="005F45DF" w:rsidRDefault="00FD2081" w:rsidP="00FD2081">
      <w:pPr>
        <w:pStyle w:val="NeniTitull"/>
      </w:pPr>
      <w:r w:rsidRPr="005F45DF">
        <w:t>Arkëtimet dhe pagesat</w:t>
      </w:r>
    </w:p>
    <w:p w:rsidR="00FD2081" w:rsidRPr="005F45DF" w:rsidRDefault="00FD2081" w:rsidP="00FD2081">
      <w:pPr>
        <w:pStyle w:val="Paragrafi"/>
      </w:pPr>
    </w:p>
    <w:p w:rsidR="00FD2081" w:rsidRPr="005F45DF" w:rsidRDefault="00FD2081" w:rsidP="00FD2081">
      <w:pPr>
        <w:pStyle w:val="Paragrafi"/>
      </w:pPr>
      <w:r w:rsidRPr="005F45DF">
        <w:t>Tatimpaguesit mund të kryejnë pagesa në cash për blerje mallrash e shërbimesh deri në shumën 300 000 lekë për çdo blerje, por jo më shumë se 10 për qind të totalit të blerjeve gjatë periudhës tatimore. Mbi këtë shumë, pagesat duhet të kalojnë nëpërmjet xhirimeve në llogarinë bankare.</w:t>
      </w:r>
    </w:p>
    <w:p w:rsidR="00FD2081" w:rsidRPr="005F45DF" w:rsidRDefault="00FD2081" w:rsidP="00FD2081">
      <w:pPr>
        <w:pStyle w:val="Paragrafi"/>
      </w:pPr>
      <w:r w:rsidRPr="005F45DF">
        <w:t>Këshilli i Ministrave përcakton me vendim rastet e përjashtimit nga ky rregull.”.</w:t>
      </w:r>
    </w:p>
    <w:p w:rsidR="00FD2081" w:rsidRPr="005F45DF" w:rsidRDefault="00FD2081" w:rsidP="00FD2081">
      <w:pPr>
        <w:pStyle w:val="Paragrafi"/>
      </w:pPr>
    </w:p>
    <w:p w:rsidR="00FD2081" w:rsidRPr="005F45DF" w:rsidRDefault="00FD2081" w:rsidP="00FD2081">
      <w:pPr>
        <w:pStyle w:val="NeniNr"/>
      </w:pPr>
      <w:r w:rsidRPr="005F45DF">
        <w:t>Neni 4</w:t>
      </w:r>
    </w:p>
    <w:p w:rsidR="00FD2081" w:rsidRPr="005F45DF" w:rsidRDefault="00FD2081" w:rsidP="00FD2081">
      <w:pPr>
        <w:pStyle w:val="Paragrafi"/>
      </w:pPr>
    </w:p>
    <w:p w:rsidR="00FD2081" w:rsidRPr="005F45DF" w:rsidRDefault="00FD2081" w:rsidP="00FD2081">
      <w:pPr>
        <w:pStyle w:val="Paragrafi"/>
      </w:pPr>
      <w:r w:rsidRPr="005F45DF">
        <w:t>Ky ligj hyn në fuqi 15 ditë pas botimit në Fletoren Zyrtare.</w:t>
      </w:r>
    </w:p>
    <w:p w:rsidR="00FD2081" w:rsidRPr="005F45DF" w:rsidRDefault="00FD2081" w:rsidP="00FD2081">
      <w:pPr>
        <w:pStyle w:val="Paragrafi"/>
      </w:pPr>
    </w:p>
    <w:p w:rsidR="00FD2081" w:rsidRPr="005F45DF" w:rsidRDefault="00FD2081" w:rsidP="00FD2081">
      <w:pPr>
        <w:pStyle w:val="Shpallja"/>
      </w:pPr>
      <w:r w:rsidRPr="005F45DF">
        <w:t>Shpallur me dekretin nr.5396, datë 16.7.2007 të Presidentit të Republikës së Shqipërisë, Alfred Moisiu</w:t>
      </w:r>
    </w:p>
    <w:p w:rsidR="00FD2081" w:rsidRPr="005F45DF" w:rsidRDefault="00FD2081" w:rsidP="00FD2081">
      <w:pPr>
        <w:pStyle w:val="Paragrafi"/>
      </w:pPr>
    </w:p>
    <w:p w:rsidR="00FD2081" w:rsidRPr="005F45DF" w:rsidRDefault="00FD2081" w:rsidP="00FD2081">
      <w:pPr>
        <w:pStyle w:val="Paragrafi"/>
      </w:pPr>
    </w:p>
    <w:p w:rsidR="000178C2" w:rsidRPr="00C84B66" w:rsidRDefault="000178C2" w:rsidP="00FD2081">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D2081"/>
    <w:rsid w:val="000178C2"/>
    <w:rsid w:val="00486E15"/>
    <w:rsid w:val="004B1717"/>
    <w:rsid w:val="00C84B66"/>
    <w:rsid w:val="00FD20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6C185AD-B402-496B-8CE5-F28FA6393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4B1717"/>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4B1717"/>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B1717"/>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B1717"/>
    <w:rPr>
      <w:rFonts w:ascii="CG Times" w:hAnsi="CG Times"/>
      <w:sz w:val="22"/>
      <w:lang w:eastAsia="en-US"/>
    </w:rPr>
  </w:style>
  <w:style w:type="paragraph" w:customStyle="1" w:styleId="AneksiNr">
    <w:name w:val="Aneksi_Nr"/>
    <w:next w:val="Normal"/>
    <w:rsid w:val="004B1717"/>
    <w:pPr>
      <w:keepNext/>
      <w:widowControl w:val="0"/>
      <w:jc w:val="center"/>
    </w:pPr>
    <w:rPr>
      <w:rFonts w:ascii="CG Times" w:hAnsi="CG Times"/>
      <w:caps/>
      <w:sz w:val="22"/>
      <w:szCs w:val="22"/>
      <w:lang w:eastAsia="en-US"/>
    </w:rPr>
  </w:style>
  <w:style w:type="paragraph" w:customStyle="1" w:styleId="AneksiTitull">
    <w:name w:val="Aneksi_Titull"/>
    <w:next w:val="Normal"/>
    <w:rsid w:val="004B1717"/>
    <w:pPr>
      <w:jc w:val="center"/>
    </w:pPr>
    <w:rPr>
      <w:rFonts w:ascii="CG Times" w:hAnsi="CG Times"/>
      <w:sz w:val="24"/>
      <w:szCs w:val="24"/>
      <w:lang w:eastAsia="en-US"/>
    </w:rPr>
  </w:style>
  <w:style w:type="paragraph" w:customStyle="1" w:styleId="Autoriteti">
    <w:name w:val="Autoriteti"/>
    <w:next w:val="Normal"/>
    <w:rsid w:val="004B1717"/>
    <w:pPr>
      <w:keepNext/>
      <w:widowControl w:val="0"/>
      <w:jc w:val="right"/>
    </w:pPr>
    <w:rPr>
      <w:rFonts w:ascii="CG Times" w:hAnsi="CG Times"/>
      <w:caps/>
      <w:sz w:val="22"/>
      <w:szCs w:val="22"/>
      <w:lang w:eastAsia="en-US"/>
    </w:rPr>
  </w:style>
  <w:style w:type="paragraph" w:customStyle="1" w:styleId="AutoritetiEmer">
    <w:name w:val="Autoriteti_Emer"/>
    <w:next w:val="Normal"/>
    <w:rsid w:val="004B1717"/>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B1717"/>
    <w:rPr>
      <w:rFonts w:ascii="CG Times" w:eastAsia="MS Mincho" w:hAnsi="CG Times"/>
      <w:b/>
      <w:sz w:val="22"/>
      <w:szCs w:val="22"/>
      <w:lang w:val="en-GB" w:eastAsia="en-US" w:bidi="ar-SA"/>
    </w:rPr>
  </w:style>
  <w:style w:type="paragraph" w:customStyle="1" w:styleId="BazLigjPropozues">
    <w:name w:val="Baz_Ligj_Propozues"/>
    <w:rsid w:val="004B1717"/>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B1717"/>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B1717"/>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B1717"/>
    <w:pPr>
      <w:spacing w:after="720"/>
      <w:ind w:left="1134"/>
      <w:jc w:val="both"/>
    </w:pPr>
    <w:rPr>
      <w:rFonts w:ascii="Arial" w:hAnsi="Arial"/>
      <w:sz w:val="20"/>
      <w:szCs w:val="20"/>
      <w:lang w:val="en-GB"/>
    </w:rPr>
  </w:style>
  <w:style w:type="paragraph" w:customStyle="1" w:styleId="bcverylastparaa">
    <w:name w:val="bc very last para (a)"/>
    <w:basedOn w:val="Normal"/>
    <w:rsid w:val="004B1717"/>
    <w:pPr>
      <w:spacing w:after="720"/>
      <w:ind w:left="1843" w:hanging="709"/>
      <w:jc w:val="both"/>
    </w:pPr>
    <w:rPr>
      <w:rFonts w:ascii="Arial" w:hAnsi="Arial"/>
      <w:noProof/>
      <w:sz w:val="20"/>
      <w:szCs w:val="20"/>
      <w:lang w:val="en-GB"/>
    </w:rPr>
  </w:style>
  <w:style w:type="paragraph" w:customStyle="1" w:styleId="Bllok">
    <w:name w:val="Bllok"/>
    <w:next w:val="Normal"/>
    <w:rsid w:val="004B1717"/>
    <w:pPr>
      <w:jc w:val="center"/>
    </w:pPr>
    <w:rPr>
      <w:rFonts w:ascii="CG Times" w:hAnsi="CG Times"/>
      <w:caps/>
      <w:sz w:val="22"/>
      <w:szCs w:val="22"/>
      <w:lang w:eastAsia="en-US"/>
    </w:rPr>
  </w:style>
  <w:style w:type="paragraph" w:customStyle="1" w:styleId="extraclauses">
    <w:name w:val="extra_clauses"/>
    <w:basedOn w:val="Normal"/>
    <w:rsid w:val="004B1717"/>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B1717"/>
    <w:pPr>
      <w:widowControl w:val="0"/>
      <w:outlineLvl w:val="2"/>
    </w:pPr>
    <w:rPr>
      <w:rFonts w:ascii="CG Times" w:hAnsi="CG Times"/>
      <w:sz w:val="22"/>
      <w:lang w:val="en-US" w:eastAsia="en-US"/>
    </w:rPr>
  </w:style>
  <w:style w:type="paragraph" w:customStyle="1" w:styleId="footnote">
    <w:name w:val="footnote"/>
    <w:basedOn w:val="Normal"/>
    <w:rsid w:val="004B1717"/>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4B1717"/>
    <w:pPr>
      <w:keepNext/>
      <w:widowControl w:val="0"/>
      <w:jc w:val="center"/>
    </w:pPr>
    <w:rPr>
      <w:rFonts w:ascii="CG Times" w:hAnsi="CG Times"/>
      <w:caps/>
      <w:sz w:val="22"/>
      <w:szCs w:val="22"/>
      <w:lang w:eastAsia="en-US"/>
    </w:rPr>
  </w:style>
  <w:style w:type="paragraph" w:customStyle="1" w:styleId="Kapakufund">
    <w:name w:val="Kapaku_fund"/>
    <w:next w:val="Normal"/>
    <w:rsid w:val="004B1717"/>
    <w:pPr>
      <w:pageBreakBefore/>
    </w:pPr>
    <w:rPr>
      <w:rFonts w:ascii="CG Times" w:hAnsi="CG Times"/>
      <w:b/>
      <w:sz w:val="22"/>
      <w:szCs w:val="22"/>
      <w:lang w:val="en-US" w:eastAsia="en-US"/>
    </w:rPr>
  </w:style>
  <w:style w:type="paragraph" w:customStyle="1" w:styleId="KapitulliNr">
    <w:name w:val="Kapitulli_Nr"/>
    <w:rsid w:val="004B1717"/>
    <w:pPr>
      <w:keepNext/>
      <w:widowControl w:val="0"/>
      <w:jc w:val="center"/>
    </w:pPr>
    <w:rPr>
      <w:rFonts w:ascii="CG Times" w:hAnsi="CG Times"/>
      <w:caps/>
      <w:sz w:val="22"/>
      <w:szCs w:val="22"/>
      <w:lang w:eastAsia="en-US"/>
    </w:rPr>
  </w:style>
  <w:style w:type="paragraph" w:customStyle="1" w:styleId="KapitulliTitull">
    <w:name w:val="Kapitulli_Titull"/>
    <w:rsid w:val="004B1717"/>
    <w:pPr>
      <w:keepNext/>
      <w:widowControl w:val="0"/>
      <w:jc w:val="center"/>
    </w:pPr>
    <w:rPr>
      <w:rFonts w:ascii="CG Times" w:hAnsi="CG Times"/>
      <w:caps/>
      <w:sz w:val="22"/>
      <w:szCs w:val="22"/>
      <w:lang w:eastAsia="en-US"/>
    </w:rPr>
  </w:style>
  <w:style w:type="paragraph" w:customStyle="1" w:styleId="KreuNr">
    <w:name w:val="Kreu_Nr"/>
    <w:rsid w:val="004B1717"/>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B1717"/>
    <w:pPr>
      <w:keepNext/>
      <w:widowControl w:val="0"/>
      <w:jc w:val="center"/>
    </w:pPr>
    <w:rPr>
      <w:rFonts w:ascii="CG Times" w:hAnsi="CG Times"/>
      <w:caps/>
      <w:sz w:val="22"/>
      <w:szCs w:val="22"/>
      <w:lang w:val="en-US" w:eastAsia="en-US"/>
    </w:rPr>
  </w:style>
  <w:style w:type="paragraph" w:customStyle="1" w:styleId="Ndryshimet">
    <w:name w:val="Ndryshimet"/>
    <w:next w:val="Normal"/>
    <w:rsid w:val="004B1717"/>
    <w:pPr>
      <w:keepNext/>
      <w:widowControl w:val="0"/>
      <w:jc w:val="center"/>
    </w:pPr>
    <w:rPr>
      <w:rFonts w:ascii="CG Times" w:hAnsi="CG Times"/>
      <w:i/>
      <w:sz w:val="22"/>
      <w:lang w:val="en-US" w:eastAsia="en-US"/>
    </w:rPr>
  </w:style>
  <w:style w:type="paragraph" w:customStyle="1" w:styleId="NeniNr">
    <w:name w:val="Neni_Nr"/>
    <w:next w:val="Normal"/>
    <w:rsid w:val="004B1717"/>
    <w:pPr>
      <w:keepNext/>
      <w:widowControl w:val="0"/>
      <w:jc w:val="center"/>
    </w:pPr>
    <w:rPr>
      <w:rFonts w:ascii="CG Times" w:hAnsi="CG Times"/>
      <w:sz w:val="22"/>
      <w:lang w:eastAsia="en-US"/>
    </w:rPr>
  </w:style>
  <w:style w:type="paragraph" w:customStyle="1" w:styleId="NeniTitull">
    <w:name w:val="Neni_Titull"/>
    <w:next w:val="Normal"/>
    <w:rsid w:val="004B1717"/>
    <w:pPr>
      <w:keepNext/>
      <w:widowControl w:val="0"/>
      <w:jc w:val="center"/>
      <w:outlineLvl w:val="2"/>
    </w:pPr>
    <w:rPr>
      <w:rFonts w:ascii="CG Times" w:hAnsi="CG Times"/>
      <w:b/>
      <w:sz w:val="22"/>
      <w:lang w:eastAsia="en-US"/>
    </w:rPr>
  </w:style>
  <w:style w:type="paragraph" w:customStyle="1" w:styleId="NenkreuNr">
    <w:name w:val="Nenkreu_Nr"/>
    <w:rsid w:val="004B1717"/>
    <w:pPr>
      <w:keepNext/>
      <w:widowControl w:val="0"/>
      <w:jc w:val="center"/>
    </w:pPr>
    <w:rPr>
      <w:rFonts w:ascii="CG Times" w:hAnsi="CG Times"/>
      <w:caps/>
      <w:sz w:val="22"/>
      <w:szCs w:val="22"/>
      <w:lang w:eastAsia="en-US"/>
    </w:rPr>
  </w:style>
  <w:style w:type="paragraph" w:customStyle="1" w:styleId="NenkreuTitull">
    <w:name w:val="Nenkreu_Titull"/>
    <w:rsid w:val="004B1717"/>
    <w:pPr>
      <w:jc w:val="center"/>
    </w:pPr>
    <w:rPr>
      <w:rFonts w:ascii="CG Times" w:hAnsi="CG Times"/>
      <w:caps/>
      <w:sz w:val="22"/>
      <w:szCs w:val="22"/>
      <w:lang w:eastAsia="en-US"/>
    </w:rPr>
  </w:style>
  <w:style w:type="paragraph" w:customStyle="1" w:styleId="Nenpika">
    <w:name w:val="Nenpika"/>
    <w:next w:val="Normal"/>
    <w:autoRedefine/>
    <w:rsid w:val="004B1717"/>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B1717"/>
    <w:pPr>
      <w:spacing w:after="120"/>
      <w:jc w:val="both"/>
    </w:pPr>
    <w:rPr>
      <w:rFonts w:ascii="Bookman Old Style" w:hAnsi="Bookman Old Style"/>
      <w:szCs w:val="20"/>
    </w:rPr>
  </w:style>
  <w:style w:type="paragraph" w:customStyle="1" w:styleId="numberedindent">
    <w:name w:val="numberedindent"/>
    <w:rsid w:val="004B1717"/>
    <w:pPr>
      <w:tabs>
        <w:tab w:val="num" w:pos="1800"/>
      </w:tabs>
      <w:spacing w:after="120"/>
      <w:jc w:val="both"/>
    </w:pPr>
    <w:rPr>
      <w:rFonts w:ascii="Arial" w:hAnsi="Arial"/>
      <w:lang w:eastAsia="en-US"/>
    </w:rPr>
  </w:style>
  <w:style w:type="paragraph" w:customStyle="1" w:styleId="NumriData">
    <w:name w:val="Numri_Data"/>
    <w:next w:val="Normal"/>
    <w:rsid w:val="004B1717"/>
    <w:pPr>
      <w:keepNext/>
      <w:widowControl w:val="0"/>
      <w:jc w:val="center"/>
      <w:outlineLvl w:val="0"/>
    </w:pPr>
    <w:rPr>
      <w:rFonts w:ascii="CG Times" w:hAnsi="CG Times"/>
      <w:b/>
      <w:sz w:val="22"/>
      <w:lang w:eastAsia="en-US"/>
    </w:rPr>
  </w:style>
  <w:style w:type="paragraph" w:customStyle="1" w:styleId="Paragrafi">
    <w:name w:val="Paragrafi"/>
    <w:rsid w:val="004B1717"/>
    <w:pPr>
      <w:widowControl w:val="0"/>
      <w:ind w:firstLine="720"/>
      <w:jc w:val="both"/>
    </w:pPr>
    <w:rPr>
      <w:rFonts w:ascii="CG Times" w:hAnsi="CG Times"/>
      <w:sz w:val="22"/>
      <w:lang w:val="en-US" w:eastAsia="en-US"/>
    </w:rPr>
  </w:style>
  <w:style w:type="paragraph" w:customStyle="1" w:styleId="Pika">
    <w:name w:val="Pika"/>
    <w:next w:val="Normal"/>
    <w:autoRedefine/>
    <w:rsid w:val="004B1717"/>
    <w:pPr>
      <w:ind w:firstLine="720"/>
    </w:pPr>
    <w:rPr>
      <w:rFonts w:ascii="CG Times" w:hAnsi="CG Times"/>
      <w:sz w:val="22"/>
      <w:lang w:val="en-US" w:eastAsia="en-US"/>
    </w:rPr>
  </w:style>
  <w:style w:type="paragraph" w:customStyle="1" w:styleId="PikeKreu">
    <w:name w:val="Pike_Kreu"/>
    <w:basedOn w:val="Heading1"/>
    <w:rsid w:val="004B1717"/>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B1717"/>
    <w:pPr>
      <w:keepNext/>
      <w:widowControl w:val="0"/>
      <w:jc w:val="center"/>
    </w:pPr>
    <w:rPr>
      <w:rFonts w:ascii="CG Times" w:hAnsi="CG Times"/>
      <w:caps/>
      <w:sz w:val="22"/>
      <w:szCs w:val="22"/>
      <w:lang w:eastAsia="en-US"/>
    </w:rPr>
  </w:style>
  <w:style w:type="paragraph" w:customStyle="1" w:styleId="PjesaTitull">
    <w:name w:val="Pjesa_Titull"/>
    <w:rsid w:val="004B1717"/>
    <w:pPr>
      <w:keepNext/>
      <w:widowControl w:val="0"/>
      <w:jc w:val="center"/>
    </w:pPr>
    <w:rPr>
      <w:rFonts w:ascii="CG Times" w:hAnsi="CG Times"/>
      <w:caps/>
      <w:sz w:val="22"/>
      <w:szCs w:val="22"/>
      <w:lang w:eastAsia="en-US"/>
    </w:rPr>
  </w:style>
  <w:style w:type="paragraph" w:customStyle="1" w:styleId="Shpallja">
    <w:name w:val="Shpallja"/>
    <w:rsid w:val="004B1717"/>
    <w:pPr>
      <w:widowControl w:val="0"/>
      <w:jc w:val="both"/>
    </w:pPr>
    <w:rPr>
      <w:rFonts w:ascii="CG Times" w:hAnsi="CG Times"/>
      <w:b/>
      <w:color w:val="000000"/>
      <w:sz w:val="22"/>
      <w:szCs w:val="22"/>
      <w:lang w:val="sq-AL" w:eastAsia="en-US"/>
    </w:rPr>
  </w:style>
  <w:style w:type="paragraph" w:customStyle="1" w:styleId="Tabele">
    <w:name w:val="Tabele"/>
    <w:rsid w:val="004B1717"/>
    <w:rPr>
      <w:rFonts w:ascii="CG Times" w:hAnsi="CG Times"/>
      <w:sz w:val="22"/>
      <w:lang w:eastAsia="en-US"/>
    </w:rPr>
  </w:style>
  <w:style w:type="paragraph" w:customStyle="1" w:styleId="text">
    <w:name w:val="text"/>
    <w:basedOn w:val="Normal"/>
    <w:rsid w:val="004B1717"/>
    <w:pPr>
      <w:ind w:left="709"/>
      <w:jc w:val="both"/>
    </w:pPr>
    <w:rPr>
      <w:rFonts w:ascii="Arial" w:hAnsi="Arial"/>
      <w:sz w:val="20"/>
      <w:szCs w:val="20"/>
      <w:lang w:val="fr-FR"/>
    </w:rPr>
  </w:style>
  <w:style w:type="paragraph" w:customStyle="1" w:styleId="Titulli">
    <w:name w:val="Titulli"/>
    <w:next w:val="Normal"/>
    <w:link w:val="TitulliChar"/>
    <w:rsid w:val="004B1717"/>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B1717"/>
    <w:rPr>
      <w:rFonts w:ascii="CG Times" w:eastAsia="MS Mincho" w:hAnsi="CG Times"/>
      <w:b/>
      <w:caps/>
      <w:sz w:val="22"/>
      <w:szCs w:val="22"/>
      <w:lang w:val="en-GB" w:eastAsia="en-US" w:bidi="ar-SA"/>
    </w:rPr>
  </w:style>
  <w:style w:type="paragraph" w:customStyle="1" w:styleId="TitulliNr">
    <w:name w:val="Titulli_Nr"/>
    <w:rsid w:val="004B1717"/>
    <w:pPr>
      <w:keepNext/>
      <w:widowControl w:val="0"/>
      <w:jc w:val="center"/>
    </w:pPr>
    <w:rPr>
      <w:rFonts w:ascii="CG Times" w:hAnsi="CG Times"/>
      <w:caps/>
      <w:sz w:val="22"/>
      <w:szCs w:val="22"/>
      <w:lang w:eastAsia="en-US"/>
    </w:rPr>
  </w:style>
  <w:style w:type="paragraph" w:customStyle="1" w:styleId="TitulliTitull">
    <w:name w:val="Titulli_Titull"/>
    <w:rsid w:val="004B1717"/>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B1717"/>
    <w:pPr>
      <w:keepNext/>
      <w:widowControl w:val="0"/>
      <w:jc w:val="center"/>
    </w:pPr>
    <w:rPr>
      <w:rFonts w:ascii="CG Times" w:hAnsi="CG Times"/>
      <w:caps/>
      <w:sz w:val="22"/>
      <w:szCs w:val="22"/>
      <w:lang w:eastAsia="en-US"/>
    </w:rPr>
  </w:style>
  <w:style w:type="character" w:customStyle="1" w:styleId="TitulliChar">
    <w:name w:val="Titulli Char"/>
    <w:basedOn w:val="DefaultParagraphFont"/>
    <w:link w:val="Titulli"/>
    <w:rsid w:val="00FD2081"/>
    <w:rPr>
      <w:rFonts w:ascii="CG Times" w:hAnsi="CG Times"/>
      <w:b/>
      <w:caps/>
      <w:sz w:val="22"/>
      <w:szCs w:val="22"/>
      <w:lang w:val="en-GB" w:eastAsia="en-US" w:bidi="ar-SA"/>
    </w:rPr>
  </w:style>
  <w:style w:type="character" w:customStyle="1" w:styleId="VENDOSIChar">
    <w:name w:val="VENDOSI Char"/>
    <w:basedOn w:val="DefaultParagraphFont"/>
    <w:link w:val="VENDOSI"/>
    <w:rsid w:val="00FD2081"/>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229</Words>
  <Characters>1307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2019-03-16T15:13:00Z</dcterms:created>
  <dcterms:modified xsi:type="dcterms:W3CDTF">2019-03-16T15:13:00Z</dcterms:modified>
</cp:coreProperties>
</file>