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3B" w:rsidRPr="008F2F69" w:rsidRDefault="00F3663B" w:rsidP="00F3663B">
      <w:pPr>
        <w:pStyle w:val="Akti"/>
      </w:pPr>
      <w:bookmarkStart w:id="0" w:name="_GoBack"/>
      <w:bookmarkEnd w:id="0"/>
      <w:r w:rsidRPr="008F2F69">
        <w:t>LIGJ</w:t>
      </w:r>
    </w:p>
    <w:p w:rsidR="00F3663B" w:rsidRPr="008F2F69" w:rsidRDefault="00F3663B" w:rsidP="00F3663B">
      <w:pPr>
        <w:pStyle w:val="NumriData"/>
      </w:pPr>
      <w:r w:rsidRPr="008F2F69">
        <w:t>Nr.9784, datë 19.7.2007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Titulli"/>
      </w:pPr>
      <w:r w:rsidRPr="008F2F69">
        <w:t xml:space="preserve">PËR DISA NDRYSHIME NË LIGJIN NR.9645, DATË 27.11.2006 </w:t>
      </w:r>
    </w:p>
    <w:p w:rsidR="00F3663B" w:rsidRPr="008F2F69" w:rsidRDefault="00F3663B" w:rsidP="00F3663B">
      <w:pPr>
        <w:pStyle w:val="Titulli"/>
      </w:pPr>
      <w:r w:rsidRPr="008F2F69">
        <w:t>“PËR  BUXHETIN E SHTETIT TË VITIT 2007”</w:t>
      </w:r>
    </w:p>
    <w:p w:rsidR="00F3663B" w:rsidRPr="008F2F69" w:rsidRDefault="00F3663B" w:rsidP="00F3663B">
      <w:pPr>
        <w:pStyle w:val="Titulli"/>
      </w:pPr>
    </w:p>
    <w:p w:rsidR="00F3663B" w:rsidRPr="008F2F69" w:rsidRDefault="00F3663B" w:rsidP="00F3663B">
      <w:pPr>
        <w:pStyle w:val="BazLigjPropozues"/>
      </w:pPr>
      <w:r w:rsidRPr="008F2F69">
        <w:t xml:space="preserve">Në mbështetje të neneve 78, 83 pika 1 dhe 158 të Kushtetutës, me propozimin e Këshillit të Ministrave, 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Institucioni"/>
      </w:pPr>
      <w:r w:rsidRPr="008F2F69">
        <w:t>KUVENDI</w:t>
      </w:r>
    </w:p>
    <w:p w:rsidR="00F3663B" w:rsidRPr="008F2F69" w:rsidRDefault="00F3663B" w:rsidP="00F3663B">
      <w:pPr>
        <w:pStyle w:val="Institucioni"/>
      </w:pPr>
      <w:r w:rsidRPr="008F2F69">
        <w:t>I REPUBLIKËS SË SHQIPËRISË</w:t>
      </w:r>
    </w:p>
    <w:p w:rsidR="00F3663B" w:rsidRPr="008F2F69" w:rsidRDefault="00F3663B" w:rsidP="00F3663B">
      <w:pPr>
        <w:pStyle w:val="Institucioni"/>
      </w:pPr>
    </w:p>
    <w:p w:rsidR="00F3663B" w:rsidRPr="008F2F69" w:rsidRDefault="00F3663B" w:rsidP="00F3663B">
      <w:pPr>
        <w:pStyle w:val="VENDOSI"/>
      </w:pPr>
      <w:r w:rsidRPr="008F2F69">
        <w:t>VENDOSI: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Në ligjin nr.9645, datë 27.11.2006 “Për Buxhetin e Shtetit të vitit 2007”, bëhen këto ndryshime: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1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1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1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Buxheti i Shtetit për vitin 2007 është:</w:t>
      </w:r>
    </w:p>
    <w:p w:rsidR="00F3663B" w:rsidRPr="008F2F69" w:rsidRDefault="00F3663B" w:rsidP="00F3663B">
      <w:pPr>
        <w:pStyle w:val="Paragrafi"/>
      </w:pPr>
      <w:r w:rsidRPr="008F2F69">
        <w:t>Të ardhurat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264 288 milionë lekë;</w:t>
      </w:r>
    </w:p>
    <w:p w:rsidR="00F3663B" w:rsidRPr="008F2F69" w:rsidRDefault="00F3663B" w:rsidP="00F3663B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309 727 milionë lekë;</w:t>
      </w:r>
    </w:p>
    <w:p w:rsidR="00F3663B" w:rsidRPr="008F2F69" w:rsidRDefault="00F3663B" w:rsidP="00F3663B">
      <w:pPr>
        <w:pStyle w:val="Paragrafi"/>
      </w:pPr>
      <w:r w:rsidRPr="008F2F69">
        <w:t>Deficiti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45 439 milionë lekë.</w:t>
      </w:r>
    </w:p>
    <w:p w:rsidR="00F3663B" w:rsidRPr="008F2F69" w:rsidRDefault="00F3663B" w:rsidP="00F3663B">
      <w:pPr>
        <w:pStyle w:val="Paragrafi"/>
      </w:pPr>
      <w:r w:rsidRPr="008F2F69">
        <w:t>Buxheti i Shtetit përbëhet nga fondi i konsoliduar, buxheti i sigurimeve shoqërore dhe buxheti i sigurimeve shëndetësore.”.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</w:p>
    <w:p w:rsidR="00F3663B" w:rsidRDefault="00F3663B" w:rsidP="00F3663B">
      <w:pPr>
        <w:pStyle w:val="NeniNr"/>
      </w:pPr>
    </w:p>
    <w:p w:rsidR="00F3663B" w:rsidRPr="008F2F69" w:rsidRDefault="00F3663B" w:rsidP="00F3663B">
      <w:pPr>
        <w:pStyle w:val="NeniNr"/>
      </w:pPr>
      <w:r w:rsidRPr="008F2F69">
        <w:t>Neni 2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2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2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A. Fondi i konsoliduar për vitin 2007 është:</w:t>
      </w:r>
    </w:p>
    <w:p w:rsidR="00F3663B" w:rsidRPr="008F2F69" w:rsidRDefault="00F3663B" w:rsidP="00F3663B">
      <w:pPr>
        <w:pStyle w:val="Paragrafi"/>
      </w:pPr>
      <w:r w:rsidRPr="008F2F69">
        <w:t>Të ardhurat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221 488 milionë lekë;</w:t>
      </w:r>
    </w:p>
    <w:p w:rsidR="00F3663B" w:rsidRPr="008F2F69" w:rsidRDefault="00F3663B" w:rsidP="00F3663B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266 927 milionë lekë;</w:t>
      </w:r>
    </w:p>
    <w:p w:rsidR="00F3663B" w:rsidRPr="008F2F69" w:rsidRDefault="00F3663B" w:rsidP="00F3663B">
      <w:pPr>
        <w:pStyle w:val="Paragrafi"/>
      </w:pPr>
      <w:r w:rsidRPr="008F2F69">
        <w:t>Deficiti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45 439 milionë lekë.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Fondi i konsoliduar përbëhet: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A.1. Buxheti qendror:</w:t>
      </w:r>
    </w:p>
    <w:p w:rsidR="00F3663B" w:rsidRPr="008F2F69" w:rsidRDefault="00F3663B" w:rsidP="00F3663B">
      <w:pPr>
        <w:pStyle w:val="Paragrafi"/>
      </w:pPr>
      <w:r w:rsidRPr="008F2F69">
        <w:t>Të ardhurat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208 149 milionë lekë;</w:t>
      </w:r>
    </w:p>
    <w:p w:rsidR="00F3663B" w:rsidRPr="008F2F69" w:rsidRDefault="00F3663B" w:rsidP="00F3663B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253 588 milionë lekë.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A.2. Buxheti i pushtetit vendor:</w:t>
      </w:r>
    </w:p>
    <w:p w:rsidR="00F3663B" w:rsidRPr="008F2F69" w:rsidRDefault="00F3663B" w:rsidP="00F3663B">
      <w:pPr>
        <w:pStyle w:val="Paragrafi"/>
      </w:pPr>
      <w:r w:rsidRPr="008F2F69">
        <w:lastRenderedPageBreak/>
        <w:t xml:space="preserve">Të ardhurat 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26 214 milionë lekë;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Nga të cilat:</w:t>
      </w:r>
    </w:p>
    <w:p w:rsidR="00F3663B" w:rsidRPr="008F2F69" w:rsidRDefault="00F3663B" w:rsidP="00F3663B">
      <w:pPr>
        <w:pStyle w:val="Paragrafi"/>
      </w:pPr>
      <w:r w:rsidRPr="008F2F69">
        <w:t>Granti i pakushtëzuar nga buxheti qendror</w:t>
      </w:r>
      <w:r w:rsidRPr="008F2F69">
        <w:tab/>
      </w:r>
      <w:r w:rsidRPr="008F2F69">
        <w:tab/>
        <w:t>12 875 milionë lekë;</w:t>
      </w:r>
    </w:p>
    <w:p w:rsidR="00F3663B" w:rsidRPr="008F2F69" w:rsidRDefault="00F3663B" w:rsidP="00F3663B">
      <w:pPr>
        <w:pStyle w:val="Paragrafi"/>
      </w:pPr>
      <w:r w:rsidRPr="008F2F69">
        <w:t xml:space="preserve">Shpenzimet </w:t>
      </w:r>
      <w:r w:rsidRPr="008F2F69">
        <w:tab/>
        <w:t>26 214 milionë lekë.”.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3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3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3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B. Buxheti i sigurimeve shoqërore për vitin 2007 është:</w:t>
      </w:r>
    </w:p>
    <w:p w:rsidR="00F3663B" w:rsidRPr="008F2F69" w:rsidRDefault="00F3663B" w:rsidP="00F3663B">
      <w:pPr>
        <w:pStyle w:val="Paragrafi"/>
      </w:pPr>
      <w:r w:rsidRPr="008F2F69">
        <w:t>B.1. Skema e sigurimit të detyrueshëm shoqëror:</w:t>
      </w:r>
    </w:p>
    <w:p w:rsidR="00F3663B" w:rsidRPr="008F2F69" w:rsidRDefault="00F3663B" w:rsidP="00F3663B">
      <w:pPr>
        <w:pStyle w:val="Paragrafi"/>
      </w:pPr>
      <w:r w:rsidRPr="008F2F69">
        <w:t>Të ardhurat, gjithsej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57 087 milionë lekë; </w:t>
      </w:r>
    </w:p>
    <w:p w:rsidR="00F3663B" w:rsidRPr="008F2F69" w:rsidRDefault="00F3663B" w:rsidP="00F3663B">
      <w:pPr>
        <w:pStyle w:val="Paragrafi"/>
      </w:pPr>
      <w:r w:rsidRPr="008F2F69">
        <w:t>- Nga kontributet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38 080 milionë lekë;</w:t>
      </w:r>
    </w:p>
    <w:p w:rsidR="00F3663B" w:rsidRPr="008F2F69" w:rsidRDefault="00F3663B" w:rsidP="00F3663B">
      <w:pPr>
        <w:pStyle w:val="Paragrafi"/>
      </w:pPr>
      <w:r w:rsidRPr="008F2F69">
        <w:t>- Nga transferimet nga Buxheti i Shtetit</w:t>
      </w:r>
      <w:r w:rsidRPr="008F2F69">
        <w:tab/>
      </w:r>
      <w:r w:rsidRPr="008F2F69">
        <w:tab/>
      </w:r>
      <w:r w:rsidRPr="008F2F69">
        <w:tab/>
        <w:t>19 007 milionë lekë;</w:t>
      </w:r>
    </w:p>
    <w:p w:rsidR="00F3663B" w:rsidRPr="008F2F69" w:rsidRDefault="00F3663B" w:rsidP="00F3663B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57 087 milionë lekë.</w:t>
      </w:r>
    </w:p>
    <w:p w:rsidR="00F3663B" w:rsidRPr="008F2F69" w:rsidRDefault="00F3663B" w:rsidP="00F3663B">
      <w:pPr>
        <w:pStyle w:val="Paragrafi"/>
      </w:pPr>
      <w:r w:rsidRPr="008F2F69">
        <w:t>Paga minimale, për efekt të pagesës së kontributit të sigurimeve shoqërore dhe shëndetësore, përcaktohet nga Këshilli i Ministrave dhe ndryshon sa herë që rriten pagat dhe pensionet. Këshilli i Ministrave ka të drejtë të përcaktojë një kontribut të veçantë minimal për personat e vetëpunësuar në bujqësi dhe kategori specifike të personave të vetëpunësuar. Për vitin 2007, teprica e të ardhurave, sipas degëve të sigurimit shoqëror, përdoret për mbulimin e deficitit të degës së pensioneve.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B.2. Skema e sigurimit suplementar:</w:t>
      </w:r>
    </w:p>
    <w:p w:rsidR="00F3663B" w:rsidRPr="008F2F69" w:rsidRDefault="00F3663B" w:rsidP="00F3663B">
      <w:pPr>
        <w:pStyle w:val="Paragrafi"/>
      </w:pPr>
      <w:r w:rsidRPr="008F2F69">
        <w:t>Të ardhurat, gjithsej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3 926 milionë lekë; </w:t>
      </w:r>
    </w:p>
    <w:p w:rsidR="00F3663B" w:rsidRPr="008F2F69" w:rsidRDefault="00F3663B" w:rsidP="00F3663B">
      <w:pPr>
        <w:pStyle w:val="Paragrafi"/>
      </w:pPr>
      <w:r w:rsidRPr="008F2F69">
        <w:t>- Nga kontributet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183 milionë lekë;</w:t>
      </w:r>
    </w:p>
    <w:p w:rsidR="00F3663B" w:rsidRPr="008F2F69" w:rsidRDefault="00F3663B" w:rsidP="00F3663B">
      <w:pPr>
        <w:pStyle w:val="Paragrafi"/>
      </w:pPr>
      <w:r w:rsidRPr="008F2F69">
        <w:t>- Nga transferimet nga Buxheti i Shtetit</w:t>
      </w:r>
      <w:r w:rsidRPr="008F2F69">
        <w:tab/>
      </w:r>
      <w:r w:rsidRPr="008F2F69">
        <w:tab/>
        <w:t xml:space="preserve">     </w:t>
      </w:r>
      <w:r w:rsidRPr="008F2F69">
        <w:tab/>
        <w:t>3 743 milionë lekë;</w:t>
      </w:r>
    </w:p>
    <w:p w:rsidR="00F3663B" w:rsidRPr="008F2F69" w:rsidRDefault="00F3663B" w:rsidP="00F3663B">
      <w:pPr>
        <w:pStyle w:val="Paragrafi"/>
      </w:pPr>
      <w:r w:rsidRPr="008F2F69">
        <w:t>Shpenzimet                                                                 3 926 milionë lekë.”.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4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6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6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Të ardhurat e fondit të konsoliduar, sipas grupeve kryesore, janë: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Grantet</w:t>
      </w:r>
      <w:r w:rsidRPr="008F2F69">
        <w:tab/>
        <w:t xml:space="preserve">3 928 </w:t>
      </w:r>
      <w:r w:rsidRPr="008F2F69">
        <w:tab/>
        <w:t>milionë lekë;</w:t>
      </w:r>
    </w:p>
    <w:p w:rsidR="00F3663B" w:rsidRPr="008F2F69" w:rsidRDefault="00F3663B" w:rsidP="00F3663B">
      <w:pPr>
        <w:pStyle w:val="Paragrafi"/>
      </w:pPr>
      <w:r w:rsidRPr="008F2F69">
        <w:t>Të ardhurat tatimore</w:t>
      </w:r>
      <w:r w:rsidRPr="008F2F69">
        <w:tab/>
        <w:t xml:space="preserve">222 775 </w:t>
      </w:r>
      <w:r w:rsidRPr="008F2F69">
        <w:tab/>
        <w:t>milionë lekë;</w:t>
      </w:r>
    </w:p>
    <w:p w:rsidR="00F3663B" w:rsidRPr="008F2F69" w:rsidRDefault="00F3663B" w:rsidP="00F3663B">
      <w:pPr>
        <w:pStyle w:val="Paragrafi"/>
      </w:pPr>
      <w:r w:rsidRPr="008F2F69">
        <w:t>Të ardhurat jotatimore</w:t>
      </w:r>
      <w:r w:rsidRPr="008F2F69">
        <w:tab/>
        <w:t>24 246</w:t>
      </w:r>
      <w:r w:rsidRPr="008F2F69">
        <w:tab/>
        <w:t>milionë lekë;</w:t>
      </w:r>
    </w:p>
    <w:p w:rsidR="00F3663B" w:rsidRPr="008F2F69" w:rsidRDefault="00F3663B" w:rsidP="00F3663B">
      <w:pPr>
        <w:pStyle w:val="Paragrafi"/>
      </w:pPr>
      <w:r w:rsidRPr="008F2F69">
        <w:t>Të ardhurat e buxhetit vendor</w:t>
      </w:r>
      <w:r w:rsidRPr="008F2F69">
        <w:tab/>
        <w:t>13 339 milionë lekë.”.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5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7 ndryshohet si më poshtë:</w:t>
      </w:r>
    </w:p>
    <w:p w:rsidR="00F3663B" w:rsidRPr="008F2F69" w:rsidRDefault="00F3663B" w:rsidP="00F3663B">
      <w:pPr>
        <w:pStyle w:val="NeniNr"/>
      </w:pPr>
    </w:p>
    <w:p w:rsidR="00F3663B" w:rsidRPr="008F2F69" w:rsidRDefault="00F3663B" w:rsidP="00F3663B">
      <w:pPr>
        <w:pStyle w:val="NeniNr"/>
      </w:pPr>
      <w:r w:rsidRPr="008F2F69">
        <w:t>“Neni 7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 xml:space="preserve">Kufiri i financimit të deficitit të Buxhetit të Shtetit nga burime të brendshme është 32 400 milionë lekë, i cili përfshin edhe 14 600 milionë lekë nga të ardhurat e privatizimit. Kufiri maksimal i huamarrjes së brendshme është 25 000 milionë lekë. Ky kufi zbritet për çdo lek të arkëtuar nga privatizimi i Albtelecom-it, në masën 50 për qind të arkëtimit. Në rast mosrealizimi të të ardhurave të buxhetit, huamarrja për financimin e deficitit të brendshëm nuk ndryshon. Këshilli i Ministrave merr masa për kompensimin e diferencave nga burime suplementare ose nga shkurtimi i shpenzimeve. </w:t>
      </w:r>
      <w:r w:rsidRPr="008F2F69">
        <w:lastRenderedPageBreak/>
        <w:t>Kufiri neto i financimit nga burimet e huaja është 13 039 milionë lekë, nga i cili 900 milionë lekë është mbështetja buxhetore. Ky kufi mund të ndryshojë gjatë vitit brenda limiteve të përcaktuara në nenin 10 të këtij ligji.”.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6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8 ndryshohet si më poshtë:</w:t>
      </w:r>
    </w:p>
    <w:p w:rsidR="00F3663B" w:rsidRPr="008F2F69" w:rsidRDefault="00F3663B" w:rsidP="00F3663B">
      <w:pPr>
        <w:pStyle w:val="NeniNr"/>
      </w:pPr>
    </w:p>
    <w:p w:rsidR="00F3663B" w:rsidRPr="008F2F69" w:rsidRDefault="00F3663B" w:rsidP="00F3663B">
      <w:pPr>
        <w:pStyle w:val="NeniNr"/>
      </w:pPr>
      <w:r w:rsidRPr="008F2F69">
        <w:t>“Neni 8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Shpenzimet e fondit të konsoliduar, sipas grupeve kryesore, janë: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Shpenzimet korrente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193 046 milionë lekë;</w:t>
      </w:r>
    </w:p>
    <w:p w:rsidR="00F3663B" w:rsidRPr="008F2F69" w:rsidRDefault="00F3663B" w:rsidP="00F3663B">
      <w:pPr>
        <w:pStyle w:val="Paragrafi"/>
      </w:pPr>
      <w:r w:rsidRPr="008F2F69">
        <w:t>Shpenzimet kapitale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70 081 milionë lekë;</w:t>
      </w:r>
    </w:p>
    <w:p w:rsidR="00F3663B" w:rsidRPr="008F2F69" w:rsidRDefault="00F3663B" w:rsidP="00F3663B">
      <w:pPr>
        <w:pStyle w:val="Paragrafi"/>
      </w:pPr>
      <w:r w:rsidRPr="008F2F69">
        <w:t>Rezerva e Këshillit të Ministrave</w:t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  1 800 milionë lekë;</w:t>
      </w:r>
    </w:p>
    <w:p w:rsidR="00F3663B" w:rsidRPr="008F2F69" w:rsidRDefault="00F3663B" w:rsidP="00F3663B">
      <w:pPr>
        <w:pStyle w:val="Paragrafi"/>
      </w:pPr>
      <w:r w:rsidRPr="008F2F69">
        <w:t>Kontingjenca</w:t>
      </w:r>
      <w:r w:rsidRPr="008F2F69">
        <w:tab/>
        <w:t xml:space="preserve">    2 000 milionë lekë.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Kufiri i shpenzimeve për çdo ministri dhe institucion është sipas tabelës 1, që i bashkëlidhet këtij ligji. Për institucionet e pavarura nga Këshilli i Ministrave kufiri i shpenzimeve, numri i punonjësve dhe fondi i pagave është sipas tabelës 1/1, që i bashkëlidhet këtij ligji.”.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7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11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11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Shpenzimet kapitale nga burimet e brendshme dhe nga burimet e huaja, sipas programeve për çdo ministri dhe institucion qendror, paraqiten në tabelën 2, që i bashkëlidhet këtij ligji. Fondi i kontingjencës për investime prej 1 000 milionë lekësh përdoret nga Ministria e Punëve Publike, Transportit dhe Telekomunikacionit, në masën 50 për qind, në përputhje me realizimin e të ardhurave të buxhetit në tetëmujorin e vitit 2007 dhe 50 për qind në fund të nëntëmujorit të këtij viti.”.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8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12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12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Fondi i kontingjencës prej 2 000 milionë lekësh përdoret me miratimin e Këshillit të Ministrave në gjashtëmujorin e dytë të vitit 2007, në përputhje me realizimin e të ardhurave, që garanton nivelin e miratuar të huamarrjes së brendshme. Jo më pak se 50 për qind e këtij fondi përdoret për investime. Fondi rezervë i Këshillit të Ministrave, prej 1 800 milionë lekësh, përdoret për raste të paparashikuara në buxhet dhe për raste emergjente. Fondi për rritjen e pagave, prej 4 146 milionë lekësh, shpërndahet ndërmjet institucioneve buxhetore, në përputhje me vendimet e Këshillit të Ministrave për rritjen e pagave.”.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9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13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13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lastRenderedPageBreak/>
        <w:t>Paga e Presidentit, nga data 1 korrik 2007 është 240 000 lekë në muaj.”.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10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Tabela 3 e nenit 14 zëvendësohet me tabelën me të njëjtin numër, që i bashkëlidhet këtij ligji.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11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Në nenin 15, pas paragrafit të parë shtohet një paragraf me këtë përmbajtje:</w:t>
      </w:r>
    </w:p>
    <w:p w:rsidR="00F3663B" w:rsidRPr="008F2F69" w:rsidRDefault="00F3663B" w:rsidP="00F3663B">
      <w:pPr>
        <w:pStyle w:val="Paragrafi"/>
      </w:pPr>
      <w:r w:rsidRPr="008F2F69">
        <w:t>“Për përballimin e efekteve nga vendosja e taksës së sheshtë, organeve të pushtetit vendor u shtohen 250 milionë lekë, të cilat ndahen sipas formulës së paraqitur në aneksin 1/1, që i bashkëlidhet këtij ligji. Shuma e transfertës së pakushtëzuar, për çdo organ të pushtetit vendor, është sipas tabelës 4/1, që i bashkëlidhet këtij ligji.”.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12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Neni 17 ndryshohet si më poshtë: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“Neni 17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Kufiri për rritjen vjetore të totalit ekzistues të borxhit të shtetit dhe atij të garantuar të shtetit, në dobi të palëve përfituese, për vitin 2007, është 64 633 milionë lekë, i detajuar si më poshtë:</w:t>
      </w:r>
    </w:p>
    <w:p w:rsidR="00F3663B" w:rsidRPr="008F2F69" w:rsidRDefault="00F3663B" w:rsidP="00F3663B">
      <w:pPr>
        <w:pStyle w:val="Paragrafi"/>
      </w:pPr>
      <w:r w:rsidRPr="008F2F69">
        <w:t>1. Kufiri për rritjen vjetore të totalit ekzistues të borxhit të shtetit, si rezultat i zbatimit të buxhetit të vitit 2007, është 42 300 – 49 500 milionë lekë, nga i cili:</w:t>
      </w:r>
    </w:p>
    <w:p w:rsidR="00F3663B" w:rsidRPr="008F2F69" w:rsidRDefault="00F3663B" w:rsidP="00F3663B">
      <w:pPr>
        <w:pStyle w:val="Paragrafi"/>
      </w:pPr>
      <w:r w:rsidRPr="008F2F69">
        <w:t>- Për kreditë e jashtme, të drejtpërdrejta, të Këshillit të Ministrave, është 24 500 milionë lekë;</w:t>
      </w:r>
    </w:p>
    <w:p w:rsidR="00F3663B" w:rsidRPr="008F2F69" w:rsidRDefault="00F3663B" w:rsidP="00F3663B">
      <w:pPr>
        <w:pStyle w:val="Paragrafi"/>
      </w:pPr>
      <w:r w:rsidRPr="008F2F69">
        <w:t>- Për financimin e brendshëm të deficitit buxhetor është 17 800 - 25 000 milionë lekë.</w:t>
      </w:r>
    </w:p>
    <w:p w:rsidR="00F3663B" w:rsidRPr="008F2F69" w:rsidRDefault="00F3663B" w:rsidP="00F3663B">
      <w:pPr>
        <w:pStyle w:val="Paragrafi"/>
      </w:pPr>
      <w:r w:rsidRPr="008F2F69">
        <w:t>2. Kufiri për rritjen vjetore të garancive të shtetit, në dobi të palëve të treta përfituese, është 4 180 milionë lekë, përfshirë edhe 200 milionë lekë garanci për fondin e garantimit të kredive të eksportit.</w:t>
      </w:r>
    </w:p>
    <w:p w:rsidR="00F3663B" w:rsidRPr="008F2F69" w:rsidRDefault="00F3663B" w:rsidP="00F3663B">
      <w:pPr>
        <w:pStyle w:val="Paragrafi"/>
      </w:pPr>
      <w:r w:rsidRPr="008F2F69">
        <w:t>3. Kufiri për rritjen vjetore të stokut të borxhit, si rezultat i riskedulimit të borxheve të vjetra të jashtme, të papaguara, është 5 153 milionë lekë.”.</w:t>
      </w:r>
    </w:p>
    <w:p w:rsidR="00F3663B" w:rsidRPr="008F2F69" w:rsidRDefault="00F3663B" w:rsidP="00F3663B">
      <w:pPr>
        <w:pStyle w:val="Paragrafi"/>
      </w:pPr>
      <w:r w:rsidRPr="008F2F69">
        <w:t>4. Kufiri për rritjen vjetore të stokut të borxhit, si rezultat i mbulimit të diferencave nga rivlerësimi i valutave, është 5 800 milionë lekë.”.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NeniNr"/>
      </w:pPr>
      <w:r w:rsidRPr="008F2F69">
        <w:t>Neni 13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Ngarkohet Ministria e Financave të nxjerrë udhëzimet përkatëse për zbatimin e këtij ligji.</w:t>
      </w:r>
    </w:p>
    <w:p w:rsidR="00F3663B" w:rsidRPr="008F2F69" w:rsidRDefault="00F3663B" w:rsidP="00F3663B">
      <w:pPr>
        <w:pStyle w:val="NeniNr"/>
      </w:pPr>
    </w:p>
    <w:p w:rsidR="00F3663B" w:rsidRPr="008F2F69" w:rsidRDefault="00F3663B" w:rsidP="00F3663B">
      <w:pPr>
        <w:pStyle w:val="NeniNr"/>
      </w:pPr>
      <w:r w:rsidRPr="008F2F69">
        <w:t>Neni 14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Ky ligj hyn në fuqi 15 ditë pas botimit në Fletoren Zyrtare.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Shpallja"/>
      </w:pPr>
      <w:r w:rsidRPr="008F2F69">
        <w:t>Shpallur me dekretin nr.5439, datë 31.7.2007 të Presidentit të Republikës së Shqipërisë, Bamir Topi</w: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TitulliTitull"/>
      </w:pPr>
    </w:p>
    <w:p w:rsidR="00F3663B" w:rsidRPr="008F2F69" w:rsidRDefault="00F3663B" w:rsidP="00F3663B">
      <w:pPr>
        <w:pStyle w:val="TitulliTitull"/>
      </w:pPr>
      <w:r w:rsidRPr="008F2F69">
        <w:t>Aneksi 1/1</w:t>
      </w:r>
    </w:p>
    <w:p w:rsidR="00F3663B" w:rsidRPr="008F2F69" w:rsidRDefault="00F3663B" w:rsidP="00F3663B">
      <w:pPr>
        <w:pStyle w:val="TitulliTitull"/>
      </w:pPr>
    </w:p>
    <w:p w:rsidR="00F3663B" w:rsidRPr="008F2F69" w:rsidRDefault="00F3663B" w:rsidP="00F3663B">
      <w:pPr>
        <w:pStyle w:val="TitulliTitull"/>
      </w:pPr>
      <w:r w:rsidRPr="008F2F69">
        <w:t>Mbi shpëndarjen e grantit të pakushtëzuar për efekt të taksës së sheshtë</w:t>
      </w:r>
    </w:p>
    <w:p w:rsidR="00F3663B" w:rsidRPr="008F2F69" w:rsidRDefault="00F3663B" w:rsidP="00F3663B">
      <w:pPr>
        <w:pStyle w:val="TitulliTitull"/>
      </w:pPr>
    </w:p>
    <w:p w:rsidR="00F3663B" w:rsidRPr="008F2F69" w:rsidRDefault="00E33AA1" w:rsidP="00F3663B">
      <w:pPr>
        <w:pStyle w:val="Paragrafi"/>
      </w:pPr>
      <w:r w:rsidRPr="008F2F69">
        <w:rPr>
          <w:noProof/>
          <w:lang w:val="en-GB" w:eastAsia="en-GB"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5581015" cy="3200400"/>
                <wp:effectExtent l="5080" t="0" r="0" b="2540"/>
                <wp:wrapNone/>
                <wp:docPr id="8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605"/>
                            <a:ext cx="5485749" cy="3082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663B" w:rsidRDefault="00F3663B" w:rsidP="00F3663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F3663B" w:rsidRDefault="00F3663B" w:rsidP="00F3663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F3663B" w:rsidRPr="00FC4763" w:rsidRDefault="00F3663B" w:rsidP="00F3663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FC4763">
                                <w:rPr>
                                  <w:sz w:val="24"/>
                                  <w:szCs w:val="24"/>
                                </w:rPr>
                                <w:t>Grant i pakushtëzuar në total 250 000  mijë lekë.</w:t>
                              </w:r>
                            </w:p>
                            <w:p w:rsidR="00F3663B" w:rsidRPr="00FC4763" w:rsidRDefault="00F3663B" w:rsidP="00F3663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F3663B" w:rsidRPr="00FC4763" w:rsidRDefault="00F3663B" w:rsidP="00F3663B">
                              <w:pPr>
                                <w:pStyle w:val="Paragrafi"/>
                              </w:pPr>
                              <w:r>
                                <w:t xml:space="preserve">1. </w:t>
                              </w:r>
                              <w:r w:rsidRPr="00FC4763">
                                <w:t>Grant i pakushtëzuar për qarqet 22500 mijë lekë. Granti caktohet në përputhje me koeficientin  9% i cili është bazë edhe për ndarjen e grantit të pakushtëzuar ne fillim të vitit. Ky grant ndahet në përputhje me peshën specifike të fondit të pagave të çdo qarku me totalin.</w:t>
                              </w:r>
                            </w:p>
                            <w:p w:rsidR="00F3663B" w:rsidRPr="00FC4763" w:rsidRDefault="00F3663B" w:rsidP="00F3663B">
                              <w:pPr>
                                <w:pStyle w:val="Paragrafi"/>
                              </w:pPr>
                              <w:r>
                                <w:t xml:space="preserve">2. </w:t>
                              </w:r>
                              <w:r w:rsidRPr="00FC4763">
                                <w:t xml:space="preserve">Granti i pakushtëzuar për bashkitë dhe komunat 227500 mijë lekë. Ky grant ndahet në organet e pushtetit vendor në përputhje me popullsinë. </w:t>
                              </w:r>
                            </w:p>
                          </w:txbxContent>
                        </wps:txbx>
                        <wps:bodyPr rot="0" vert="horz" wrap="square" lIns="106070" tIns="53035" rIns="106070" bIns="53035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2" o:spid="_x0000_s1026" editas="canvas" style="position:absolute;margin-left:0;margin-top:0;width:439.45pt;height:252pt;z-index:251657216;mso-position-horizontal-relative:char;mso-position-vertical-relative:line" coordsize="55810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810;height:3200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686;width:54857;height:30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HHsIA&#10;AADaAAAADwAAAGRycy9kb3ducmV2LnhtbESPT4vCMBTE78J+h/AW9iJr6oJ1qUZZBFHBg//w/Gie&#10;bdnmpSSp1m9vBMHjMDO/YabzztTiSs5XlhUMBwkI4tzqigsFp+Py+xeED8gaa8uk4E4e5rOP3hQz&#10;bW+8p+shFCJC2GeooAyhyaT0eUkG/cA2xNG7WGcwROkKqR3eItzU8idJUmmw4rhQYkOLkvL/Q2sU&#10;+K07Xla7tu826b4v8/MmbeuRUl+f3d8ERKAuvMOv9lorGMPzSr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McewgAAANoAAAAPAAAAAAAAAAAAAAAAAJgCAABkcnMvZG93&#10;bnJldi54bWxQSwUGAAAAAAQABAD1AAAAhwMAAAAA&#10;">
                  <v:textbox inset="2.94639mm,1.47319mm,2.94639mm,1.47319mm">
                    <w:txbxContent>
                      <w:p w:rsidR="00F3663B" w:rsidRDefault="00F3663B" w:rsidP="00F3663B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3663B" w:rsidRDefault="00F3663B" w:rsidP="00F3663B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3663B" w:rsidRPr="00FC4763" w:rsidRDefault="00F3663B" w:rsidP="00F3663B">
                        <w:pPr>
                          <w:rPr>
                            <w:sz w:val="24"/>
                            <w:szCs w:val="24"/>
                          </w:rPr>
                        </w:pPr>
                        <w:r w:rsidRPr="00FC4763">
                          <w:rPr>
                            <w:sz w:val="24"/>
                            <w:szCs w:val="24"/>
                          </w:rPr>
                          <w:t>Grant i pakushtëzuar në total 250 000  mijë lekë.</w:t>
                        </w:r>
                      </w:p>
                      <w:p w:rsidR="00F3663B" w:rsidRPr="00FC4763" w:rsidRDefault="00F3663B" w:rsidP="00F3663B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3663B" w:rsidRPr="00FC4763" w:rsidRDefault="00F3663B" w:rsidP="00F3663B">
                        <w:pPr>
                          <w:pStyle w:val="Paragrafi"/>
                        </w:pPr>
                        <w:r>
                          <w:t xml:space="preserve">1. </w:t>
                        </w:r>
                        <w:r w:rsidRPr="00FC4763">
                          <w:t>Grant i pakushtëzuar për qarqet 22500 mijë lekë. Granti caktohet në përputhje me koeficientin  9% i cili është bazë edhe për ndarjen e grantit të pakushtëzuar ne fillim të vitit. Ky grant ndahet në përputhje me peshën specifike të fondit të pagave të çdo qarku me totalin.</w:t>
                        </w:r>
                      </w:p>
                      <w:p w:rsidR="00F3663B" w:rsidRPr="00FC4763" w:rsidRDefault="00F3663B" w:rsidP="00F3663B">
                        <w:pPr>
                          <w:pStyle w:val="Paragrafi"/>
                        </w:pPr>
                        <w:r>
                          <w:t xml:space="preserve">2. </w:t>
                        </w:r>
                        <w:r w:rsidRPr="00FC4763">
                          <w:t xml:space="preserve">Granti i pakushtëzuar për bashkitë dhe komunat 227500 mijë lekë. Ky grant ndahet në organet e pushtetit vendor në përputhje me popullsinë. 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Pr="008F2F69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5581650" cy="32004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165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FEC3DC" id="AutoShape 1" o:spid="_x0000_s1026" style="width:439.5pt;height:2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TltAIAALk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Default="00F3663B" w:rsidP="00F3663B">
      <w:pPr>
        <w:pStyle w:val="Paragrafi"/>
      </w:pPr>
    </w:p>
    <w:p w:rsidR="00F3663B" w:rsidRDefault="00F3663B" w:rsidP="00F3663B">
      <w:pPr>
        <w:pStyle w:val="Tabele"/>
      </w:pPr>
    </w:p>
    <w:p w:rsidR="00F3663B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  <w:r w:rsidRPr="008F2F69">
        <w:t>Tab.1</w:t>
      </w:r>
    </w:p>
    <w:p w:rsidR="00F3663B" w:rsidRPr="008F2F69" w:rsidRDefault="00E33AA1" w:rsidP="00F3663B">
      <w:pPr>
        <w:pStyle w:val="Tabele"/>
      </w:pPr>
      <w:r w:rsidRPr="008F2F6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haracter">
              <wp:posOffset>-287655</wp:posOffset>
            </wp:positionH>
            <wp:positionV relativeFrom="line">
              <wp:posOffset>0</wp:posOffset>
            </wp:positionV>
            <wp:extent cx="6040755" cy="852170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6040755" cy="85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F69">
        <w:rPr>
          <w:noProof/>
          <w:lang w:eastAsia="en-GB"/>
        </w:rPr>
        <mc:AlternateContent>
          <mc:Choice Requires="wps">
            <w:drawing>
              <wp:inline distT="0" distB="0" distL="0" distR="0">
                <wp:extent cx="5753100" cy="8524875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53100" cy="852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966C6" id="AutoShape 2" o:spid="_x0000_s1026" style="width:453pt;height:6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  <w:r w:rsidRPr="008F2F69">
        <w:t>Tab.1.1</w:t>
      </w:r>
    </w:p>
    <w:p w:rsidR="00F3663B" w:rsidRPr="008F2F69" w:rsidRDefault="00F3663B" w:rsidP="00F3663B">
      <w:pPr>
        <w:pStyle w:val="Tabele"/>
      </w:pPr>
    </w:p>
    <w:tbl>
      <w:tblPr>
        <w:tblW w:w="9500" w:type="dxa"/>
        <w:tblInd w:w="108" w:type="dxa"/>
        <w:tblLook w:val="0000" w:firstRow="0" w:lastRow="0" w:firstColumn="0" w:lastColumn="0" w:noHBand="0" w:noVBand="0"/>
      </w:tblPr>
      <w:tblGrid>
        <w:gridCol w:w="931"/>
        <w:gridCol w:w="5036"/>
        <w:gridCol w:w="1231"/>
        <w:gridCol w:w="1196"/>
        <w:gridCol w:w="1196"/>
      </w:tblGrid>
      <w:tr w:rsidR="00F3663B" w:rsidRPr="008F2F69">
        <w:trPr>
          <w:trHeight w:val="27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bookmarkStart w:id="1" w:name="RANGE!A2:E19"/>
            <w:bookmarkEnd w:id="1"/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ne 000 Lek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780"/>
        </w:trPr>
        <w:tc>
          <w:tcPr>
            <w:tcW w:w="8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Kodmin</w:t>
            </w:r>
          </w:p>
        </w:tc>
        <w:tc>
          <w:tcPr>
            <w:tcW w:w="503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Institucionet e Pavarura </w:t>
            </w:r>
          </w:p>
        </w:tc>
        <w:tc>
          <w:tcPr>
            <w:tcW w:w="121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Nr.</w:t>
            </w:r>
            <w:r w:rsidRPr="008F2F69">
              <w:br/>
              <w:t>Punonjesve</w:t>
            </w:r>
          </w:p>
        </w:tc>
        <w:tc>
          <w:tcPr>
            <w:tcW w:w="11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Paga </w:t>
            </w:r>
            <w:r w:rsidRPr="008F2F69">
              <w:br/>
              <w:t>600+601</w:t>
            </w:r>
          </w:p>
        </w:tc>
        <w:tc>
          <w:tcPr>
            <w:tcW w:w="119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Buxheti</w:t>
            </w:r>
            <w:r w:rsidRPr="008F2F69">
              <w:br/>
              <w:t>Total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Presidenca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64,000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135,000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Kuvendi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434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479,000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1,116,000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Kontrolli Larte  i Shtetit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176,000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242,000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Prokuroria e Pergjithshme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822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793,000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981,000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Zyra e Administrimit Buxhetit Gjyqesor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1,230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986,000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1,266,000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Gjykata Kushtetuese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91,000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Autoriteti i Mbikqyrjes Financiare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55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Shkolla e Magjistratures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 i Larte i Drejtesise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41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70,000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Avokati  i Popullit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113,000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67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Komisioni  i Sherbimit Civil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43,000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73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Komisioni Qendror  i Zgjedhjeve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71,000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348,000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76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Inspektoriati i Larte Kontrollit te Deklarimit te Pasurive 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41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82,000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77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Autoriteti i Konkurences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51,000</w:t>
            </w:r>
          </w:p>
        </w:tc>
      </w:tr>
      <w:tr w:rsidR="00F3663B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86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Avokati i Prokurimeve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9,300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18,800</w:t>
            </w:r>
          </w:p>
        </w:tc>
      </w:tr>
      <w:tr w:rsidR="00F3663B" w:rsidRPr="008F2F69">
        <w:trPr>
          <w:trHeight w:val="270"/>
        </w:trPr>
        <w:tc>
          <w:tcPr>
            <w:tcW w:w="85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50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1216" w:type="dxa"/>
            <w:tcBorders>
              <w:top w:val="dotted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1196" w:type="dxa"/>
            <w:tcBorders>
              <w:top w:val="dotted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1196" w:type="dxa"/>
            <w:tcBorders>
              <w:top w:val="dotted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</w:tr>
    </w:tbl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>Tab.2</w:t>
      </w:r>
    </w:p>
    <w:p w:rsidR="00F3663B" w:rsidRPr="008F2F69" w:rsidRDefault="00F3663B" w:rsidP="00F3663B">
      <w:pPr>
        <w:pStyle w:val="Tabele"/>
      </w:pPr>
    </w:p>
    <w:p w:rsidR="00F3663B" w:rsidRPr="008F2F69" w:rsidRDefault="00E33AA1" w:rsidP="00F3663B">
      <w:pPr>
        <w:pStyle w:val="Tabele"/>
      </w:pPr>
      <w:r w:rsidRPr="008F2F69">
        <w:rPr>
          <w:noProof/>
          <w:lang w:eastAsia="en-GB"/>
        </w:rPr>
        <w:drawing>
          <wp:inline distT="0" distB="0" distL="0" distR="0">
            <wp:extent cx="5819775" cy="8458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3B" w:rsidRPr="008F2F69" w:rsidRDefault="00F3663B" w:rsidP="00F3663B">
      <w:pPr>
        <w:pStyle w:val="Tabele"/>
      </w:pP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651"/>
        <w:gridCol w:w="4652"/>
        <w:gridCol w:w="902"/>
        <w:gridCol w:w="1024"/>
        <w:gridCol w:w="1229"/>
        <w:gridCol w:w="744"/>
      </w:tblGrid>
      <w:tr w:rsidR="00F3663B" w:rsidRPr="008F2F69">
        <w:trPr>
          <w:trHeight w:val="630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Kodi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6F6429" w:rsidRDefault="00F3663B" w:rsidP="00F3663B">
            <w:pPr>
              <w:pStyle w:val="Tabele"/>
              <w:rPr>
                <w:sz w:val="20"/>
              </w:rPr>
            </w:pPr>
            <w:r w:rsidRPr="006F6429">
              <w:rPr>
                <w:sz w:val="20"/>
              </w:rPr>
              <w:t xml:space="preserve">Investimet e vitit 2007 sipas Ministrive dhe Institucioneve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Nga</w:t>
            </w:r>
            <w:r w:rsidRPr="008F2F69">
              <w:br/>
              <w:t>Buxheti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Nga te </w:t>
            </w:r>
            <w:r w:rsidRPr="008F2F69">
              <w:br/>
              <w:t>Ardhurat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Financimi i</w:t>
            </w:r>
            <w:r w:rsidRPr="008F2F69">
              <w:br/>
              <w:t>Huaj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Totali</w:t>
            </w:r>
          </w:p>
        </w:tc>
      </w:tr>
    </w:tbl>
    <w:p w:rsidR="00F3663B" w:rsidRPr="008F2F69" w:rsidRDefault="00E33AA1" w:rsidP="00F3663B">
      <w:pPr>
        <w:pStyle w:val="Tabele"/>
      </w:pPr>
      <w:r w:rsidRPr="008F2F69">
        <w:rPr>
          <w:noProof/>
          <w:lang w:eastAsia="en-GB"/>
        </w:rPr>
        <w:drawing>
          <wp:inline distT="0" distB="0" distL="0" distR="0">
            <wp:extent cx="5753100" cy="8410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E33AA1" w:rsidP="00F3663B">
      <w:pPr>
        <w:pStyle w:val="Tabele"/>
      </w:pPr>
      <w:r w:rsidRPr="008F2F69">
        <w:rPr>
          <w:noProof/>
          <w:lang w:eastAsia="en-GB"/>
        </w:rPr>
        <w:drawing>
          <wp:inline distT="0" distB="0" distL="0" distR="0">
            <wp:extent cx="5753100" cy="7839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Tabele"/>
      </w:pPr>
    </w:p>
    <w:p w:rsidR="00F3663B" w:rsidRPr="008F2F69" w:rsidRDefault="00F3663B" w:rsidP="00F3663B">
      <w:pPr>
        <w:pStyle w:val="Paragrafi"/>
      </w:pPr>
    </w:p>
    <w:p w:rsidR="00F3663B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  <w:r w:rsidRPr="008F2F69">
        <w:t xml:space="preserve">   Tab.3</w:t>
      </w:r>
    </w:p>
    <w:p w:rsidR="00F3663B" w:rsidRPr="008F2F69" w:rsidRDefault="00F3663B" w:rsidP="00F3663B">
      <w:pPr>
        <w:pStyle w:val="Paragrafi"/>
      </w:pPr>
    </w:p>
    <w:tbl>
      <w:tblPr>
        <w:tblW w:w="7199" w:type="dxa"/>
        <w:jc w:val="center"/>
        <w:tblLook w:val="0000" w:firstRow="0" w:lastRow="0" w:firstColumn="0" w:lastColumn="0" w:noHBand="0" w:noVBand="0"/>
      </w:tblPr>
      <w:tblGrid>
        <w:gridCol w:w="460"/>
        <w:gridCol w:w="3260"/>
        <w:gridCol w:w="1130"/>
        <w:gridCol w:w="1351"/>
        <w:gridCol w:w="1130"/>
      </w:tblGrid>
      <w:tr w:rsidR="00F3663B" w:rsidRPr="008F2F69">
        <w:trPr>
          <w:trHeight w:val="270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bookmarkStart w:id="2" w:name="RANGE!B2:F8"/>
            <w:bookmarkEnd w:id="2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ne 000 Lek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42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Nr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Emertimi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Korente</w:t>
            </w:r>
          </w:p>
        </w:tc>
        <w:tc>
          <w:tcPr>
            <w:tcW w:w="135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Investime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Totali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428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Gjykata e Larte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171,000</w:t>
            </w:r>
          </w:p>
        </w:tc>
        <w:tc>
          <w:tcPr>
            <w:tcW w:w="13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2,300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173,300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Gjykatat e Apelit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226,000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5,000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231,000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Gjykatat e Faktit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779,000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62,100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841,100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Z.A.B.GJ.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20,000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20,600</w:t>
            </w:r>
          </w:p>
        </w:tc>
      </w:tr>
      <w:tr w:rsidR="00F3663B" w:rsidRPr="008F2F69">
        <w:trPr>
          <w:trHeight w:val="270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Shuma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1,196,000</w:t>
            </w: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70,000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1,266,000</w:t>
            </w:r>
          </w:p>
        </w:tc>
      </w:tr>
    </w:tbl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tbl>
      <w:tblPr>
        <w:tblW w:w="8522" w:type="dxa"/>
        <w:jc w:val="center"/>
        <w:tblLook w:val="0000" w:firstRow="0" w:lastRow="0" w:firstColumn="0" w:lastColumn="0" w:noHBand="0" w:noVBand="0"/>
      </w:tblPr>
      <w:tblGrid>
        <w:gridCol w:w="1130"/>
        <w:gridCol w:w="4549"/>
        <w:gridCol w:w="2607"/>
        <w:gridCol w:w="236"/>
      </w:tblGrid>
      <w:tr w:rsidR="00F3663B" w:rsidRPr="008F2F69">
        <w:trPr>
          <w:gridAfter w:val="1"/>
          <w:wAfter w:w="236" w:type="dxa"/>
          <w:trHeight w:val="270"/>
          <w:jc w:val="center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Tabela 4/1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315"/>
          <w:jc w:val="center"/>
        </w:trPr>
        <w:tc>
          <w:tcPr>
            <w:tcW w:w="8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Shpërndarja e transfertës së pakushtëzuar për efekt të taksës së sheshtë</w:t>
            </w:r>
          </w:p>
        </w:tc>
      </w:tr>
      <w:tr w:rsidR="00F3663B" w:rsidRPr="008F2F69">
        <w:trPr>
          <w:trHeight w:val="315"/>
          <w:jc w:val="center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Ne mije leke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85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N/r</w:t>
            </w:r>
          </w:p>
        </w:tc>
        <w:tc>
          <w:tcPr>
            <w:tcW w:w="4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3663B" w:rsidRPr="008F2F69" w:rsidRDefault="00F3663B" w:rsidP="00F3663B">
            <w:pPr>
              <w:pStyle w:val="Tabele"/>
            </w:pPr>
            <w:r w:rsidRPr="008F2F69">
              <w:t>EMERTIMI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SHUMA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Berat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Ura-Vajgurore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Poshnjë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Kutalli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724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Otilak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830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Lumas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437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Sinjë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Tërpan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Velabisht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693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Vertop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Roshnik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Cukalat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Bulqizë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832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Fushë-Bulqizë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Klenje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Ostren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Shupenzë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471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Gjoricë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Zerqan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Martanesh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Delvinë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801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Vergo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Finiq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Mesopotam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Bilisht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Miras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655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Qënder-Bilisht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Hoçisht (Morave)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Progër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Peshkopi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1139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Qënder Tomin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Melan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Kastriot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488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Maqellarë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796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Fushë Muhurr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Selishtë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Sllovë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Kala e Dodës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Zall Dardhë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Zall Reç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Fushë-Çidhen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smartTag w:uri="urn:schemas-microsoft-com:office:smarttags" w:element="City">
              <w:smartTag w:uri="urn:schemas-microsoft-com:office:smarttags" w:element="place">
                <w:r w:rsidRPr="008F2F69">
                  <w:t>Arras</w:t>
                </w:r>
              </w:smartTag>
            </w:smartTag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Luzni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Durrës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9533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Shijak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Manëz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518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Sukth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1261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Rashbull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1317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Xhafzotaj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804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Gjepalaj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Katund i 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893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Maminas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Ishëm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Elbasan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5698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Cërrik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817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Belsh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821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Bradashesh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Funarë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Gostimë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707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Gracen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Grekan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Gjinar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Gjergjan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426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Fierzë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Klos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Labinot Mal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Labinot Fushë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Mollas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Paper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Rrasë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Shalëz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Shirgjan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Shushicë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Tregan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Zavalinë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Fier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4918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Patos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1936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Roskovec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494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Mbrostar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641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Libofshë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626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Dermenas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719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Topojë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Levan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981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Frakull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Portëz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686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 (Çlirim)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696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Ruzhdie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Zharrëz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473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Kurjan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Kuman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492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Strumë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94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Cakran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960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Gramsh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647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Pishaj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Kodovjat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Kukur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Skëndërbegas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Poroçan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Lënie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Tunjë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Sult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Kushovë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Gjirokastër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1755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Libohovë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 Libohovë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Odrie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Lunxhëri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Antigonë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Lazarat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Cepo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Picar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Dropull i Poshtëm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516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Dropull i Sipërm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Pogon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Zagorie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Krumë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Golaj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Fajzë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Gjinaj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Kavajë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2234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Rrogozhinë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659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Lekaj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554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Luz i Vogël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574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Helmes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Kryevidh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520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Synej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589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Golem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Sinaballaj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Gosë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Ersekë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619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Leskovik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Mollas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Çlirim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Barmash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Piskal-Novoselë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 Leskovik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Korçë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3835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Maliq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491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Voskopojë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143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Lekas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144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Vithkuq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Liqenas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1036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Vreshtas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643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Libonik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852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Pirg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594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Gore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Moglicë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Voskop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Drenovë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643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Mollas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429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 Bulgarec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794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Krujë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Fushë-Krujë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1251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Nikël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574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Bubq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Kodër Thumanë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946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Cudhi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Kuçovë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1443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Perondi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Kozarë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487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Kukës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1248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Malzi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Bicaj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Ujmisht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Tërthorë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Shtiqen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Zapod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Shishtavec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Topojan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Bushtricë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Surroj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Arren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Kalis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Grykë-Çaje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Laç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1727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Mamurras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1201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Milot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743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Fushë-Kuqe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522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Lezhë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1379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Zejmen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509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Shënkoll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822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Shëngjin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Balldren i 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589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Kallmet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404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Ungrej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192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Dajç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421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193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Blinisht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194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Librazhd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431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Prrenjas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Qukës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610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Stravaj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Hotolisht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405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Polis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Lunik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Orenjë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Stëblevë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Rrajcë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Lushnjë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3421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Divjakë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752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Ballagat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Hysgjokaj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Golem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510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Fier Shegan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Karbunarë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Allkaj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Krutje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587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Bubullimë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417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Kolonjë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489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Gradishtë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Rremas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400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Grabian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Tërbuf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884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Dushk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664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Koplik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479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Kelmend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Kastrat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655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Shkrelë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Gruemirë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899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Ballsh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598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612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Hekal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Aranitas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Fratar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Kute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Kapaj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Ngracan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Greshicë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Burrel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866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Klos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677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Komsi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Ulëz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241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Rukaj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Derjan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Macukull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Lis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Suç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Gurë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Xibër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Rrëshen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841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Rubik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515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Kaçinar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Orosh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Kthellë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Selitë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Peqin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430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Gjocaj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Karinë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Pajovë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509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Përparim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Shezë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Përmet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692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Këlcyrë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Çarshovë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 Piskovë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214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Sukë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Ballaban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Deshnicë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Frashër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Petran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Pogradec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2287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Buçimas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876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Hudenisht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405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Proptisht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465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Velçan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Trebinjë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244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Dardhas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Çerravë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566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Pukë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Fushë-Arrëz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Qerret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267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Qelëz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Gjegjan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Fierzë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Iballë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Blerim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Qafë-Mali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Rrapë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Sarandë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1924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289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Konispol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290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Lukovë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521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Dhivër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Livadhja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503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Xarrë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408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Markat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Ksamil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Aliko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Çorovodë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Poliçan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571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396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Potom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Leshnjë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Cepan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Vendreshe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Bogovë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Zhepë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Gjerbes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Shkodër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5515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Vau i Dejës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738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Postribë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714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Pult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Shosh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Shalë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Shllak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Gur i Zi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631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Vig-Mnelë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193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Hajmel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Bushat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1289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Bërdicë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482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Velipojë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483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Dajç (Bregbune)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Ana e Malit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Rrethinat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1316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Temal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Tepelenë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428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Memaliaj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445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Fshat Memaliaj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Krahëz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Qesarat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Luftinjë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Kurvelesh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Lopez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Tiranë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25107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Vorë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1013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Kamëz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3231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Petrelë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400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Bërzhitë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307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339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Baldushk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340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Zall Bastar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Shëngjergj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Dajt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Vaqarr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497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Pezë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232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Ndroq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561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Prezë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Zall Herr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564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Paskuqan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1898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Bërxullë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477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Kashar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840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Farkë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506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Krrabë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Bajram Curri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389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Fshat Tropoje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298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Bytyç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Lekbibaj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130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Fierzë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Margegaj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Bujan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223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Llugaj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142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Vlorë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4395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Orikum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608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Selenicë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426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Himarë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537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1001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Novoselë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879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Brataj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359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Hore Vranisht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Shushicë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539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Vllahinë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464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Kote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451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Sevastar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259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Armen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460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85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TOTALI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227500</w:t>
            </w:r>
          </w:p>
        </w:tc>
        <w:tc>
          <w:tcPr>
            <w:tcW w:w="236" w:type="dxa"/>
            <w:vAlign w:val="center"/>
          </w:tcPr>
          <w:p w:rsidR="00F3663B" w:rsidRPr="008F2F69" w:rsidRDefault="00F3663B" w:rsidP="00F3663B">
            <w:pPr>
              <w:pStyle w:val="Tabele"/>
            </w:pPr>
          </w:p>
        </w:tc>
      </w:tr>
    </w:tbl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tbl>
      <w:tblPr>
        <w:tblW w:w="8617" w:type="dxa"/>
        <w:jc w:val="center"/>
        <w:tblLook w:val="0000" w:firstRow="0" w:lastRow="0" w:firstColumn="0" w:lastColumn="0" w:noHBand="0" w:noVBand="0"/>
      </w:tblPr>
      <w:tblGrid>
        <w:gridCol w:w="1537"/>
        <w:gridCol w:w="5090"/>
        <w:gridCol w:w="1990"/>
      </w:tblGrid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Tabela 4/1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315"/>
          <w:jc w:val="center"/>
        </w:trPr>
        <w:tc>
          <w:tcPr>
            <w:tcW w:w="8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Shpërndarja e transfertës së pakushtëzuar për efekt të taksës së sheshtë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N/R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EMERTIMI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SHUMA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 Berat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1294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 Diber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1756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3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Durres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1513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4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 Elbasan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2796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5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Fier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1782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 Gjirokaster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1676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7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 Korce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2014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8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 Kukes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1700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9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Keshilli Qarku  Lezhe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2293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10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Shkoder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2218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11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Tirane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1840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12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Vlore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1619</w:t>
            </w: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</w:p>
        </w:tc>
      </w:tr>
      <w:tr w:rsidR="00F3663B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TOTALI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63B" w:rsidRPr="008F2F69" w:rsidRDefault="00F3663B" w:rsidP="00F3663B">
            <w:pPr>
              <w:pStyle w:val="Tabele"/>
            </w:pPr>
            <w:r w:rsidRPr="008F2F69">
              <w:t>22500</w:t>
            </w:r>
          </w:p>
        </w:tc>
      </w:tr>
    </w:tbl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8F2F69" w:rsidRDefault="00F3663B" w:rsidP="00F3663B">
      <w:pPr>
        <w:pStyle w:val="Paragrafi"/>
      </w:pPr>
    </w:p>
    <w:p w:rsidR="00F3663B" w:rsidRPr="00C84B66" w:rsidRDefault="00F3663B" w:rsidP="00F3663B">
      <w:pPr>
        <w:pStyle w:val="Paragrafi"/>
        <w:rPr>
          <w:szCs w:val="22"/>
        </w:rPr>
      </w:pPr>
    </w:p>
    <w:p w:rsidR="000178C2" w:rsidRPr="00C84B66" w:rsidRDefault="000178C2" w:rsidP="00F3663B">
      <w:pPr>
        <w:pStyle w:val="Paragrafi"/>
      </w:pPr>
    </w:p>
    <w:sectPr w:rsidR="000178C2" w:rsidRPr="00C84B66" w:rsidSect="00F3663B">
      <w:footerReference w:type="even" r:id="rId11"/>
      <w:footerReference w:type="default" r:id="rId12"/>
      <w:pgSz w:w="11907" w:h="16840" w:code="9"/>
      <w:pgMar w:top="1418" w:right="1418" w:bottom="1418" w:left="1418" w:header="1304" w:footer="1134" w:gutter="0"/>
      <w:pgNumType w:start="28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33AA1">
      <w:r>
        <w:separator/>
      </w:r>
    </w:p>
  </w:endnote>
  <w:endnote w:type="continuationSeparator" w:id="0">
    <w:p w:rsidR="00000000" w:rsidRDefault="00E3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3B" w:rsidRDefault="00F3663B" w:rsidP="00F3663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663B" w:rsidRDefault="00F3663B" w:rsidP="00F3663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3B" w:rsidRDefault="00F3663B" w:rsidP="00F3663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3AA1">
      <w:rPr>
        <w:rStyle w:val="PageNumber"/>
        <w:noProof/>
      </w:rPr>
      <w:t>2823</w:t>
    </w:r>
    <w:r>
      <w:rPr>
        <w:rStyle w:val="PageNumber"/>
      </w:rPr>
      <w:fldChar w:fldCharType="end"/>
    </w:r>
  </w:p>
  <w:p w:rsidR="00F3663B" w:rsidRDefault="00F3663B" w:rsidP="00F3663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33AA1">
      <w:r>
        <w:separator/>
      </w:r>
    </w:p>
  </w:footnote>
  <w:footnote w:type="continuationSeparator" w:id="0">
    <w:p w:rsidR="00000000" w:rsidRDefault="00E33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0777"/>
    <w:multiLevelType w:val="hybridMultilevel"/>
    <w:tmpl w:val="E586CFBA"/>
    <w:lvl w:ilvl="0" w:tplc="9ACAA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3">
    <w:nsid w:val="30D87893"/>
    <w:multiLevelType w:val="hybridMultilevel"/>
    <w:tmpl w:val="3238F28E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5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8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B515E4"/>
    <w:multiLevelType w:val="hybridMultilevel"/>
    <w:tmpl w:val="E90E4A50"/>
    <w:lvl w:ilvl="0" w:tplc="AB2889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12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7"/>
  </w:num>
  <w:num w:numId="10">
    <w:abstractNumId w:val="5"/>
  </w:num>
  <w:num w:numId="11">
    <w:abstractNumId w:val="10"/>
  </w:num>
  <w:num w:numId="12">
    <w:abstractNumId w:val="0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663B"/>
    <w:rsid w:val="000178C2"/>
    <w:rsid w:val="00C84B66"/>
    <w:rsid w:val="00D8155A"/>
    <w:rsid w:val="00E33AA1"/>
    <w:rsid w:val="00F3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DCDD49-AA3B-4921-8779-85954AC2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63B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D815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qFormat/>
    <w:rsid w:val="00F3663B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8155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815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8155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8155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D8155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D8155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F3663B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basedOn w:val="DefaultParagraphFont"/>
    <w:rsid w:val="00D8155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815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D8155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8155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8155A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8155A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8155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8155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D8155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8155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D8155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8155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8155A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8155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8155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8155A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D8155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D8155A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D8155A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815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3663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basedOn w:val="DefaultParagraphFont"/>
    <w:rsid w:val="00D8155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815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F3663B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3663B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F3663B"/>
  </w:style>
  <w:style w:type="paragraph" w:customStyle="1" w:styleId="BULLETUDHEZIM">
    <w:name w:val="BULLET UDHEZIM"/>
    <w:basedOn w:val="Normal"/>
    <w:rsid w:val="00F3663B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customStyle="1" w:styleId="StyleStyle212ptFirstline0">
    <w:name w:val="Style Style2 + 12 pt First line:  0&quot;"/>
    <w:basedOn w:val="Normal"/>
    <w:autoRedefine/>
    <w:rsid w:val="00F3663B"/>
    <w:pPr>
      <w:keepNext/>
      <w:widowControl/>
      <w:spacing w:after="120"/>
      <w:jc w:val="center"/>
      <w:outlineLvl w:val="4"/>
    </w:pPr>
    <w:rPr>
      <w:rFonts w:ascii="Times New Roman" w:hAnsi="Times New Roman"/>
      <w:b/>
      <w:bCs/>
      <w:sz w:val="28"/>
      <w:szCs w:val="20"/>
    </w:rPr>
  </w:style>
  <w:style w:type="paragraph" w:customStyle="1" w:styleId="StyleStyle312pt">
    <w:name w:val="Style Style3 + 12 pt"/>
    <w:basedOn w:val="Normal"/>
    <w:autoRedefine/>
    <w:rsid w:val="00F3663B"/>
    <w:pPr>
      <w:widowControl/>
      <w:ind w:left="4320" w:hanging="2160"/>
      <w:jc w:val="both"/>
    </w:pPr>
    <w:rPr>
      <w:rFonts w:ascii="Times New Roman" w:hAnsi="Times New Roman"/>
      <w:sz w:val="28"/>
      <w:szCs w:val="28"/>
    </w:rPr>
  </w:style>
  <w:style w:type="paragraph" w:customStyle="1" w:styleId="StyleStyle512pt">
    <w:name w:val="Style Style5 + 12 pt"/>
    <w:basedOn w:val="Normal"/>
    <w:autoRedefine/>
    <w:rsid w:val="00F3663B"/>
    <w:pPr>
      <w:widowControl/>
      <w:spacing w:after="80"/>
      <w:jc w:val="center"/>
    </w:pPr>
    <w:rPr>
      <w:rFonts w:ascii="Times New Roman" w:hAnsi="Times New Roman"/>
      <w:noProof/>
      <w:sz w:val="24"/>
      <w:szCs w:val="24"/>
      <w:lang w:val="fr-FR"/>
    </w:rPr>
  </w:style>
  <w:style w:type="paragraph" w:customStyle="1" w:styleId="StyleHeading6TimesNewRoman12pt">
    <w:name w:val="Style Heading 6 + Times New Roman 12 pt"/>
    <w:basedOn w:val="Heading6"/>
    <w:autoRedefine/>
    <w:rsid w:val="00F3663B"/>
    <w:pPr>
      <w:widowControl/>
      <w:shd w:val="clear" w:color="auto" w:fill="auto"/>
      <w:autoSpaceDE/>
      <w:autoSpaceDN/>
      <w:adjustRightInd/>
      <w:spacing w:line="240" w:lineRule="auto"/>
      <w:ind w:right="0"/>
      <w:jc w:val="center"/>
    </w:pPr>
    <w:rPr>
      <w:color w:val="auto"/>
      <w:spacing w:val="0"/>
      <w:sz w:val="24"/>
      <w:szCs w:val="20"/>
      <w:lang w:val="en-US"/>
    </w:rPr>
  </w:style>
  <w:style w:type="paragraph" w:customStyle="1" w:styleId="StyleStyle412pt">
    <w:name w:val="Style Style4 + 12 pt"/>
    <w:basedOn w:val="Normal"/>
    <w:link w:val="StyleStyle412ptChar"/>
    <w:autoRedefine/>
    <w:rsid w:val="00F3663B"/>
    <w:pPr>
      <w:widowControl/>
      <w:spacing w:after="120"/>
      <w:ind w:left="4334" w:hanging="2534"/>
    </w:pPr>
    <w:rPr>
      <w:rFonts w:ascii="Times New Roman" w:hAnsi="Times New Roman"/>
      <w:sz w:val="24"/>
      <w:szCs w:val="24"/>
    </w:rPr>
  </w:style>
  <w:style w:type="character" w:customStyle="1" w:styleId="StyleStyle412ptChar">
    <w:name w:val="Style Style4 + 12 pt Char"/>
    <w:basedOn w:val="DefaultParagraphFont"/>
    <w:link w:val="StyleStyle412pt"/>
    <w:rsid w:val="00F3663B"/>
    <w:rPr>
      <w:sz w:val="24"/>
      <w:szCs w:val="24"/>
      <w:lang w:val="sq-AL" w:eastAsia="en-US" w:bidi="ar-SA"/>
    </w:rPr>
  </w:style>
  <w:style w:type="paragraph" w:customStyle="1" w:styleId="Style1">
    <w:name w:val="Style1"/>
    <w:basedOn w:val="Normal"/>
    <w:autoRedefine/>
    <w:rsid w:val="00F3663B"/>
    <w:pPr>
      <w:widowControl/>
      <w:jc w:val="both"/>
    </w:pPr>
    <w:rPr>
      <w:rFonts w:ascii="Times New Roman" w:hAnsi="Times New Roman"/>
      <w:sz w:val="28"/>
      <w:szCs w:val="28"/>
      <w:lang w:val="it-IT"/>
    </w:rPr>
  </w:style>
  <w:style w:type="paragraph" w:customStyle="1" w:styleId="Style6">
    <w:name w:val="Style6"/>
    <w:basedOn w:val="Normal"/>
    <w:autoRedefine/>
    <w:rsid w:val="00F3663B"/>
    <w:pPr>
      <w:widowControl/>
      <w:jc w:val="both"/>
    </w:pPr>
    <w:rPr>
      <w:rFonts w:ascii="Times New Roman" w:hAnsi="Times New Roman"/>
      <w:b/>
      <w:sz w:val="28"/>
      <w:szCs w:val="28"/>
    </w:rPr>
  </w:style>
  <w:style w:type="paragraph" w:customStyle="1" w:styleId="Style7">
    <w:name w:val="Style7"/>
    <w:basedOn w:val="Title"/>
    <w:autoRedefine/>
    <w:rsid w:val="00F3663B"/>
    <w:pPr>
      <w:spacing w:before="0" w:after="0"/>
      <w:ind w:left="720" w:hanging="450"/>
      <w:jc w:val="both"/>
      <w:outlineLvl w:val="9"/>
    </w:pPr>
    <w:rPr>
      <w:rFonts w:ascii="Times New Roman" w:hAnsi="Times New Roman" w:cs="Times New Roman"/>
      <w:b w:val="0"/>
      <w:bCs w:val="0"/>
      <w:kern w:val="0"/>
      <w:sz w:val="28"/>
      <w:szCs w:val="24"/>
    </w:rPr>
  </w:style>
  <w:style w:type="paragraph" w:styleId="Title">
    <w:name w:val="Title"/>
    <w:basedOn w:val="Normal"/>
    <w:qFormat/>
    <w:rsid w:val="00F3663B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Style14ptCenteredAfter6ptLinespacingsingle">
    <w:name w:val="Style Style 14 pt Centered After:  6 pt + Line spacing:  single"/>
    <w:basedOn w:val="Normal"/>
    <w:link w:val="StyleStyle14ptCenteredAfter6ptLinespacingsingleChar"/>
    <w:rsid w:val="00F3663B"/>
    <w:pPr>
      <w:adjustRightInd w:val="0"/>
      <w:spacing w:after="120"/>
      <w:jc w:val="center"/>
      <w:textAlignment w:val="baseline"/>
    </w:pPr>
    <w:rPr>
      <w:rFonts w:ascii="Univers" w:hAnsi="Univers"/>
      <w:snapToGrid w:val="0"/>
      <w:sz w:val="28"/>
      <w:szCs w:val="28"/>
      <w:lang w:val="en-US"/>
    </w:rPr>
  </w:style>
  <w:style w:type="character" w:customStyle="1" w:styleId="StyleStyle14ptCenteredAfter6ptLinespacingsingleChar">
    <w:name w:val="Style Style 14 pt Centered After:  6 pt + Line spacing:  single Char"/>
    <w:basedOn w:val="DefaultParagraphFont"/>
    <w:link w:val="StyleStyle14ptCenteredAfter6ptLinespacingsingle"/>
    <w:rsid w:val="00F3663B"/>
    <w:rPr>
      <w:rFonts w:ascii="Univers" w:hAnsi="Univers"/>
      <w:snapToGrid w:val="0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2019-03-16T15:16:00Z</dcterms:created>
  <dcterms:modified xsi:type="dcterms:W3CDTF">2019-03-16T15:16:00Z</dcterms:modified>
</cp:coreProperties>
</file>