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AC" w:rsidRPr="00116885" w:rsidRDefault="00FD00AC" w:rsidP="00FD00AC">
      <w:pPr>
        <w:pStyle w:val="Akti"/>
        <w:keepNext w:val="0"/>
      </w:pPr>
      <w:bookmarkStart w:id="0" w:name="_GoBack"/>
      <w:bookmarkEnd w:id="0"/>
      <w:r>
        <w:t>LIG</w:t>
      </w:r>
      <w:r w:rsidRPr="00116885">
        <w:t>J</w:t>
      </w:r>
    </w:p>
    <w:p w:rsidR="00FD00AC" w:rsidRPr="00116885" w:rsidRDefault="00FD00AC" w:rsidP="00FD00AC">
      <w:pPr>
        <w:pStyle w:val="NumriData"/>
        <w:keepNext w:val="0"/>
      </w:pPr>
      <w:r w:rsidRPr="00116885">
        <w:t>Nr.9844, datë 17.12.2007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Titulli"/>
        <w:keepNext w:val="0"/>
      </w:pPr>
      <w:r w:rsidRPr="00116885">
        <w:t xml:space="preserve">PËR DISA SHTESA E NDRYSHIME NË LIGJIN NR.8438, DATË 28.12.1998 </w:t>
      </w:r>
    </w:p>
    <w:p w:rsidR="00FD00AC" w:rsidRPr="00116885" w:rsidRDefault="00FD00AC" w:rsidP="00FD00AC">
      <w:pPr>
        <w:pStyle w:val="Titulli"/>
        <w:keepNext w:val="0"/>
      </w:pPr>
      <w:r w:rsidRPr="00116885">
        <w:t xml:space="preserve">“PËR TATIMIN MBI </w:t>
      </w:r>
      <w:r>
        <w:t xml:space="preserve">tË </w:t>
      </w:r>
      <w:r w:rsidRPr="00116885">
        <w:t>ARDHURAT”, TË NDRYSHUAR</w:t>
      </w:r>
    </w:p>
    <w:p w:rsidR="00FD00AC" w:rsidRPr="00116885" w:rsidRDefault="00FD00AC" w:rsidP="00FD00AC">
      <w:pPr>
        <w:pStyle w:val="Paragrafi"/>
        <w:ind w:firstLine="0"/>
      </w:pPr>
    </w:p>
    <w:p w:rsidR="00FD00AC" w:rsidRPr="00116885" w:rsidRDefault="00FD00AC" w:rsidP="00FD00AC">
      <w:pPr>
        <w:pStyle w:val="Paragrafi"/>
      </w:pPr>
      <w:r w:rsidRPr="00116885">
        <w:t xml:space="preserve">Në mbështetje të neneve 78, 83 pika 1 dhe 155 të Kushtetutës, me propozimin e Këshillit të Ministrave, </w:t>
      </w:r>
    </w:p>
    <w:p w:rsidR="00FD00AC" w:rsidRPr="00116885" w:rsidRDefault="00FD00AC" w:rsidP="00FD00AC">
      <w:pPr>
        <w:pStyle w:val="Paragrafi"/>
      </w:pPr>
    </w:p>
    <w:p w:rsidR="00FD00AC" w:rsidRPr="00FD00AC" w:rsidRDefault="00FD00AC" w:rsidP="00FD00AC">
      <w:pPr>
        <w:pStyle w:val="Institucioni"/>
        <w:keepNext w:val="0"/>
        <w:rPr>
          <w:lang w:val="it-IT"/>
        </w:rPr>
      </w:pPr>
      <w:r w:rsidRPr="00FD00AC">
        <w:rPr>
          <w:lang w:val="it-IT"/>
        </w:rPr>
        <w:t>KUVENDI</w:t>
      </w:r>
    </w:p>
    <w:p w:rsidR="00FD00AC" w:rsidRPr="00FD00AC" w:rsidRDefault="00FD00AC" w:rsidP="00FD00AC">
      <w:pPr>
        <w:pStyle w:val="Institucioni"/>
        <w:keepNext w:val="0"/>
        <w:rPr>
          <w:lang w:val="it-IT"/>
        </w:rPr>
      </w:pPr>
      <w:r w:rsidRPr="00FD00AC">
        <w:rPr>
          <w:lang w:val="it-IT"/>
        </w:rPr>
        <w:t>I REPUBLIKËS SË SHQIPËRISË</w:t>
      </w:r>
    </w:p>
    <w:p w:rsidR="00FD00AC" w:rsidRPr="003C4D9B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VENDOSI"/>
        <w:keepNext w:val="0"/>
        <w:rPr>
          <w:lang w:val="it-IT"/>
        </w:rPr>
      </w:pPr>
      <w:r w:rsidRPr="00FD00AC">
        <w:rPr>
          <w:lang w:val="it-IT"/>
        </w:rPr>
        <w:t>VENDOSI:</w:t>
      </w:r>
    </w:p>
    <w:p w:rsidR="00FD00AC" w:rsidRPr="003C4D9B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Në ligjin nr.8438, datë 28.12.1998 "Për tatimin mbi të ardhurat", të ndryshuar, bëhen këto shtesa dhe ndryshime: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>Neni 1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Në fund të nenit 8 "E ardhura e tatueshme" shtohet shkronja "gj" me këtë përmbajtje: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"gj) të ardhurat e tatueshme, të realizuara gjatë periudhës tatimore nga ato subjekte të taksës vendore mbi biznesin e vogël, që kanë një qarkullim më të madh se 2 milionë lekë deri në 8 milionë lekë në vit, të cilat llogariten si diferencë ndërmjet të ardhurave, gjithsej, me shpenzimet e njohura, të specifikuara në nenin 12/2 të këtij ligji.".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>Neni 2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Në nenin 11, në fund të pikës 1, fjalët “në paragrafin 2 të këtij ligji” bëhen “në paragrafin 2 të këtij neni”.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>Neni 3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Pas nenit 11 shtohen nenet 12, 12/1, 12/2, 12/3, 12/4, 12/5 dhe 12/6, si më poshtë: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 xml:space="preserve">"Neni 12 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Të ardhurat e tatueshme nga veprimtaria e biznesit të vogël</w:t>
      </w:r>
    </w:p>
    <w:p w:rsidR="00FD00AC" w:rsidRPr="003C4D9B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1. Personat fizikë dhe juridikë, subjekte të taksës vendore mbi biznesin e vogël, sipas kuptimit të nenit 10 të ligjit nr.9632, datë 30.10.2006 “Për sistemin e taksave vendore", të cilët realizojnë një qarkullim vjetor jo më shumë se 8 000 000 lekë dhe jo më pak se 2 000 000 lekë, janë subjekt i tatimit mbi të ardhurat personale.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2. Të ardhurat, gjithsej, nga veprimtaria e biznesit të vogël nënkuptojnë çdo lloj të ardhure, të realizuar gjatë periudhës tatimore dhe përfshijnë, pa u kufizuar vetëm në to: të ardhurat e realizuara nga furnizimi i mallrave dhe shërbimeve, të ardhurat nga pjesëmarrjet, të ardhurat nga interesat të ardhurat nga shfrytëzimi i pasurisë së luajtshme e të paluajtshme etj.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 xml:space="preserve">Neni 12/1 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Shkalla tatimore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Shkalla tatimore e aplikueshme mbi të ardhurat e tatueshme të bizneseve të vogla, subjekt i tatimit mbi të ardhurat personale, është 10 për qind.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>Neni 12/2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Shpenzimet e njohura</w:t>
      </w:r>
    </w:p>
    <w:p w:rsidR="00FD00AC" w:rsidRPr="00FD00AC" w:rsidRDefault="00FD00AC" w:rsidP="00FD00AC">
      <w:pPr>
        <w:pStyle w:val="Paragrafi"/>
        <w:rPr>
          <w:sz w:val="12"/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Për efekt të përcaktimit të së ardhurës së tatueshme, subjekteve të taksës vendore të biznesit të vogël do t’u njihen si shpenzime nga të ardhurat, gjithsej, të gjitha shpenzimet e kryera ose të lindura gjatë periudhës tatimore, që janë tërësisht të lidhura me qëllimin e biznesit.</w:t>
      </w:r>
    </w:p>
    <w:p w:rsidR="00FD00AC" w:rsidRPr="00FD00AC" w:rsidRDefault="00FD00AC" w:rsidP="00FD00AC">
      <w:pPr>
        <w:pStyle w:val="Paragrafi"/>
        <w:rPr>
          <w:sz w:val="14"/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>Neni 12/3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Shpenzimet e panjohura</w:t>
      </w:r>
    </w:p>
    <w:p w:rsidR="00FD00AC" w:rsidRPr="00FD00AC" w:rsidRDefault="00FD00AC" w:rsidP="00FD00AC">
      <w:pPr>
        <w:pStyle w:val="Paragrafi"/>
        <w:rPr>
          <w:sz w:val="14"/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1. Për efekt të përcaktimit të së ardhurës së tatueshme, nuk njihen shpenzimet e mëposhtme: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a) kostoja e blerjes dhe e përmirësimit të tokës dhe të truallit;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b) kostoja e blerjes, përmirësimit, rinovimit dhe rikonstruksionit të aktiveve të veprimtarisë, të cilat amortizohen, në përputhje me nenin 22 të këtij ligji;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c) vlera e shpërblimeve në natyrë;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ç) kontributet vullnetare të pensioneve;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d) interesat e paguar, të cilët tejkalojnë normën mesatare të interesit 12-mujor të kredisë, për tregun bankar, sipas publikimit zyrtar të Bankës së Shqipërisë;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dh) gjobat, kamatëvonesat dhe kushtet e tjera penale;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e) krijimi ose rritja e rezervave dhe e fondeve të tjera speciale, përveç rasteve të parashikuara në ligj apo në akte nënligjore;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ë) tatimi mbi të ardhurat personale dhe ato nga biznesi;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f) shpenzimet për përfaqësim dhe për pritje-përcjellje, të cilat e tejkalojnë shumën 0,3 për qind të qarkullimit vjetor;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g) shpenzimet e konsumit personal, të përcaktuara me udhëzim të Ministrit të Financave;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gj) shpenzimet, të cilat tejkalojnë kufijtë e përcaktuar me ligj apo me akte nënligjore. Për kufijtë e përcaktuar për qëllime tatimore në ligjin nr.7892, datë 21.11.1994 "Për sponsorizimet", nuk njihen si shpenzime të njohura shumat e sponsorizuara, që tejkalojnë masën 3 për qind të fitimit para tatimit dhe shuma e sponsorizuar për botuesit e shtypit, e cila tejkalon masën 5 për qind të fitimit para tatimit;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h) shpenzimet për dhurata;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i) çdo shpenzim, masa e të cilit nuk vërtetohet me dokumente nga tatimpaguesi;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j) shpenzimet për shërbime teknike, konsulence dhe të menaxhimit të faturave nga persona të tretë, por të palikuiduara brenda periudhës tatimore nga tatimpaguesi;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k) humbjet, dëmtimet, firot dhe skarcot gjatë prodhimit, tranzitimit dhe magazinimit, tej normave të përcaktuara në akte të veçanta ligjore dhe nënligjore;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l) shpenzimet për pagat, shpërblime dhe çdo formë tjetër të të ardhurave personale, të cilat lidhen me të ardhurat me marrëdhëniet me punësimin, që u janë paguar të punësuarve, përfshirë dhe administratorët, pa kaluar nëpërmjet sistemit bankar. Rastet e përjashtimit nga ky rregull janë të përcaktuara me vendim të Këshillit të Ministrave;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ll) shumat e paguara në cash, mbi kufijtë e përcaktuar në nenin 36/1 të ligjit nr.8560, datë 22.12.1999 "Për procedurat tatimore në Republikën e Shqipërisë". Rastet e përjashtimit nga ky rregull janë të përcaktuara me vendim të Këshillit të Ministrave;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m) nëse gjatë periudhës tatimore, huaja dhe parapagimi tejkalojnë mesatarisht katër herë shumën e kapitaleve të veta, interesi i paguar për shumën e tejkaluar nuk njihet si shpenzim i zbritshëm;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 xml:space="preserve">n) borxhi i keq, nëse nuk plotësohen tri kushtet e përcaktuara në nenin 24 të këtij ligji. Një borxh i keq, që është mbledhur, duhet të përfshihet si e ardhur në çastin e mbledhjes; 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nj) shpenzimet për udhëtime, ushqim, akomodim dhe lëvizje duhet të kufizohen te shumat e specifikuara me udhëzim të Ministrit të Financave;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o) shpenzimet për asetet kapitale, përveç shpenzimeve për tokën, veprat e artit dhe pasuri të tjera, që nuk amortizohen, në pronësi të taksapaguesit dhe të përdorura për veprimtaritë e biznesit të taksapaguesit, do të mbulohen, gjatë kohës, përmes shpenzimeve të amortizimit, sipas përcaktimeve të mëposhtme: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i) kostot e blerjes ose ndërtimit, kostot e përmirësimit, rinovimit dhe rikonstruksionit të ndërtesave, të konstruksioneve dhe makinerive e pajisjeve, me afat të gjatë shërbimi, amortizohen veçmas, në mënyrë lineare, me 5 për qind;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 xml:space="preserve">ii) amortizimi për kostot e blerjes së aktiveve të patrupëzuara llogaritet veç për secilin aktiv, </w:t>
      </w:r>
      <w:r w:rsidRPr="00FD00AC">
        <w:rPr>
          <w:lang w:val="it-IT"/>
        </w:rPr>
        <w:lastRenderedPageBreak/>
        <w:t>sipas metodës lineare, në masën 15 për qind;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iii) kompjuterat, sistemet e informacionit, produktet software dhe pajisjet e ruajtjes së të dhënave amortizohen në bazë të vlerës së grupit, me 25 për qind;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iv) të gjitha aktivet e tjera të veprimtarisë, me 20 për qind.</w:t>
      </w: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2. Baza e amortizimit është vlera kontabël e kategorisë së regjistruar në bilancin e hapjes së periudhës tatimore, duke i shtuar koston e blerjes apo të krijimit të aktivit dhe koston e përmirësimit, rinovimit dhe rikonstruksionit të aktiveve të kategorisë, gjatë periudhës tatimore dhe duke i zbritur çmimin e shitjes së aktiveve dhe kompensimet e marra për humbjen e aktiveve, për shkak të forcave të tjera madhore ose të shndërrimeve të tjera, të pavullnetshme, gjatë periudhës tatimore. Në rastin kur baza e amortizimit është një shumë negative, kjo shumë i shtohet të ardhurës së tatueshme dhe baza e amortizimit merret zero. Në rastin kur baza e amortizimit nuk kalon 5 000 lekë, e gjithë baza e amortizimit është një shpenzim i zbritshëm i veprimtarisë. Në rastin kur bëhet rivlerësim i aktiveve të veprimtarisë nuk lejohet të llogaritet amortizimi për shumën e rivlerësuar.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 xml:space="preserve">Neni 12/4 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Mbajtja regjistrimeve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Librat dhe regjistrimet, që kërkohet të mbahen nga tatimpaguesit, janë: libri i shitjes (i qarkullimit), libri i blerjeve, libri i shpenzimeve dhe i të ardhurave dhe libri i aktiveve të biznesit, të cilat do të përcaktohen me udhëzim të Ministrit të Financave, në zbatim të këtij ligji.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NeniNr"/>
        <w:keepNext w:val="0"/>
        <w:rPr>
          <w:lang w:val="it-IT"/>
        </w:rPr>
      </w:pPr>
      <w:r w:rsidRPr="00FD00AC">
        <w:rPr>
          <w:lang w:val="it-IT"/>
        </w:rPr>
        <w:t xml:space="preserve">Neni 12/5 </w:t>
      </w:r>
    </w:p>
    <w:p w:rsidR="00FD00AC" w:rsidRPr="00FD00AC" w:rsidRDefault="00FD00AC" w:rsidP="00FD00AC">
      <w:pPr>
        <w:pStyle w:val="NeniTitull"/>
        <w:keepNext w:val="0"/>
        <w:rPr>
          <w:lang w:val="it-IT"/>
        </w:rPr>
      </w:pPr>
      <w:r w:rsidRPr="00FD00AC">
        <w:rPr>
          <w:lang w:val="it-IT"/>
        </w:rPr>
        <w:t>Kreditimi i tatimit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FD00AC" w:rsidRDefault="00FD00AC" w:rsidP="00FD00AC">
      <w:pPr>
        <w:pStyle w:val="Paragrafi"/>
        <w:rPr>
          <w:lang w:val="it-IT"/>
        </w:rPr>
      </w:pPr>
      <w:r w:rsidRPr="00FD00AC">
        <w:rPr>
          <w:lang w:val="it-IT"/>
        </w:rPr>
        <w:t>Taksa vendore mbi biznesin e vogël, e paguar gjatë vitit pranë organeve të qeverisjes vendore, është e kreditueshme (e zbritshme) përkundrejt tatimit për t'u paguar, të llogaritur si shumëzim i të ardhurës së tatueshme, në deklaratën tatimore vjetore, me shkallën tatimore.</w:t>
      </w:r>
    </w:p>
    <w:p w:rsidR="00FD00AC" w:rsidRPr="00FD00AC" w:rsidRDefault="00FD00AC" w:rsidP="00FD00AC">
      <w:pPr>
        <w:pStyle w:val="Paragrafi"/>
        <w:rPr>
          <w:lang w:val="it-IT"/>
        </w:rPr>
      </w:pPr>
    </w:p>
    <w:p w:rsidR="00FD00AC" w:rsidRPr="00116885" w:rsidRDefault="00FD00AC" w:rsidP="00FD00AC">
      <w:pPr>
        <w:pStyle w:val="NeniNr"/>
        <w:keepNext w:val="0"/>
      </w:pPr>
      <w:r w:rsidRPr="00116885">
        <w:t>Neni 12/6</w:t>
      </w:r>
    </w:p>
    <w:p w:rsidR="00FD00AC" w:rsidRPr="00116885" w:rsidRDefault="00FD00AC" w:rsidP="00FD00AC">
      <w:pPr>
        <w:pStyle w:val="NeniTitull"/>
        <w:keepNext w:val="0"/>
      </w:pPr>
      <w:r w:rsidRPr="00116885">
        <w:t>Deklarimi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Paragrafi"/>
      </w:pPr>
      <w:r w:rsidRPr="00116885">
        <w:t>1. Çdo tatimpagues, subjekt i tatimit mbi të ardhurat personale, sipas përcaktimit të dhënë në shkronjën "gj" të nenit 8 të këtij ligji, është i detyruar që, deri më 31 mars të vitit që pason periudhën tatimore, të dorëzojë një deklaratë vjetore tatimore, ku të jepen hollësisht të ardhurat, gjithsej, shpenzimet e zbritshme, e ardhura e tatueshme, tatimi për t'u paguar, taksa vendore, e paguar gjatë periudhës tatimore pranë organeve të qeverisjes vendore, çdo shumë për t'u paguar apo për t'u rimbursuar, si dhe çdo hollësi tjetër e kërkuar nga Ministri i Financave në udhëzimin për plotësimin dhe dorëzimin e deklaratës tatimore vjetore. Deklarata dorëzohet në bankat, me të cilat administrata tatimore ka marrëveshje për pranimin e deklaratave dhe të pagesave dhe ajo shoqërohet me çdo kërkesë për rimbursim apo me çdo shumë për t'u paguar.</w:t>
      </w:r>
    </w:p>
    <w:p w:rsidR="00FD00AC" w:rsidRPr="00116885" w:rsidRDefault="00FD00AC" w:rsidP="00FD00AC">
      <w:pPr>
        <w:pStyle w:val="Paragrafi"/>
      </w:pPr>
      <w:r w:rsidRPr="00116885">
        <w:t>2. Tatimi, i llogaritur në bazë të deklaratës vjetore tatimore, pakësuar me kreditimin e tatimit, përcaktuar në nenin 12/5 të këtij ligji, paguhet nga tatimpaguesi në llogarinë e organeve tatimore, në çastin e paraqitjes së deklaratës vjetore tatimore.".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NeniNr"/>
        <w:keepNext w:val="0"/>
      </w:pPr>
      <w:r w:rsidRPr="00116885">
        <w:t>Neni 4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Paragrafi"/>
      </w:pPr>
      <w:r w:rsidRPr="00116885">
        <w:t>Në nenin 21 pika 1, shkronja "o" shfuqizohet.</w:t>
      </w:r>
    </w:p>
    <w:p w:rsidR="00FD00AC" w:rsidRDefault="00FD00AC" w:rsidP="00FD00AC">
      <w:pPr>
        <w:pStyle w:val="Paragrafi"/>
      </w:pP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NeniNr"/>
        <w:keepNext w:val="0"/>
      </w:pPr>
      <w:r w:rsidRPr="00116885">
        <w:t>Neni 5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Paragrafi"/>
      </w:pPr>
      <w:r w:rsidRPr="00116885">
        <w:t>Bartja e humbjeve, inventari, çështjet, që lidhen me kundërvajtjet administrative, penalitetet dhe ankimimin, bëhen sipas dispozitave të përcaktuara në ligjin nr.8438, datë 28.12.1998 "Për tatimin mbi të ardhurat", të ndryshuar.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NeniNr"/>
        <w:keepNext w:val="0"/>
      </w:pPr>
      <w:r w:rsidRPr="00116885">
        <w:lastRenderedPageBreak/>
        <w:t>Neni 6</w:t>
      </w:r>
    </w:p>
    <w:p w:rsidR="00FD00AC" w:rsidRPr="00116885" w:rsidRDefault="00FD00AC" w:rsidP="00FD00AC">
      <w:pPr>
        <w:pStyle w:val="NeniTitull"/>
        <w:keepNext w:val="0"/>
      </w:pPr>
      <w:r w:rsidRPr="00116885">
        <w:t>Hyrja në fuqi</w:t>
      </w:r>
    </w:p>
    <w:p w:rsidR="00FD00AC" w:rsidRPr="00116885" w:rsidRDefault="00FD00AC" w:rsidP="00FD00AC">
      <w:pPr>
        <w:pStyle w:val="Paragrafi"/>
      </w:pPr>
    </w:p>
    <w:p w:rsidR="00FD00AC" w:rsidRPr="00116885" w:rsidRDefault="00FD00AC" w:rsidP="00FD00AC">
      <w:pPr>
        <w:pStyle w:val="Paragrafi"/>
      </w:pPr>
      <w:r w:rsidRPr="00116885">
        <w:t>Ky ligj hyn në fuqi 15 ditë pas botimit në Fletoren Zyrtare dhe i shtrin efektet nga data 1 janar 2008.</w:t>
      </w:r>
    </w:p>
    <w:p w:rsidR="00FD00AC" w:rsidRPr="00116885" w:rsidRDefault="00FD00AC" w:rsidP="00FD00AC">
      <w:pPr>
        <w:pStyle w:val="Paragrafi"/>
      </w:pPr>
    </w:p>
    <w:p w:rsidR="00FD00AC" w:rsidRPr="00E262DD" w:rsidRDefault="00FD00AC" w:rsidP="00FD00AC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5566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4.1.2008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FD00AC" w:rsidRPr="00116885" w:rsidRDefault="00FD00AC" w:rsidP="00FD00AC">
      <w:pPr>
        <w:pStyle w:val="Paragrafi"/>
      </w:pPr>
    </w:p>
    <w:p w:rsidR="000178C2" w:rsidRPr="00C84B66" w:rsidRDefault="000178C2" w:rsidP="00FD00AC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00AC"/>
    <w:rsid w:val="000178C2"/>
    <w:rsid w:val="007B0403"/>
    <w:rsid w:val="00C84B66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D55482-9CEA-4990-BAF4-1E868DF4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D00A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D00A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FD00A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D00A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umriData">
    <w:name w:val="Numri_Data"/>
    <w:next w:val="Normal"/>
    <w:rsid w:val="00FD00AC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D00AC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FD00A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FD00A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FD00A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D00A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FD00A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D00AC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