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781" w:rsidRPr="00E34C39" w:rsidRDefault="007E3781" w:rsidP="007E3781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E34C39">
        <w:rPr>
          <w:sz w:val="21"/>
          <w:szCs w:val="21"/>
          <w:lang w:val="sq-AL"/>
        </w:rPr>
        <w:t>LIGJ</w:t>
      </w:r>
    </w:p>
    <w:p w:rsidR="007E3781" w:rsidRPr="00E34C39" w:rsidRDefault="007E3781" w:rsidP="007E3781">
      <w:pPr>
        <w:pStyle w:val="NumriData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Nr.9908, datë 24.4.2008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Titulli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 xml:space="preserve">PËR DISA NDRYSHIME DHE SHTESA NË LIGJIN NR.9362, DATË 24.3.2005 </w:t>
      </w:r>
    </w:p>
    <w:p w:rsidR="007E3781" w:rsidRPr="00E34C39" w:rsidRDefault="007E3781" w:rsidP="007E3781">
      <w:pPr>
        <w:pStyle w:val="Titulli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“PËR SHËRBIMIN E MBROJTJES SË BIMËVE”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VENDOSI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KUVENDI</w:t>
      </w:r>
    </w:p>
    <w:p w:rsidR="007E3781" w:rsidRPr="00E34C39" w:rsidRDefault="007E3781" w:rsidP="007E3781">
      <w:pPr>
        <w:pStyle w:val="VENDOSI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I REPUBLIKËS SË SHQIPËRISË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VENDOSI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VENDOSI: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Në ligjin nr.9362, datë 24.3.2005 “Për shërbimin e mbrojtjes së bimëve”, bëhen këto ndryshime dhe shtesa:</w:t>
      </w:r>
    </w:p>
    <w:p w:rsidR="007E3781" w:rsidRPr="00E34C39" w:rsidRDefault="007E3781" w:rsidP="007E3781">
      <w:pPr>
        <w:pStyle w:val="NeniNr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Neni 1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Kudo në ligj ndryshohen emërtimet si më poshtë: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a) emërtimi “Ministria e Bujqësisë dhe Ushqimit” zëvendësohet me emërtimin “ministria që mbulon fushën e bujqësisë”;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b) emërtimi “Ministri i Bujqësisë dhe Ushqimit” zëvendësohet me emërtimin “ministri që mbulon fushën e bujqësisë”;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c) emërtimi “Drejtoria e Mbrojtjes së Bimëve” zëvendësohet me emërtimin “struktura përgjegjëse e mbrojtjes së bimëve (SPMB)”;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 xml:space="preserve">ç) emërtimi “Drejtori i Mbrojtjes së Bimëve” zëvendësohet me emërtimin “drejtuesi i strukturës përgjegjëse të mbrojtjes së bimëve”; 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d) emërtimi “Instituti i Kërkimeve Veterinare” zëvendësohet me emërtimin “Instituti i Sigurisë Ushqimore dhe Veterinarisë”;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dh) emërtimi “Instituti i Mbrojtjes së Bimëve” zëvendësohet me emërtimin “Departamenti i Mbrojtjes së Bimëve (DMB) në Universitetin Bujqësor, Tiranë”.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NeniNr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Neni 2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 xml:space="preserve">Pas pikës 4 të nenit 2 shtohen pikat 4.1 e 4.2 me këtë përmbajtje: 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“4.1 “PMB të rrezikshme” janë PMB-të e klasifikuara: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a) eksplozive;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b) oksiduese;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 xml:space="preserve">c) ekstremisht të ndezshme; 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ç) lehtësisht të ndezshme;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 xml:space="preserve">d) të ndezshme; 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dh) shumë helmuese;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 xml:space="preserve">e) helmuese; 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ë) të dëmshme;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f) gërryese;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g) irritante;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gj) të ndjeshme;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h) kancerogjene;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i) mutagjene;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j) helmuese për riprodhimin;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k) të rrezikshme për mjedisin.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4.2 “PMB me rrezik të lartë” janë PMB-të e klasifikuara: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lastRenderedPageBreak/>
        <w:t>a) shumë helmuese (të klasës 1a ose T+);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b) helmuese (të klasës 1b ose T);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 xml:space="preserve">c) ekstremisht të ndezshme; 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ç) lehtësisht të ndezshme;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d) të rrezikshme për mjedisin.”.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NeniNr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Neni 3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Neni 3 ndryshohet si më poshtë: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NeniNr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“Neni 3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Shërbimi i mbrojtjes së bimëve përbëhet nga: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a) Struktura përgjegjëse e mbrojtjes së bimëve;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b) Instituti i Sigurisë Ushqimore dhe Veterinarisë (ISUV);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c) Departamenti i Mbrojtjes së Bimëve (DMB) në Universitetin Bujqësor, Tiranë, në varësi të Ministrisë së Arsimit dhe Shkencës.”.</w:t>
      </w:r>
    </w:p>
    <w:p w:rsidR="007E3781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NeniNr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Neni 4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Neni 5 ndryshohet si më poshtë: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NeniNr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 xml:space="preserve">“Neni 5 </w:t>
      </w:r>
    </w:p>
    <w:p w:rsidR="007E3781" w:rsidRPr="00E34C39" w:rsidRDefault="007E3781" w:rsidP="007E3781">
      <w:pPr>
        <w:pStyle w:val="NeniTitull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Laboratorët e referencës dhe laboratorët e autorizuar të kontrollit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1. Laboratorë reference janë:</w:t>
      </w:r>
    </w:p>
    <w:p w:rsidR="007E3781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1.1. Laboratorët e diagnostikimit të parazitëve pranë Departamentit të Mbrojtjes së Bimëve (DMB) në Universitetin Bujqësor, Tiranë, të cilët kanë për detyrë: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a) të monitorojnë parazitët karantinorë, të përcaktojnë statusin e tyre, mënyrat e kontrollit karantinor dhe të njoftojnë ministrinë që mbulon fushën e bujqësisë;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b) të bëjnë diagnostikimin dhe prognozë-sinjalizimin e parazitëve, duke përcaktuar edhe masat e luftimit të tyre;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c) të bëjnë provat biologjike-agronomike të PMB-ve gjatë procedurës së regjistrimit të tyre.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1.2. Laboratori i analizave cilësore të PMB-ve, si dhe i mbetjeve të tyre pranë Institutit të Sigurisë Ushqimore dhe Veterinarisë (ISUV), i cili ka për detyrë: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a) të bëjë analizat fiziko-kimike të PMB-ve gjatë procedurës së regjistrimit të tyre;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b) të bëjë kontrollin cilësor të PMB-ve dhe të mbetjeve të tyre në bimët dhe produktet bimore.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2. Krahas detyrave të përcaktuara në pikat 1.1 e 1.2, laboratorët e referencës duhet, gjithashtu: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a) të bëjnë vlerësimin e laboratorëve të autorizuar të kontrollit, nëse janë të pajisur për kryerjen e analizave për kontrollet zyrtare. Ky vlerësim shërben për autorizimin e tyre nga ministri që mbulon fushën e bujqësisë;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b) të bashkërendojnë punën dhe të ofrojnë mbështetje, përfshirë trajnime dhe shërbime të tjera për veprimtaritë laboratorike, për standardet teknike dhe mënyrat e analizave që ato kryejnë;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c) të organizojnë teste paralele të mostrave të standardizuara dhe të marrin pjesë në to në nivel kombëtar dhe ndërkombëtar për monitorimin e kualifikimit të laboratorëve të autorizuar të kontrollit;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ç) të garantojnë se laboratorët e autorizuar të kontrollit përdorin sistemin e tyre të brendshëm, në përputhje me standardet e kërkuara.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3. Për zbatimin e detyrave të përcaktuara në pikën 1.1 të këtij neni, ministria që mbulon fushën e bujqësisë lidh marrëveshje kontraktuale (kontratë) me Ministrinë e Arsimit dhe Shkencës.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 xml:space="preserve">4. Laboratorët e autorizuar të kontrollit miratohen nga ministri që mbulon fushën e bujqësisë, pas vlerësimit të kryer nga laboratorët e referencës. Si laboratorë të autorizuar të kontrollit shërbejnë laboratorët e mbrojtjes së bimëve pranë DRBUMK-së në qarqe, si dhe ato private, nëse plotësojnë </w:t>
      </w:r>
      <w:r w:rsidRPr="00E34C39">
        <w:rPr>
          <w:sz w:val="21"/>
          <w:szCs w:val="21"/>
          <w:lang w:val="sq-AL"/>
        </w:rPr>
        <w:lastRenderedPageBreak/>
        <w:t>kërkesat e përcaktuara në pikën 2 të këtij neni.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5. Kriteret që duhet të plotësojnë laboratorët e autorizuar të kontrollit për t'u miratuar, procedurat e miratimit dhe analizat që kryejnë përcaktohen me udhëzim të ministrit që mbulon fushën e bujqësisë.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6. Tarifat e analizave që kryhen nga laboratorët e referencës dhe laboratorët e autorizuar të kontrollit përcaktohen me udhëzim të përbashkët të ministrit që mbulon fushën e bujqësisë dhe të Ministrit të Financave.”.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NeniNr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Neni 5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Në nenin 21 shtohet një paragraf me këtë përmbajtje: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“Në Republikën e Shqipërisë regjistrohen vetëm PMB-të, të cilat janë të regjistruara në vendet e Bashkimit Europian.”.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NeniNr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Neni 6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Në nenin 23 bëhen këto ndryshime: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a) Pika 2 ndryshohet si më poshtë: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“2. Importimi i PMB-ve të regjistruara, të klasifikuara “PMB të rrezikshme” dhe “PMB me rrezik të lartë”, kryhet me leje importi, të lëshuar nga drejtuesi i strukturës përgjegjëse të mbrojtjes së bimëve, ndërsa importimi i PMB-ve të tjera kryhet sipas parimit të autodeklarimit.”.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b) Pika 3 ndryshohet si më poshtë: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“3. Tregtimi i PMB-ve të regjistruara, të klasifikuara “PMB të rrezikshme” dhe “PMB me rrezik të lartë”, kryhet me leje tregtimi, të lëshuar nga drejtori i DRBUMK-së në qark, ndërsa tregtimi i PMB-ve të tjera kryhet sipas parimit të autodeklarimit.”.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c) Pas pikës 3 shtohet pika 4 me këtë përmbajtje: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“4. Formulari i autodeklarimit për importin e PMB-ve dorëzohet në ministrinë që mbulon fushën e bujqësisë, ndërsa formulari për tregtimin e tyre dorëzohet në DRBUMK-në e qarkut.”.</w:t>
      </w:r>
    </w:p>
    <w:p w:rsidR="007E3781" w:rsidRPr="00E34C39" w:rsidRDefault="007E3781" w:rsidP="007E3781">
      <w:pPr>
        <w:pStyle w:val="Paragrafi"/>
        <w:rPr>
          <w:sz w:val="15"/>
          <w:szCs w:val="21"/>
          <w:lang w:val="sq-AL"/>
        </w:rPr>
      </w:pPr>
    </w:p>
    <w:p w:rsidR="007E3781" w:rsidRPr="00E34C39" w:rsidRDefault="007E3781" w:rsidP="007E3781">
      <w:pPr>
        <w:pStyle w:val="NeniNr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Neni 7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Në nenin 25, pika 2 ndryshohet si më poshtë: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“2. PMB-të e klasifikuara “PMB me rrezik të lartë” përdoren vetëm nga personat e përmendur në pikën 1 dhe nga ata që janë të pajisur me dëshmi aftësie të veçantë. PMB-të e klasifikuara “PMB të rrezikshme” përdoren nga persona të pajisur me dëshmi aftësie, ndërsa ato të klasifikuara “PMB-të e tjera” përdoren pa dëshmi.”.</w:t>
      </w:r>
    </w:p>
    <w:p w:rsidR="007E3781" w:rsidRPr="00E34C39" w:rsidRDefault="007E3781" w:rsidP="007E3781">
      <w:pPr>
        <w:pStyle w:val="Paragrafi"/>
        <w:rPr>
          <w:sz w:val="15"/>
          <w:szCs w:val="21"/>
          <w:lang w:val="sq-AL"/>
        </w:rPr>
      </w:pPr>
    </w:p>
    <w:p w:rsidR="007E3781" w:rsidRPr="00E34C39" w:rsidRDefault="007E3781" w:rsidP="007E3781">
      <w:pPr>
        <w:pStyle w:val="NeniNr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Neni 8</w:t>
      </w:r>
    </w:p>
    <w:p w:rsidR="007E3781" w:rsidRPr="00E34C39" w:rsidRDefault="007E3781" w:rsidP="007E3781">
      <w:pPr>
        <w:pStyle w:val="Paragrafi"/>
        <w:rPr>
          <w:sz w:val="17"/>
          <w:szCs w:val="21"/>
          <w:lang w:val="sq-AL"/>
        </w:rPr>
      </w:pP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Në nenin 27 bëhen këto shtesa: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a) Në pikën 8, pas fjalëve “në kundërshtim me kërkesat e nenit 23” shtohen fjalët “pikat 2, 3 e 4”.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b) Pas pikës 10 shtohet pika 11 me këtë përmbajtje: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 xml:space="preserve">“11. Importimi dhe tregtimi i PMB-ve, në kundërshtim me kërkesat e pikës 1 të nenit 23 të këtij ligji.”.  </w:t>
      </w:r>
    </w:p>
    <w:p w:rsidR="007E3781" w:rsidRPr="00E34C39" w:rsidRDefault="007E3781" w:rsidP="007E3781">
      <w:pPr>
        <w:pStyle w:val="Paragrafi"/>
        <w:rPr>
          <w:sz w:val="15"/>
          <w:szCs w:val="21"/>
          <w:lang w:val="sq-AL"/>
        </w:rPr>
      </w:pPr>
    </w:p>
    <w:p w:rsidR="007E3781" w:rsidRPr="00E34C39" w:rsidRDefault="007E3781" w:rsidP="007E3781">
      <w:pPr>
        <w:pStyle w:val="NeniNr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Neni 9</w:t>
      </w:r>
    </w:p>
    <w:p w:rsidR="007E3781" w:rsidRPr="00E34C39" w:rsidRDefault="007E3781" w:rsidP="007E3781">
      <w:pPr>
        <w:pStyle w:val="Paragrafi"/>
        <w:rPr>
          <w:sz w:val="15"/>
          <w:szCs w:val="21"/>
          <w:lang w:val="sq-AL"/>
        </w:rPr>
      </w:pP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Në fund të nenit 28 shtohen pikat 5 e 6 me këtë përmbajtje: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“5. Për kundërvajtjet administrative të parashikuara në pikën 11 të nenit 27 të këtij ligji jepet dënim me gjobë 50 000 lekë, si dhe detyrohet subjekti të kthejë PMB-të në vendin e origjinës së marrjes së tyre.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6. Në rast përsëritjeje të kundërvajtjeve administrative të parashikuara në pikat 8 e 9 të nenit 27 të këtij ligji, subjektit i jepet dënim me gjobë 50 000 lekë dhe i hiqet e drejta e importimit ose e tregtimit të PMB-ve.”.</w:t>
      </w:r>
    </w:p>
    <w:p w:rsidR="007E3781" w:rsidRPr="00E34C39" w:rsidRDefault="007E3781" w:rsidP="007E3781">
      <w:pPr>
        <w:pStyle w:val="Paragrafi"/>
        <w:rPr>
          <w:sz w:val="13"/>
          <w:szCs w:val="21"/>
          <w:lang w:val="sq-AL"/>
        </w:rPr>
      </w:pPr>
    </w:p>
    <w:p w:rsidR="007E3781" w:rsidRPr="00E34C39" w:rsidRDefault="007E3781" w:rsidP="007E3781">
      <w:pPr>
        <w:pStyle w:val="NeniNr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Neni 10</w:t>
      </w:r>
    </w:p>
    <w:p w:rsidR="007E3781" w:rsidRPr="00E34C39" w:rsidRDefault="007E3781" w:rsidP="007E3781">
      <w:pPr>
        <w:pStyle w:val="Paragrafi"/>
        <w:rPr>
          <w:sz w:val="15"/>
          <w:szCs w:val="21"/>
          <w:lang w:val="sq-AL"/>
        </w:rPr>
      </w:pP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Ngarkohet Ministri i Bujqësisë, Ushqimit dhe Mbrojtjes së Konsumatorit që, brenda 9 muajve nga hyrja në fuqi e këtij ligji, të bëjë rivlerësimin e regjistrimeve të PMB-ve të kryera, sipas kërkesave të parashikuara në këtë ligj.</w:t>
      </w:r>
    </w:p>
    <w:p w:rsidR="007E3781" w:rsidRPr="00E34C39" w:rsidRDefault="007E3781" w:rsidP="007E3781">
      <w:pPr>
        <w:pStyle w:val="NeniNr"/>
        <w:keepNext w:val="0"/>
        <w:rPr>
          <w:sz w:val="15"/>
          <w:szCs w:val="21"/>
          <w:lang w:val="sq-AL"/>
        </w:rPr>
      </w:pPr>
    </w:p>
    <w:p w:rsidR="007E3781" w:rsidRPr="00E34C39" w:rsidRDefault="007E3781" w:rsidP="007E3781">
      <w:pPr>
        <w:pStyle w:val="NeniNr"/>
        <w:keepNext w:val="0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Neni 11</w:t>
      </w:r>
    </w:p>
    <w:p w:rsidR="007E3781" w:rsidRPr="00E34C39" w:rsidRDefault="007E3781" w:rsidP="007E3781">
      <w:pPr>
        <w:pStyle w:val="Paragrafi"/>
        <w:rPr>
          <w:sz w:val="15"/>
          <w:szCs w:val="21"/>
          <w:lang w:val="sq-AL"/>
        </w:rPr>
      </w:pP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  <w:r w:rsidRPr="00E34C39">
        <w:rPr>
          <w:sz w:val="21"/>
          <w:szCs w:val="21"/>
          <w:lang w:val="sq-AL"/>
        </w:rPr>
        <w:t>Ky ligj hyn në fuqi 15 ditë pas botimit në Fletoren Zyrtare.</w:t>
      </w:r>
    </w:p>
    <w:p w:rsidR="007E3781" w:rsidRPr="00E34C39" w:rsidRDefault="007E3781" w:rsidP="007E3781">
      <w:pPr>
        <w:pStyle w:val="Paragrafi"/>
        <w:rPr>
          <w:sz w:val="21"/>
          <w:szCs w:val="21"/>
          <w:lang w:val="sq-AL"/>
        </w:rPr>
      </w:pPr>
    </w:p>
    <w:p w:rsidR="007E3781" w:rsidRPr="00E34C39" w:rsidRDefault="007E3781" w:rsidP="007E3781">
      <w:pPr>
        <w:pStyle w:val="Shpallja"/>
        <w:rPr>
          <w:sz w:val="23"/>
          <w:szCs w:val="23"/>
        </w:rPr>
      </w:pPr>
      <w:r w:rsidRPr="00E34C39">
        <w:rPr>
          <w:sz w:val="23"/>
          <w:szCs w:val="23"/>
        </w:rPr>
        <w:t>Shpallur me dekretin nr.5704, datë 6.5.2008 të Presidentit të Republikës së Shqipërisë, Bamir Topi</w:t>
      </w:r>
    </w:p>
    <w:sectPr w:rsidR="007E3781" w:rsidRPr="00E34C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E3781"/>
    <w:rsid w:val="00155FB1"/>
    <w:rsid w:val="007E3781"/>
    <w:rsid w:val="00AC2F0E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A5FAA7-D542-47E2-B571-6C8D9535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781"/>
    <w:pPr>
      <w:jc w:val="both"/>
    </w:pPr>
    <w:rPr>
      <w:rFonts w:ascii="Arial" w:hAnsi="Arial" w:cs="Angsana New"/>
      <w:lang w:eastAsia="zh-CN" w:bidi="th-TH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eastAsia="MS Mincho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outlineLvl w:val="1"/>
    </w:pPr>
    <w:rPr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textAlignment w:val="baseline"/>
    </w:p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textAlignment w:val="baseline"/>
    </w:p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</w:pPr>
    <w:rPr>
      <w:rFonts w:ascii="Bookman Old Style" w:hAnsi="Bookman Old Style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</w:pPr>
    <w:rPr>
      <w:rFonts w:ascii="Trebuchet MS" w:hAnsi="Trebuchet MS" w:cs="Arial"/>
      <w:sz w:val="16"/>
      <w:szCs w:val="16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</w:pPr>
    <w:rPr>
      <w:rFonts w:ascii="Trebuchet MS" w:hAnsi="Trebuchet MS"/>
      <w:b/>
      <w:bCs/>
      <w:sz w:val="22"/>
      <w:lang w:val="sq-AL" w:eastAsia="en-GB"/>
    </w:rPr>
  </w:style>
  <w:style w:type="paragraph" w:customStyle="1" w:styleId="Titulli">
    <w:name w:val="Titulli"/>
    <w:next w:val="Normal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</w:pPr>
    <w:rPr>
      <w:noProof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</w:pPr>
    <w:rPr>
      <w:noProof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</w:p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</w:pPr>
    <w:rPr>
      <w:noProof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</w:pPr>
    <w:rPr>
      <w:rFonts w:ascii="Trebuchet MS" w:hAnsi="Trebuchet MS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</w:pPr>
    <w:rPr>
      <w:rFonts w:ascii="CG Times" w:hAnsi="CG Times"/>
      <w:kern w:val="28"/>
      <w:sz w:val="22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lang w:val="sq-AL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lang w:eastAsia="en-GB"/>
    </w:rPr>
  </w:style>
  <w:style w:type="paragraph" w:customStyle="1" w:styleId="TableText">
    <w:name w:val="Table Text"/>
    <w:basedOn w:val="BodyText"/>
    <w:rsid w:val="00D60C8B"/>
    <w:pPr>
      <w:spacing w:before="40" w:after="40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</w:pPr>
    <w:rPr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cs="Arial"/>
      <w:b/>
      <w:bCs/>
      <w:sz w:val="22"/>
      <w:szCs w:val="22"/>
      <w:lang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8"/>
      <w:szCs w:val="18"/>
      <w:lang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b/>
      <w:bCs/>
      <w:i/>
      <w:iCs/>
      <w:sz w:val="18"/>
      <w:szCs w:val="18"/>
      <w:lang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cs="Arial"/>
      <w:color w:val="000000"/>
      <w:sz w:val="22"/>
      <w:szCs w:val="22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1141</Words>
  <Characters>6505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7631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2019-03-16T18:49:00Z</dcterms:created>
  <dcterms:modified xsi:type="dcterms:W3CDTF">2019-03-16T18:49:00Z</dcterms:modified>
</cp:coreProperties>
</file>