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EF5" w:rsidRPr="00D8408B" w:rsidRDefault="00A21EF5" w:rsidP="00A21EF5">
      <w:pPr>
        <w:pStyle w:val="Akti"/>
        <w:keepNext w:val="0"/>
        <w:rPr>
          <w:rFonts w:eastAsia="MS Mincho"/>
          <w:sz w:val="21"/>
          <w:szCs w:val="21"/>
        </w:rPr>
      </w:pPr>
      <w:bookmarkStart w:id="0" w:name="_GoBack"/>
      <w:bookmarkEnd w:id="0"/>
      <w:r w:rsidRPr="00D8408B">
        <w:rPr>
          <w:rFonts w:eastAsia="MS Mincho"/>
          <w:sz w:val="21"/>
          <w:szCs w:val="21"/>
        </w:rPr>
        <w:t>LIGJ</w:t>
      </w:r>
    </w:p>
    <w:p w:rsidR="00A21EF5" w:rsidRPr="00D8408B" w:rsidRDefault="00A21EF5" w:rsidP="00A21EF5">
      <w:pPr>
        <w:pStyle w:val="NumriData"/>
        <w:keepNext w:val="0"/>
        <w:rPr>
          <w:rFonts w:eastAsia="MS Mincho"/>
          <w:sz w:val="21"/>
          <w:szCs w:val="21"/>
        </w:rPr>
      </w:pPr>
      <w:r w:rsidRPr="00D8408B">
        <w:rPr>
          <w:rFonts w:eastAsia="MS Mincho"/>
          <w:sz w:val="21"/>
          <w:szCs w:val="21"/>
        </w:rPr>
        <w:t>Nr.10 017, datë 13.11.2008</w:t>
      </w:r>
    </w:p>
    <w:p w:rsidR="00A21EF5" w:rsidRPr="00D8408B" w:rsidRDefault="00A21EF5" w:rsidP="00A21EF5">
      <w:pPr>
        <w:pStyle w:val="Paragrafi"/>
        <w:rPr>
          <w:rFonts w:eastAsia="MS Mincho"/>
          <w:sz w:val="21"/>
          <w:szCs w:val="21"/>
        </w:rPr>
      </w:pPr>
    </w:p>
    <w:p w:rsidR="00A21EF5" w:rsidRPr="00D8408B" w:rsidRDefault="00A21EF5" w:rsidP="00A21EF5">
      <w:pPr>
        <w:pStyle w:val="Titulli"/>
        <w:keepNext w:val="0"/>
        <w:rPr>
          <w:rFonts w:eastAsia="MS Mincho"/>
          <w:sz w:val="21"/>
          <w:szCs w:val="21"/>
        </w:rPr>
      </w:pPr>
      <w:r w:rsidRPr="00D8408B">
        <w:rPr>
          <w:rFonts w:eastAsia="MS Mincho"/>
          <w:sz w:val="21"/>
          <w:szCs w:val="21"/>
        </w:rPr>
        <w:t>PËR PËRCAKTIMIN E POLIGONEVE PËR ASGJËSIMIN E MUNICIONEVE TË FORCAVE TË ARMATOSURA TË REPUBLIKËS SË SHQIPËRISË</w:t>
      </w:r>
    </w:p>
    <w:p w:rsidR="00A21EF5" w:rsidRPr="00D8408B" w:rsidRDefault="00A21EF5" w:rsidP="00A21EF5">
      <w:pPr>
        <w:pStyle w:val="Paragrafi"/>
        <w:ind w:firstLine="0"/>
        <w:rPr>
          <w:rFonts w:eastAsia="MS Mincho"/>
          <w:sz w:val="21"/>
          <w:szCs w:val="21"/>
        </w:rPr>
      </w:pPr>
    </w:p>
    <w:p w:rsidR="00A21EF5" w:rsidRPr="00D8408B" w:rsidRDefault="00A21EF5" w:rsidP="00A21EF5">
      <w:pPr>
        <w:pStyle w:val="Paragrafi"/>
        <w:rPr>
          <w:rFonts w:eastAsia="MS Mincho"/>
          <w:sz w:val="21"/>
          <w:szCs w:val="21"/>
        </w:rPr>
      </w:pPr>
      <w:r w:rsidRPr="00D8408B">
        <w:rPr>
          <w:rFonts w:eastAsia="MS Mincho"/>
          <w:sz w:val="21"/>
          <w:szCs w:val="21"/>
        </w:rPr>
        <w:t xml:space="preserve">Në mbështetje të neneve 78 e 83 pika 1 të Kushtetutës, me propozimin e Këshillit të Ministrave, </w:t>
      </w:r>
    </w:p>
    <w:p w:rsidR="00A21EF5" w:rsidRPr="00D8408B" w:rsidRDefault="00A21EF5" w:rsidP="00A21EF5">
      <w:pPr>
        <w:pStyle w:val="Paragrafi"/>
        <w:rPr>
          <w:rFonts w:eastAsia="MS Mincho"/>
          <w:sz w:val="21"/>
          <w:szCs w:val="21"/>
        </w:rPr>
      </w:pPr>
    </w:p>
    <w:p w:rsidR="00A21EF5" w:rsidRPr="00D8408B" w:rsidRDefault="00A21EF5" w:rsidP="00A21EF5">
      <w:pPr>
        <w:pStyle w:val="Institucioni"/>
        <w:keepNext w:val="0"/>
        <w:rPr>
          <w:rFonts w:eastAsia="MS Mincho"/>
          <w:sz w:val="21"/>
          <w:szCs w:val="21"/>
        </w:rPr>
      </w:pPr>
      <w:r w:rsidRPr="00D8408B">
        <w:rPr>
          <w:rFonts w:eastAsia="MS Mincho"/>
          <w:sz w:val="21"/>
          <w:szCs w:val="21"/>
        </w:rPr>
        <w:t xml:space="preserve">KUVENDI </w:t>
      </w:r>
    </w:p>
    <w:p w:rsidR="00A21EF5" w:rsidRPr="00D8408B" w:rsidRDefault="00A21EF5" w:rsidP="00A21EF5">
      <w:pPr>
        <w:pStyle w:val="Institucioni"/>
        <w:keepNext w:val="0"/>
        <w:rPr>
          <w:rFonts w:eastAsia="MS Mincho"/>
          <w:sz w:val="21"/>
          <w:szCs w:val="21"/>
        </w:rPr>
      </w:pPr>
      <w:r w:rsidRPr="00D8408B">
        <w:rPr>
          <w:rFonts w:eastAsia="MS Mincho"/>
          <w:sz w:val="21"/>
          <w:szCs w:val="21"/>
        </w:rPr>
        <w:t>I REPUBLIKËS SË SHQIPËRISË</w:t>
      </w:r>
    </w:p>
    <w:p w:rsidR="00A21EF5" w:rsidRPr="00D8408B" w:rsidRDefault="00A21EF5" w:rsidP="00A21EF5">
      <w:pPr>
        <w:pStyle w:val="Paragrafi"/>
        <w:rPr>
          <w:rFonts w:eastAsia="MS Mincho"/>
          <w:sz w:val="21"/>
          <w:szCs w:val="21"/>
        </w:rPr>
      </w:pPr>
    </w:p>
    <w:p w:rsidR="00A21EF5" w:rsidRPr="00D8408B" w:rsidRDefault="00A21EF5" w:rsidP="00A21EF5">
      <w:pPr>
        <w:pStyle w:val="VENDOSI"/>
        <w:keepNext w:val="0"/>
        <w:rPr>
          <w:rFonts w:eastAsia="MS Mincho"/>
          <w:sz w:val="21"/>
          <w:szCs w:val="21"/>
        </w:rPr>
      </w:pPr>
      <w:r w:rsidRPr="00D8408B">
        <w:rPr>
          <w:rFonts w:eastAsia="MS Mincho"/>
          <w:sz w:val="21"/>
          <w:szCs w:val="21"/>
        </w:rPr>
        <w:t>VENDOSI:</w:t>
      </w:r>
    </w:p>
    <w:p w:rsidR="00A21EF5" w:rsidRPr="00D8408B" w:rsidRDefault="00A21EF5" w:rsidP="00A21EF5">
      <w:pPr>
        <w:pStyle w:val="Paragrafi"/>
        <w:rPr>
          <w:rFonts w:eastAsia="MS Mincho"/>
          <w:sz w:val="21"/>
          <w:szCs w:val="21"/>
        </w:rPr>
      </w:pPr>
    </w:p>
    <w:p w:rsidR="00A21EF5" w:rsidRPr="00D8408B" w:rsidRDefault="00A21EF5" w:rsidP="00A21EF5">
      <w:pPr>
        <w:pStyle w:val="Institucioni"/>
        <w:keepNext w:val="0"/>
        <w:rPr>
          <w:rFonts w:eastAsia="MS Mincho"/>
          <w:sz w:val="21"/>
          <w:szCs w:val="21"/>
        </w:rPr>
      </w:pPr>
      <w:r w:rsidRPr="00D8408B">
        <w:rPr>
          <w:rFonts w:eastAsia="MS Mincho"/>
          <w:sz w:val="21"/>
          <w:szCs w:val="21"/>
        </w:rPr>
        <w:t>KREU  I</w:t>
      </w:r>
    </w:p>
    <w:p w:rsidR="00A21EF5" w:rsidRPr="00D8408B" w:rsidRDefault="00A21EF5" w:rsidP="00A21EF5">
      <w:pPr>
        <w:pStyle w:val="Institucioni"/>
        <w:keepNext w:val="0"/>
        <w:rPr>
          <w:rFonts w:eastAsia="MS Mincho"/>
          <w:sz w:val="21"/>
          <w:szCs w:val="21"/>
        </w:rPr>
      </w:pPr>
      <w:r w:rsidRPr="00D8408B">
        <w:rPr>
          <w:rFonts w:eastAsia="MS Mincho"/>
          <w:sz w:val="21"/>
          <w:szCs w:val="21"/>
        </w:rPr>
        <w:t>DISPOZITA TË PËRGJITHSHME</w:t>
      </w:r>
    </w:p>
    <w:p w:rsidR="00A21EF5" w:rsidRPr="00D8408B" w:rsidRDefault="00A21EF5" w:rsidP="00A21EF5">
      <w:pPr>
        <w:pStyle w:val="Paragrafi"/>
        <w:rPr>
          <w:rFonts w:eastAsia="MS Mincho"/>
          <w:sz w:val="21"/>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1</w:t>
      </w:r>
    </w:p>
    <w:p w:rsidR="00A21EF5" w:rsidRPr="00D8408B" w:rsidRDefault="00A21EF5" w:rsidP="00A21EF5">
      <w:pPr>
        <w:pStyle w:val="NeniTitull"/>
        <w:keepNext w:val="0"/>
        <w:rPr>
          <w:rFonts w:eastAsia="MS Mincho"/>
          <w:sz w:val="21"/>
          <w:szCs w:val="21"/>
        </w:rPr>
      </w:pPr>
      <w:r w:rsidRPr="00D8408B">
        <w:rPr>
          <w:rFonts w:eastAsia="MS Mincho"/>
          <w:sz w:val="21"/>
          <w:szCs w:val="21"/>
        </w:rPr>
        <w:t>Qëllimi</w:t>
      </w:r>
    </w:p>
    <w:p w:rsidR="00A21EF5" w:rsidRPr="00D8408B" w:rsidRDefault="00A21EF5" w:rsidP="00A21EF5">
      <w:pPr>
        <w:pStyle w:val="Paragrafi"/>
        <w:rPr>
          <w:rFonts w:eastAsia="MS Mincho"/>
          <w:sz w:val="21"/>
          <w:szCs w:val="21"/>
        </w:rPr>
      </w:pPr>
    </w:p>
    <w:p w:rsidR="00A21EF5" w:rsidRPr="00D8408B" w:rsidRDefault="00A21EF5" w:rsidP="00A21EF5">
      <w:pPr>
        <w:pStyle w:val="Paragrafi"/>
        <w:rPr>
          <w:rFonts w:eastAsia="MS Mincho"/>
          <w:sz w:val="21"/>
          <w:szCs w:val="21"/>
        </w:rPr>
      </w:pPr>
      <w:r w:rsidRPr="00D8408B">
        <w:rPr>
          <w:rFonts w:eastAsia="MS Mincho"/>
          <w:sz w:val="21"/>
          <w:szCs w:val="21"/>
        </w:rPr>
        <w:t>Ky ligj përcakton sipërfaqet e territorit, prona të shtetit apo në pronësi të subjekteve të tjera, të cilat mund të përdoren si poligone për asgjësimin e municioneve të Forcave të Armatosura të Republikës së Shqipërisë, si dhe mënyrën e administrimit të tyre.</w:t>
      </w:r>
    </w:p>
    <w:p w:rsidR="00A21EF5" w:rsidRPr="00D8408B" w:rsidRDefault="00A21EF5" w:rsidP="00A21EF5">
      <w:pPr>
        <w:pStyle w:val="Paragrafi"/>
        <w:rPr>
          <w:rFonts w:eastAsia="MS Mincho"/>
          <w:sz w:val="21"/>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2</w:t>
      </w:r>
    </w:p>
    <w:p w:rsidR="00A21EF5" w:rsidRPr="00D8408B" w:rsidRDefault="00A21EF5" w:rsidP="00A21EF5">
      <w:pPr>
        <w:pStyle w:val="Paragrafi"/>
        <w:rPr>
          <w:rFonts w:eastAsia="MS Mincho"/>
          <w:sz w:val="21"/>
          <w:szCs w:val="21"/>
        </w:rPr>
      </w:pPr>
    </w:p>
    <w:p w:rsidR="00A21EF5" w:rsidRPr="00D8408B" w:rsidRDefault="00A21EF5" w:rsidP="00A21EF5">
      <w:pPr>
        <w:pStyle w:val="Paragrafi"/>
        <w:rPr>
          <w:rFonts w:eastAsia="MS Mincho"/>
          <w:sz w:val="21"/>
          <w:szCs w:val="21"/>
        </w:rPr>
      </w:pPr>
      <w:r w:rsidRPr="00D8408B">
        <w:rPr>
          <w:rFonts w:eastAsia="MS Mincho"/>
          <w:sz w:val="21"/>
          <w:szCs w:val="21"/>
        </w:rPr>
        <w:t>Në këtë ligj, termat e mëposhtëm kanë këto kuptime:</w:t>
      </w:r>
    </w:p>
    <w:p w:rsidR="00A21EF5" w:rsidRPr="00D8408B" w:rsidRDefault="00A21EF5" w:rsidP="00A21EF5">
      <w:pPr>
        <w:pStyle w:val="Paragrafi"/>
        <w:rPr>
          <w:rFonts w:eastAsia="MS Mincho"/>
          <w:sz w:val="21"/>
          <w:szCs w:val="21"/>
        </w:rPr>
      </w:pPr>
      <w:r w:rsidRPr="00D8408B">
        <w:rPr>
          <w:rFonts w:eastAsia="MS Mincho"/>
          <w:sz w:val="21"/>
          <w:szCs w:val="21"/>
        </w:rPr>
        <w:t>1. “Poligon për asgjësimin e municioneve” është një sipërfaqe territori, me përmasa e kufizime të caktuara, që shërben për asgjësimin e municioneve të kalibrave të ndryshëm, në përdorim të Forcave të Armatosura.</w:t>
      </w:r>
    </w:p>
    <w:p w:rsidR="00A21EF5" w:rsidRPr="00D8408B" w:rsidRDefault="00A21EF5" w:rsidP="00A21EF5">
      <w:pPr>
        <w:pStyle w:val="Paragrafi"/>
        <w:rPr>
          <w:rFonts w:eastAsia="MS Mincho"/>
          <w:sz w:val="21"/>
          <w:szCs w:val="21"/>
        </w:rPr>
      </w:pPr>
      <w:r w:rsidRPr="00D8408B">
        <w:rPr>
          <w:rFonts w:eastAsia="MS Mincho"/>
          <w:sz w:val="21"/>
          <w:szCs w:val="21"/>
        </w:rPr>
        <w:t>2. “Zonë sigurie” është një sipërfaqe territori, hapësire ajrore dhe detare, që kufizon, nga të gjitha anët, rrethore, poligonin për zhvillimin normal të asgjësimit të municioneve luftarake.</w:t>
      </w:r>
    </w:p>
    <w:p w:rsidR="00A21EF5" w:rsidRPr="00D8408B" w:rsidRDefault="00A21EF5" w:rsidP="00A21EF5">
      <w:pPr>
        <w:pStyle w:val="Paragrafi"/>
        <w:rPr>
          <w:rFonts w:eastAsia="MS Mincho"/>
          <w:sz w:val="21"/>
          <w:szCs w:val="21"/>
        </w:rPr>
      </w:pPr>
    </w:p>
    <w:p w:rsidR="00A21EF5" w:rsidRPr="00D8408B" w:rsidRDefault="00A21EF5" w:rsidP="00A21EF5">
      <w:pPr>
        <w:pStyle w:val="KapitulliNr"/>
        <w:keepNext w:val="0"/>
        <w:rPr>
          <w:rFonts w:eastAsia="MS Mincho"/>
          <w:sz w:val="21"/>
          <w:szCs w:val="21"/>
        </w:rPr>
      </w:pPr>
      <w:r w:rsidRPr="00D8408B">
        <w:rPr>
          <w:rFonts w:eastAsia="MS Mincho"/>
          <w:sz w:val="21"/>
          <w:szCs w:val="21"/>
        </w:rPr>
        <w:t>KREU  II</w:t>
      </w:r>
    </w:p>
    <w:p w:rsidR="00A21EF5" w:rsidRPr="00D8408B" w:rsidRDefault="00A21EF5" w:rsidP="00A21EF5">
      <w:pPr>
        <w:pStyle w:val="KapitulliTitull"/>
        <w:keepNext w:val="0"/>
        <w:rPr>
          <w:rFonts w:eastAsia="MS Mincho"/>
          <w:sz w:val="21"/>
          <w:szCs w:val="21"/>
        </w:rPr>
      </w:pPr>
      <w:r w:rsidRPr="00D8408B">
        <w:rPr>
          <w:rFonts w:eastAsia="MS Mincho"/>
          <w:sz w:val="21"/>
          <w:szCs w:val="21"/>
        </w:rPr>
        <w:t>PËRCAKTIMI I POLIGONEVE</w:t>
      </w:r>
    </w:p>
    <w:p w:rsidR="00A21EF5" w:rsidRPr="00D8408B" w:rsidRDefault="00A21EF5" w:rsidP="00A21EF5">
      <w:pPr>
        <w:pStyle w:val="Paragrafi"/>
        <w:rPr>
          <w:rFonts w:eastAsia="MS Mincho"/>
          <w:sz w:val="21"/>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3</w:t>
      </w:r>
    </w:p>
    <w:p w:rsidR="00A21EF5" w:rsidRPr="00D8408B" w:rsidRDefault="00A21EF5" w:rsidP="00A21EF5">
      <w:pPr>
        <w:pStyle w:val="Paragrafi"/>
        <w:rPr>
          <w:rFonts w:eastAsia="MS Mincho"/>
          <w:sz w:val="21"/>
          <w:szCs w:val="21"/>
        </w:rPr>
      </w:pPr>
    </w:p>
    <w:p w:rsidR="00A21EF5" w:rsidRPr="00D8408B" w:rsidRDefault="00A21EF5" w:rsidP="00A21EF5">
      <w:pPr>
        <w:pStyle w:val="Paragrafi"/>
        <w:rPr>
          <w:rFonts w:eastAsia="MS Mincho"/>
          <w:sz w:val="21"/>
          <w:szCs w:val="21"/>
        </w:rPr>
      </w:pPr>
      <w:r w:rsidRPr="00D8408B">
        <w:rPr>
          <w:rFonts w:eastAsia="MS Mincho"/>
          <w:sz w:val="21"/>
          <w:szCs w:val="21"/>
        </w:rPr>
        <w:t>1. Poligonet e asgjësimit të municioneve të Forcave të Armatosura përcaktohen në këtë ligj.</w:t>
      </w:r>
    </w:p>
    <w:p w:rsidR="00A21EF5" w:rsidRPr="00D8408B" w:rsidRDefault="00A21EF5" w:rsidP="00A21EF5">
      <w:pPr>
        <w:pStyle w:val="Paragrafi"/>
        <w:rPr>
          <w:rFonts w:eastAsia="MS Mincho"/>
          <w:sz w:val="21"/>
          <w:szCs w:val="21"/>
        </w:rPr>
      </w:pPr>
      <w:r w:rsidRPr="00D8408B">
        <w:rPr>
          <w:rFonts w:eastAsia="MS Mincho"/>
          <w:sz w:val="21"/>
          <w:szCs w:val="21"/>
        </w:rPr>
        <w:t>2. Këto poligone mund të përdoren edhe për asgjësimin e municioneve të Policisë së Shtetit dhe të municioneve të kapura e të grumbulluara nga kjo polici. Asgjësimi i municioneve, për këtë rast, do të bëhet sipas një marrëveshjeje ndërmjet Ministrisë së Mbrojtjes dhe Ministrisë së Brendshme.</w:t>
      </w:r>
    </w:p>
    <w:p w:rsidR="00A21EF5" w:rsidRPr="00D8408B" w:rsidRDefault="00A21EF5" w:rsidP="00A21EF5">
      <w:pPr>
        <w:pStyle w:val="Paragrafi"/>
        <w:rPr>
          <w:rFonts w:eastAsia="MS Mincho"/>
          <w:sz w:val="21"/>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4</w:t>
      </w:r>
    </w:p>
    <w:p w:rsidR="00A21EF5" w:rsidRPr="00D8408B" w:rsidRDefault="00A21EF5" w:rsidP="00A21EF5">
      <w:pPr>
        <w:pStyle w:val="NeniTitull"/>
        <w:keepNext w:val="0"/>
        <w:rPr>
          <w:rFonts w:eastAsia="MS Mincho"/>
          <w:sz w:val="21"/>
          <w:szCs w:val="21"/>
        </w:rPr>
      </w:pPr>
      <w:r w:rsidRPr="00D8408B">
        <w:rPr>
          <w:rFonts w:eastAsia="MS Mincho"/>
          <w:sz w:val="21"/>
          <w:szCs w:val="21"/>
        </w:rPr>
        <w:t>Poligonet për asgjësimin e municioneve</w:t>
      </w:r>
    </w:p>
    <w:p w:rsidR="00A21EF5" w:rsidRPr="00D8408B" w:rsidRDefault="00A21EF5" w:rsidP="00A21EF5">
      <w:pPr>
        <w:pStyle w:val="Paragrafi"/>
        <w:rPr>
          <w:rFonts w:eastAsia="MS Mincho"/>
          <w:sz w:val="21"/>
          <w:szCs w:val="21"/>
        </w:rPr>
      </w:pPr>
    </w:p>
    <w:p w:rsidR="00A21EF5" w:rsidRPr="00D8408B" w:rsidRDefault="00A21EF5" w:rsidP="00A21EF5">
      <w:pPr>
        <w:pStyle w:val="Paragrafi"/>
        <w:rPr>
          <w:rFonts w:eastAsia="MS Mincho"/>
          <w:sz w:val="21"/>
          <w:szCs w:val="21"/>
        </w:rPr>
      </w:pPr>
      <w:r w:rsidRPr="00D8408B">
        <w:rPr>
          <w:rFonts w:eastAsia="MS Mincho"/>
          <w:sz w:val="21"/>
          <w:szCs w:val="21"/>
        </w:rPr>
        <w:t>1. Poligonet për asgjësimin e municioneve të Forcave të Armatosura janë:</w:t>
      </w:r>
    </w:p>
    <w:p w:rsidR="00A21EF5" w:rsidRPr="00D8408B" w:rsidRDefault="00A21EF5" w:rsidP="00A21EF5">
      <w:pPr>
        <w:pStyle w:val="Paragrafi"/>
        <w:rPr>
          <w:rFonts w:eastAsia="MS Mincho"/>
          <w:sz w:val="21"/>
          <w:szCs w:val="21"/>
        </w:rPr>
      </w:pPr>
      <w:r w:rsidRPr="00D8408B">
        <w:rPr>
          <w:rFonts w:eastAsia="MS Mincho"/>
          <w:sz w:val="21"/>
          <w:szCs w:val="21"/>
        </w:rPr>
        <w:t>a) poligoni “Livadhet e Hamzit”, Pukë;</w:t>
      </w:r>
    </w:p>
    <w:p w:rsidR="00A21EF5" w:rsidRPr="00D8408B" w:rsidRDefault="00A21EF5" w:rsidP="00A21EF5">
      <w:pPr>
        <w:pStyle w:val="Paragrafi"/>
        <w:rPr>
          <w:rFonts w:eastAsia="MS Mincho"/>
          <w:sz w:val="21"/>
          <w:szCs w:val="21"/>
        </w:rPr>
      </w:pPr>
      <w:r w:rsidRPr="00D8408B">
        <w:rPr>
          <w:rFonts w:eastAsia="MS Mincho"/>
          <w:sz w:val="21"/>
          <w:szCs w:val="21"/>
        </w:rPr>
        <w:t>b) poligoni “Shën Noi Madh”, Bizë;</w:t>
      </w:r>
    </w:p>
    <w:p w:rsidR="00A21EF5" w:rsidRPr="00D8408B" w:rsidRDefault="00A21EF5" w:rsidP="00A21EF5">
      <w:pPr>
        <w:pStyle w:val="Paragrafi"/>
        <w:rPr>
          <w:rFonts w:eastAsia="MS Mincho"/>
          <w:sz w:val="21"/>
          <w:szCs w:val="21"/>
        </w:rPr>
      </w:pPr>
      <w:r w:rsidRPr="00D8408B">
        <w:rPr>
          <w:rFonts w:eastAsia="MS Mincho"/>
          <w:sz w:val="21"/>
          <w:szCs w:val="21"/>
        </w:rPr>
        <w:t>c) poligoni “Zgarë”, Librazhd;</w:t>
      </w:r>
    </w:p>
    <w:p w:rsidR="00A21EF5" w:rsidRPr="00D8408B" w:rsidRDefault="00A21EF5" w:rsidP="00A21EF5">
      <w:pPr>
        <w:pStyle w:val="Paragrafi"/>
        <w:rPr>
          <w:rFonts w:eastAsia="MS Mincho"/>
          <w:sz w:val="21"/>
          <w:szCs w:val="21"/>
        </w:rPr>
      </w:pPr>
      <w:r w:rsidRPr="00D8408B">
        <w:rPr>
          <w:rFonts w:eastAsia="MS Mincho"/>
          <w:sz w:val="21"/>
          <w:szCs w:val="21"/>
        </w:rPr>
        <w:t>ç)  poligoni i Shënmrisë, Gramsh;</w:t>
      </w:r>
    </w:p>
    <w:p w:rsidR="00A21EF5" w:rsidRPr="00D8408B" w:rsidRDefault="00A21EF5" w:rsidP="00A21EF5">
      <w:pPr>
        <w:pStyle w:val="Paragrafi"/>
        <w:rPr>
          <w:rFonts w:eastAsia="MS Mincho"/>
          <w:sz w:val="21"/>
          <w:szCs w:val="21"/>
        </w:rPr>
      </w:pPr>
      <w:r w:rsidRPr="00D8408B">
        <w:rPr>
          <w:rFonts w:eastAsia="MS Mincho"/>
          <w:sz w:val="21"/>
          <w:szCs w:val="21"/>
        </w:rPr>
        <w:t>d)  poligoni “Përroi i Bigazit”, Skrapar;</w:t>
      </w:r>
    </w:p>
    <w:p w:rsidR="00A21EF5" w:rsidRPr="00D8408B" w:rsidRDefault="00A21EF5" w:rsidP="00A21EF5">
      <w:pPr>
        <w:pStyle w:val="Paragrafi"/>
        <w:rPr>
          <w:rFonts w:eastAsia="MS Mincho"/>
          <w:sz w:val="21"/>
          <w:szCs w:val="21"/>
        </w:rPr>
      </w:pPr>
      <w:r w:rsidRPr="00D8408B">
        <w:rPr>
          <w:rFonts w:eastAsia="MS Mincho"/>
          <w:sz w:val="21"/>
          <w:szCs w:val="21"/>
        </w:rPr>
        <w:t>dh) poligoni “Fushë Roshaj”, Voskopojë;</w:t>
      </w:r>
    </w:p>
    <w:p w:rsidR="00A21EF5" w:rsidRPr="00D8408B" w:rsidRDefault="00A21EF5" w:rsidP="00A21EF5">
      <w:pPr>
        <w:pStyle w:val="Paragrafi"/>
        <w:rPr>
          <w:rFonts w:eastAsia="MS Mincho"/>
          <w:sz w:val="21"/>
          <w:szCs w:val="21"/>
        </w:rPr>
      </w:pPr>
      <w:r w:rsidRPr="00D8408B">
        <w:rPr>
          <w:rFonts w:eastAsia="MS Mincho"/>
          <w:sz w:val="21"/>
          <w:szCs w:val="21"/>
        </w:rPr>
        <w:lastRenderedPageBreak/>
        <w:t>e)  poligoni i Trajlarit, Këlcyrë;</w:t>
      </w:r>
    </w:p>
    <w:p w:rsidR="00A21EF5" w:rsidRDefault="00A21EF5" w:rsidP="00A21EF5">
      <w:pPr>
        <w:pStyle w:val="Paragrafi"/>
        <w:rPr>
          <w:rFonts w:eastAsia="MS Mincho"/>
          <w:sz w:val="21"/>
          <w:szCs w:val="21"/>
        </w:rPr>
      </w:pPr>
      <w:r w:rsidRPr="00D8408B">
        <w:rPr>
          <w:rFonts w:eastAsia="MS Mincho"/>
          <w:sz w:val="21"/>
          <w:szCs w:val="21"/>
        </w:rPr>
        <w:t>ë)  poligoni “Jubë”, Sukth, Durrës.</w:t>
      </w:r>
    </w:p>
    <w:p w:rsidR="00A21EF5" w:rsidRPr="00D8408B" w:rsidRDefault="00A21EF5" w:rsidP="00A21EF5">
      <w:pPr>
        <w:pStyle w:val="Paragrafi"/>
        <w:rPr>
          <w:rFonts w:eastAsia="MS Mincho"/>
          <w:sz w:val="21"/>
          <w:szCs w:val="21"/>
        </w:rPr>
      </w:pPr>
    </w:p>
    <w:p w:rsidR="00A21EF5" w:rsidRPr="00D8408B" w:rsidRDefault="00A21EF5" w:rsidP="00A21EF5">
      <w:pPr>
        <w:pStyle w:val="Paragrafi"/>
        <w:rPr>
          <w:rFonts w:eastAsia="MS Mincho"/>
          <w:sz w:val="21"/>
          <w:szCs w:val="21"/>
        </w:rPr>
      </w:pPr>
      <w:r w:rsidRPr="00D8408B">
        <w:rPr>
          <w:rFonts w:eastAsia="MS Mincho"/>
          <w:sz w:val="21"/>
          <w:szCs w:val="21"/>
        </w:rPr>
        <w:t>2. Koordinatat e poligoneve të asgjësimit të municioneve të Forcave të Armatosura janë të përcaktuara në genplanet, që i bashkëlidhen këtij ligji.</w:t>
      </w:r>
    </w:p>
    <w:p w:rsidR="00A21EF5" w:rsidRPr="00D8408B" w:rsidRDefault="00A21EF5" w:rsidP="00A21EF5">
      <w:pPr>
        <w:pStyle w:val="Paragrafi"/>
        <w:rPr>
          <w:rFonts w:eastAsia="MS Mincho"/>
          <w:sz w:val="21"/>
          <w:szCs w:val="21"/>
        </w:rPr>
      </w:pPr>
    </w:p>
    <w:p w:rsidR="00A21EF5" w:rsidRPr="00D8408B" w:rsidRDefault="00A21EF5" w:rsidP="00A21EF5">
      <w:pPr>
        <w:pStyle w:val="KapitulliNr"/>
        <w:keepNext w:val="0"/>
        <w:rPr>
          <w:rFonts w:eastAsia="MS Mincho"/>
          <w:sz w:val="21"/>
          <w:szCs w:val="21"/>
        </w:rPr>
      </w:pPr>
      <w:r w:rsidRPr="00D8408B">
        <w:rPr>
          <w:rFonts w:eastAsia="MS Mincho"/>
          <w:sz w:val="21"/>
          <w:szCs w:val="21"/>
        </w:rPr>
        <w:t>KREU  III</w:t>
      </w:r>
    </w:p>
    <w:p w:rsidR="00A21EF5" w:rsidRPr="00D8408B" w:rsidRDefault="00A21EF5" w:rsidP="00A21EF5">
      <w:pPr>
        <w:pStyle w:val="KapitulliTitull"/>
        <w:keepNext w:val="0"/>
        <w:rPr>
          <w:rFonts w:eastAsia="MS Mincho"/>
          <w:sz w:val="21"/>
          <w:szCs w:val="21"/>
        </w:rPr>
      </w:pPr>
      <w:r w:rsidRPr="00D8408B">
        <w:rPr>
          <w:rFonts w:eastAsia="MS Mincho"/>
          <w:sz w:val="21"/>
          <w:szCs w:val="21"/>
        </w:rPr>
        <w:t>ADMINISTRIMI I POLIGONEVE</w:t>
      </w:r>
    </w:p>
    <w:p w:rsidR="00A21EF5" w:rsidRPr="00D8408B" w:rsidRDefault="00A21EF5" w:rsidP="00A21EF5">
      <w:pPr>
        <w:pStyle w:val="Paragrafi"/>
        <w:rPr>
          <w:rFonts w:eastAsia="MS Mincho"/>
          <w:sz w:val="21"/>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5</w:t>
      </w:r>
    </w:p>
    <w:p w:rsidR="00A21EF5" w:rsidRPr="00D8408B" w:rsidRDefault="00A21EF5" w:rsidP="00A21EF5">
      <w:pPr>
        <w:pStyle w:val="NeniTitull"/>
        <w:keepNext w:val="0"/>
        <w:rPr>
          <w:rFonts w:eastAsia="MS Mincho"/>
          <w:sz w:val="21"/>
          <w:szCs w:val="21"/>
        </w:rPr>
      </w:pPr>
      <w:r w:rsidRPr="00D8408B">
        <w:rPr>
          <w:rFonts w:eastAsia="MS Mincho"/>
          <w:sz w:val="21"/>
          <w:szCs w:val="21"/>
        </w:rPr>
        <w:t>Administrimi i poligoneve</w:t>
      </w:r>
    </w:p>
    <w:p w:rsidR="00A21EF5" w:rsidRPr="00D8408B" w:rsidRDefault="00A21EF5" w:rsidP="00A21EF5">
      <w:pPr>
        <w:pStyle w:val="Paragrafi"/>
        <w:rPr>
          <w:rFonts w:eastAsia="MS Mincho"/>
          <w:sz w:val="21"/>
          <w:szCs w:val="21"/>
        </w:rPr>
      </w:pPr>
    </w:p>
    <w:p w:rsidR="00A21EF5" w:rsidRPr="00D8408B" w:rsidRDefault="00A21EF5" w:rsidP="00A21EF5">
      <w:pPr>
        <w:pStyle w:val="Paragrafi"/>
        <w:rPr>
          <w:rFonts w:eastAsia="MS Mincho"/>
          <w:sz w:val="21"/>
          <w:szCs w:val="21"/>
        </w:rPr>
      </w:pPr>
      <w:r w:rsidRPr="00D8408B">
        <w:rPr>
          <w:rFonts w:eastAsia="MS Mincho"/>
          <w:sz w:val="21"/>
          <w:szCs w:val="21"/>
        </w:rPr>
        <w:t>1. Sipërfaqja e territorit të poligoneve të asgjësimit të municioneve të Forcave të Armatosura të Republikës së Shqipërisë, gjatë periudhës së asgjësimit të tyre, administrohet nga Ministria e Mbrojtjes.</w:t>
      </w:r>
    </w:p>
    <w:p w:rsidR="00A21EF5" w:rsidRPr="00D8408B" w:rsidRDefault="00A21EF5" w:rsidP="00A21EF5">
      <w:pPr>
        <w:pStyle w:val="Paragrafi"/>
        <w:rPr>
          <w:rFonts w:eastAsia="MS Mincho"/>
          <w:sz w:val="21"/>
          <w:szCs w:val="21"/>
        </w:rPr>
      </w:pPr>
      <w:r w:rsidRPr="00D8408B">
        <w:rPr>
          <w:rFonts w:eastAsia="MS Mincho"/>
          <w:sz w:val="21"/>
          <w:szCs w:val="21"/>
        </w:rPr>
        <w:t>2. Sipërfaqja e tokës së poligoneve, që nuk është pronë shtetërore, do të merret, për nevoja të asgjësimit të municioneve, në përdorim të përkohshëm, në përputhje me ligjin nr.8561, datë 22.12.1999 “Për shpronësimet dhe marrjen në përdorim të përkohshëm të pasurisë, pronë private, për interes publik”.</w:t>
      </w:r>
    </w:p>
    <w:p w:rsidR="00A21EF5" w:rsidRPr="00D8408B" w:rsidRDefault="00A21EF5" w:rsidP="00A21EF5">
      <w:pPr>
        <w:pStyle w:val="Paragrafi"/>
        <w:rPr>
          <w:rFonts w:eastAsia="MS Mincho"/>
          <w:sz w:val="21"/>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6</w:t>
      </w:r>
    </w:p>
    <w:p w:rsidR="00A21EF5" w:rsidRPr="00D8408B" w:rsidRDefault="00A21EF5" w:rsidP="00A21EF5">
      <w:pPr>
        <w:pStyle w:val="NeniTitull"/>
        <w:keepNext w:val="0"/>
        <w:rPr>
          <w:rFonts w:eastAsia="MS Mincho"/>
          <w:sz w:val="21"/>
          <w:szCs w:val="21"/>
        </w:rPr>
      </w:pPr>
      <w:r w:rsidRPr="00D8408B">
        <w:rPr>
          <w:rFonts w:eastAsia="MS Mincho"/>
          <w:sz w:val="21"/>
          <w:szCs w:val="21"/>
        </w:rPr>
        <w:t>Marrja e një sipërfaqeje toke jashtë poligonit</w:t>
      </w:r>
    </w:p>
    <w:p w:rsidR="00A21EF5" w:rsidRPr="00D8408B" w:rsidRDefault="00A21EF5" w:rsidP="00A21EF5">
      <w:pPr>
        <w:pStyle w:val="Paragrafi"/>
        <w:rPr>
          <w:rFonts w:eastAsia="MS Mincho"/>
          <w:sz w:val="21"/>
          <w:szCs w:val="21"/>
        </w:rPr>
      </w:pPr>
    </w:p>
    <w:p w:rsidR="00A21EF5" w:rsidRPr="00D8408B" w:rsidRDefault="00A21EF5" w:rsidP="00A21EF5">
      <w:pPr>
        <w:pStyle w:val="Paragrafi"/>
        <w:rPr>
          <w:rFonts w:eastAsia="MS Mincho"/>
          <w:sz w:val="21"/>
          <w:szCs w:val="21"/>
        </w:rPr>
      </w:pPr>
      <w:r w:rsidRPr="00D8408B">
        <w:rPr>
          <w:rFonts w:eastAsia="MS Mincho"/>
          <w:sz w:val="21"/>
          <w:szCs w:val="21"/>
        </w:rPr>
        <w:t>Ministria e Mbrojtjes, për nevoja të asgjësimit të municioneve, mund të marrë, në raste të veçanta, në përdorim të përkohshëm, një sipërfaqe jashtë territoreve të poligoneve të përcaktuara në këtë ligj, vetëm sipas ligjit nr.8561, datë 22.12.1999 “Për shpronësimet dhe marrjen në përdorim të përkohshëm të pasurisë, pronë private, për interes publik”.</w:t>
      </w:r>
    </w:p>
    <w:p w:rsidR="00A21EF5" w:rsidRPr="00D8408B" w:rsidRDefault="00A21EF5" w:rsidP="00A21EF5">
      <w:pPr>
        <w:pStyle w:val="Paragrafi"/>
        <w:rPr>
          <w:rFonts w:eastAsia="MS Mincho"/>
          <w:sz w:val="21"/>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7</w:t>
      </w:r>
    </w:p>
    <w:p w:rsidR="00A21EF5" w:rsidRPr="00D8408B" w:rsidRDefault="00A21EF5" w:rsidP="00A21EF5">
      <w:pPr>
        <w:pStyle w:val="NeniTitull"/>
        <w:keepNext w:val="0"/>
        <w:rPr>
          <w:rFonts w:eastAsia="MS Mincho"/>
          <w:sz w:val="21"/>
          <w:szCs w:val="21"/>
        </w:rPr>
      </w:pPr>
      <w:r w:rsidRPr="00D8408B">
        <w:rPr>
          <w:rFonts w:eastAsia="MS Mincho"/>
          <w:sz w:val="21"/>
          <w:szCs w:val="21"/>
        </w:rPr>
        <w:t>Funksionimi i poligoneve</w:t>
      </w:r>
    </w:p>
    <w:p w:rsidR="00A21EF5" w:rsidRPr="00D8408B" w:rsidRDefault="00A21EF5" w:rsidP="00A21EF5">
      <w:pPr>
        <w:pStyle w:val="Paragrafi"/>
        <w:rPr>
          <w:rFonts w:eastAsia="MS Mincho"/>
          <w:sz w:val="21"/>
          <w:szCs w:val="21"/>
        </w:rPr>
      </w:pPr>
    </w:p>
    <w:p w:rsidR="00A21EF5" w:rsidRPr="00D8408B" w:rsidRDefault="00A21EF5" w:rsidP="00A21EF5">
      <w:pPr>
        <w:pStyle w:val="Paragrafi"/>
        <w:rPr>
          <w:rFonts w:eastAsia="MS Mincho"/>
          <w:sz w:val="21"/>
          <w:szCs w:val="21"/>
        </w:rPr>
      </w:pPr>
      <w:r w:rsidRPr="00D8408B">
        <w:rPr>
          <w:rFonts w:eastAsia="MS Mincho"/>
          <w:sz w:val="21"/>
          <w:szCs w:val="21"/>
        </w:rPr>
        <w:t>Për funksionimin dhe administrimin e poligoneve, Ministri i Mbrojtjes miraton rregulloret përkatëse, të propozuara nga Shtabi i Përgjithshëm i Forcave të Armatosura.</w:t>
      </w:r>
    </w:p>
    <w:p w:rsidR="00A21EF5" w:rsidRPr="00D8408B" w:rsidRDefault="00A21EF5" w:rsidP="00A21EF5">
      <w:pPr>
        <w:pStyle w:val="Paragrafi"/>
        <w:rPr>
          <w:rFonts w:eastAsia="MS Mincho"/>
          <w:sz w:val="21"/>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8</w:t>
      </w:r>
    </w:p>
    <w:p w:rsidR="00A21EF5" w:rsidRPr="00D8408B" w:rsidRDefault="00A21EF5" w:rsidP="00A21EF5">
      <w:pPr>
        <w:pStyle w:val="NeniTitull"/>
        <w:keepNext w:val="0"/>
        <w:rPr>
          <w:rFonts w:eastAsia="MS Mincho"/>
          <w:sz w:val="21"/>
          <w:szCs w:val="21"/>
        </w:rPr>
      </w:pPr>
      <w:r w:rsidRPr="00D8408B">
        <w:rPr>
          <w:rFonts w:eastAsia="MS Mincho"/>
          <w:sz w:val="21"/>
          <w:szCs w:val="21"/>
        </w:rPr>
        <w:t>Miratimi paraprak i kërkesës për ndërtim</w:t>
      </w:r>
    </w:p>
    <w:p w:rsidR="00A21EF5" w:rsidRPr="00D8408B" w:rsidRDefault="00A21EF5" w:rsidP="00A21EF5">
      <w:pPr>
        <w:pStyle w:val="Paragrafi"/>
        <w:rPr>
          <w:rFonts w:eastAsia="MS Mincho"/>
          <w:sz w:val="21"/>
          <w:szCs w:val="21"/>
        </w:rPr>
      </w:pPr>
    </w:p>
    <w:p w:rsidR="00A21EF5" w:rsidRPr="00D8408B" w:rsidRDefault="00A21EF5" w:rsidP="00A21EF5">
      <w:pPr>
        <w:pStyle w:val="Paragrafi"/>
        <w:rPr>
          <w:rFonts w:eastAsia="MS Mincho"/>
          <w:sz w:val="21"/>
          <w:szCs w:val="21"/>
        </w:rPr>
      </w:pPr>
      <w:r w:rsidRPr="00D8408B">
        <w:rPr>
          <w:rFonts w:eastAsia="MS Mincho"/>
          <w:sz w:val="21"/>
          <w:szCs w:val="21"/>
        </w:rPr>
        <w:t>Ndërtimi i objekteve të përkohshme dhe të përhershme, brenda territorit të poligoneve dhe brezit të sigurisë, bëhet në përputhje me legjislacionin në fuqi dhe vetëm me miratimin paraprak të Ministrit të Mbrojtjes.</w:t>
      </w:r>
    </w:p>
    <w:p w:rsidR="00A21EF5" w:rsidRPr="00D8408B" w:rsidRDefault="00A21EF5" w:rsidP="00A21EF5">
      <w:pPr>
        <w:pStyle w:val="Paragrafi"/>
        <w:rPr>
          <w:rFonts w:eastAsia="MS Mincho"/>
          <w:sz w:val="21"/>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9</w:t>
      </w:r>
    </w:p>
    <w:p w:rsidR="00A21EF5" w:rsidRPr="00D8408B" w:rsidRDefault="00A21EF5" w:rsidP="00A21EF5">
      <w:pPr>
        <w:pStyle w:val="NeniTitull"/>
        <w:keepNext w:val="0"/>
        <w:rPr>
          <w:rFonts w:eastAsia="MS Mincho"/>
          <w:sz w:val="21"/>
          <w:szCs w:val="21"/>
        </w:rPr>
      </w:pPr>
      <w:r w:rsidRPr="00D8408B">
        <w:rPr>
          <w:rFonts w:eastAsia="MS Mincho"/>
          <w:sz w:val="21"/>
          <w:szCs w:val="21"/>
        </w:rPr>
        <w:t>Rajone tokësore, hapësira detare dhe korridore ajrore të kufizuara</w:t>
      </w:r>
    </w:p>
    <w:p w:rsidR="00A21EF5" w:rsidRPr="00D8408B" w:rsidRDefault="00A21EF5" w:rsidP="00A21EF5">
      <w:pPr>
        <w:pStyle w:val="Paragrafi"/>
        <w:rPr>
          <w:rFonts w:eastAsia="MS Mincho"/>
          <w:sz w:val="21"/>
          <w:szCs w:val="21"/>
        </w:rPr>
      </w:pPr>
    </w:p>
    <w:p w:rsidR="00A21EF5" w:rsidRPr="00D8408B" w:rsidRDefault="00A21EF5" w:rsidP="00A21EF5">
      <w:pPr>
        <w:pStyle w:val="Paragrafi"/>
        <w:rPr>
          <w:rFonts w:eastAsia="MS Mincho"/>
          <w:sz w:val="21"/>
          <w:szCs w:val="21"/>
        </w:rPr>
      </w:pPr>
      <w:r w:rsidRPr="00D8408B">
        <w:rPr>
          <w:rFonts w:eastAsia="MS Mincho"/>
          <w:sz w:val="21"/>
          <w:szCs w:val="21"/>
        </w:rPr>
        <w:t>1. Ministria e Mbrojtjes, për nevoja të asgjësimit të municioneve, përcakton rajone tokësore, hapësira detare e korridore ajrore të kufizuara përkohësisht për qarkullim, lundrim, fluturim, gjueti e çdo veprimtari tjetër, që krijon premisa për shkaktim dëmi, duke njoftuar 30 ditë përpara, me shkrim, organet përkatëse.</w:t>
      </w:r>
    </w:p>
    <w:p w:rsidR="00A21EF5" w:rsidRPr="00D8408B" w:rsidRDefault="00A21EF5" w:rsidP="00A21EF5">
      <w:pPr>
        <w:pStyle w:val="Paragrafi"/>
        <w:rPr>
          <w:rFonts w:eastAsia="MS Mincho"/>
          <w:sz w:val="21"/>
          <w:szCs w:val="21"/>
        </w:rPr>
      </w:pPr>
      <w:r w:rsidRPr="00D8408B">
        <w:rPr>
          <w:rFonts w:eastAsia="MS Mincho"/>
          <w:sz w:val="21"/>
          <w:szCs w:val="21"/>
        </w:rPr>
        <w:t>2. Për përcaktimin e zonave të kufizuara dhe njoftimin e organeve përkatëse, në zbatim të këtij neni, Ministria e Mbrojtjes, Ministria e Mjedisit, Pyjeve dhe Administrimit të Ujërave, Ministria e Bujqësisë, Ushqimit dhe Mbrojtjes së Konsumatorit, Ministria e Brendshme, Ministria e Punëve Publike, Transportit dhe Telekomunikacionit dhe Ministria e Turizmit, Kulturës, Rinisë dhe Sporteve nxjerrin një udhëzim të përbashkët.</w:t>
      </w:r>
    </w:p>
    <w:p w:rsidR="00A21EF5" w:rsidRPr="00D8408B" w:rsidRDefault="00A21EF5" w:rsidP="00A21EF5">
      <w:pPr>
        <w:pStyle w:val="Paragrafi"/>
        <w:rPr>
          <w:rFonts w:eastAsia="MS Mincho"/>
          <w:sz w:val="21"/>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10</w:t>
      </w:r>
    </w:p>
    <w:p w:rsidR="00A21EF5" w:rsidRPr="00D8408B" w:rsidRDefault="00A21EF5" w:rsidP="00A21EF5">
      <w:pPr>
        <w:pStyle w:val="NeniTitull"/>
        <w:keepNext w:val="0"/>
        <w:rPr>
          <w:rFonts w:eastAsia="MS Mincho"/>
          <w:sz w:val="21"/>
          <w:szCs w:val="21"/>
        </w:rPr>
      </w:pPr>
      <w:r w:rsidRPr="00D8408B">
        <w:rPr>
          <w:rFonts w:eastAsia="MS Mincho"/>
          <w:sz w:val="21"/>
          <w:szCs w:val="21"/>
        </w:rPr>
        <w:t>Vendet e ndaluara për realizimin e asgjësimit të municioneve</w:t>
      </w:r>
    </w:p>
    <w:p w:rsidR="00A21EF5" w:rsidRPr="00D8408B" w:rsidRDefault="00A21EF5" w:rsidP="00A21EF5">
      <w:pPr>
        <w:pStyle w:val="Paragrafi"/>
        <w:rPr>
          <w:rFonts w:eastAsia="MS Mincho"/>
          <w:sz w:val="21"/>
          <w:szCs w:val="21"/>
        </w:rPr>
      </w:pPr>
    </w:p>
    <w:p w:rsidR="00A21EF5" w:rsidRPr="00D8408B" w:rsidRDefault="00A21EF5" w:rsidP="00A21EF5">
      <w:pPr>
        <w:pStyle w:val="Paragrafi"/>
        <w:rPr>
          <w:rFonts w:eastAsia="MS Mincho"/>
          <w:sz w:val="21"/>
          <w:szCs w:val="21"/>
        </w:rPr>
      </w:pPr>
      <w:r w:rsidRPr="00D8408B">
        <w:rPr>
          <w:rFonts w:eastAsia="MS Mincho"/>
          <w:sz w:val="21"/>
          <w:szCs w:val="21"/>
        </w:rPr>
        <w:t>Ndalohet realizimi i asgjësimit të municioneve në det, jashtë kufirit shtetëror dhe jo më afër se 4 km nga instalimet e shpimit dhe të shfrytëzimit të naftës, nga qendrat e banuara, rezervuarët, digat dhe vendet me rezerva të burimeve nënujore, monumentet e natyrës, monumentet e kulturës të kategorisë I e II, si dhe në zonat e tyre të mbrojtura, në korridoret e hyrjes e të daljes së aviacionit civil, në hapësirën ajrore të vendit.</w:t>
      </w:r>
    </w:p>
    <w:p w:rsidR="00A21EF5" w:rsidRPr="00496C8F" w:rsidRDefault="00A21EF5" w:rsidP="00A21EF5">
      <w:pPr>
        <w:pStyle w:val="Paragrafi"/>
        <w:ind w:firstLine="0"/>
        <w:rPr>
          <w:rFonts w:eastAsia="MS Mincho"/>
          <w:sz w:val="10"/>
          <w:szCs w:val="21"/>
        </w:rPr>
      </w:pPr>
    </w:p>
    <w:p w:rsidR="00A21EF5" w:rsidRPr="00D8408B" w:rsidRDefault="00A21EF5" w:rsidP="00A21EF5">
      <w:pPr>
        <w:pStyle w:val="KapitulliNr"/>
        <w:keepNext w:val="0"/>
        <w:rPr>
          <w:rFonts w:eastAsia="MS Mincho"/>
          <w:sz w:val="21"/>
          <w:szCs w:val="21"/>
        </w:rPr>
      </w:pPr>
      <w:r w:rsidRPr="00D8408B">
        <w:rPr>
          <w:rFonts w:eastAsia="MS Mincho"/>
          <w:sz w:val="21"/>
          <w:szCs w:val="21"/>
        </w:rPr>
        <w:t>KREU  IV</w:t>
      </w:r>
    </w:p>
    <w:p w:rsidR="00A21EF5" w:rsidRPr="00D8408B" w:rsidRDefault="00A21EF5" w:rsidP="00A21EF5">
      <w:pPr>
        <w:pStyle w:val="KapitulliTitull"/>
        <w:keepNext w:val="0"/>
        <w:rPr>
          <w:rFonts w:eastAsia="MS Mincho"/>
          <w:sz w:val="21"/>
          <w:szCs w:val="21"/>
        </w:rPr>
      </w:pPr>
      <w:r w:rsidRPr="00D8408B">
        <w:rPr>
          <w:rFonts w:eastAsia="MS Mincho"/>
          <w:sz w:val="21"/>
          <w:szCs w:val="21"/>
        </w:rPr>
        <w:t>KOMPENSIMI I DËMEVE DHE NJOFTIMI I POPULLSISË</w:t>
      </w:r>
    </w:p>
    <w:p w:rsidR="00A21EF5" w:rsidRPr="00496C8F" w:rsidRDefault="00A21EF5" w:rsidP="00A21EF5">
      <w:pPr>
        <w:pStyle w:val="Paragrafi"/>
        <w:rPr>
          <w:rFonts w:eastAsia="MS Mincho"/>
          <w:sz w:val="12"/>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11</w:t>
      </w:r>
    </w:p>
    <w:p w:rsidR="00A21EF5" w:rsidRPr="00D8408B" w:rsidRDefault="00A21EF5" w:rsidP="00A21EF5">
      <w:pPr>
        <w:pStyle w:val="NeniTitull"/>
        <w:keepNext w:val="0"/>
        <w:rPr>
          <w:rFonts w:eastAsia="MS Mincho"/>
          <w:sz w:val="21"/>
          <w:szCs w:val="21"/>
        </w:rPr>
      </w:pPr>
      <w:r w:rsidRPr="00D8408B">
        <w:rPr>
          <w:rFonts w:eastAsia="MS Mincho"/>
          <w:sz w:val="21"/>
          <w:szCs w:val="21"/>
        </w:rPr>
        <w:t>Mënyra e kompensimit të dëmeve</w:t>
      </w:r>
    </w:p>
    <w:p w:rsidR="00A21EF5" w:rsidRPr="00496C8F" w:rsidRDefault="00A21EF5" w:rsidP="00A21EF5">
      <w:pPr>
        <w:pStyle w:val="Paragrafi"/>
        <w:rPr>
          <w:rFonts w:eastAsia="MS Mincho"/>
          <w:sz w:val="10"/>
          <w:szCs w:val="21"/>
        </w:rPr>
      </w:pPr>
    </w:p>
    <w:p w:rsidR="00A21EF5" w:rsidRPr="00D8408B" w:rsidRDefault="00A21EF5" w:rsidP="00A21EF5">
      <w:pPr>
        <w:pStyle w:val="Paragrafi"/>
        <w:rPr>
          <w:rFonts w:eastAsia="MS Mincho"/>
          <w:sz w:val="21"/>
          <w:szCs w:val="21"/>
        </w:rPr>
      </w:pPr>
      <w:r w:rsidRPr="00D8408B">
        <w:rPr>
          <w:rFonts w:eastAsia="MS Mincho"/>
          <w:sz w:val="21"/>
          <w:szCs w:val="21"/>
        </w:rPr>
        <w:t>1. Dëmet e shkaktuara, si rrjedhojë e asgjësimit të municioneve të Forcave të Armatosura të Republikës së Shqipërisë, kompensohen në mënyrë të drejtpërdrejtë dhe sipas marrëveshjes ndërmjet Ministrisë së Mbrojtjes dhe palëve të dëmtuara.</w:t>
      </w:r>
    </w:p>
    <w:p w:rsidR="00A21EF5" w:rsidRPr="00D8408B" w:rsidRDefault="00A21EF5" w:rsidP="00A21EF5">
      <w:pPr>
        <w:pStyle w:val="Paragrafi"/>
        <w:rPr>
          <w:rFonts w:eastAsia="MS Mincho"/>
          <w:sz w:val="21"/>
          <w:szCs w:val="21"/>
        </w:rPr>
      </w:pPr>
      <w:r w:rsidRPr="00D8408B">
        <w:rPr>
          <w:rFonts w:eastAsia="MS Mincho"/>
          <w:sz w:val="21"/>
          <w:szCs w:val="21"/>
        </w:rPr>
        <w:t>2. Nëse konflikti nuk zgjidhet me marrëveshje, atëherë palët i drejtohen gjykatës përkatëse.</w:t>
      </w:r>
    </w:p>
    <w:p w:rsidR="00A21EF5" w:rsidRPr="00496C8F" w:rsidRDefault="00A21EF5" w:rsidP="00A21EF5">
      <w:pPr>
        <w:pStyle w:val="Paragrafi"/>
        <w:rPr>
          <w:rFonts w:eastAsia="MS Mincho"/>
          <w:sz w:val="12"/>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12</w:t>
      </w:r>
    </w:p>
    <w:p w:rsidR="00A21EF5" w:rsidRPr="00D8408B" w:rsidRDefault="00A21EF5" w:rsidP="00A21EF5">
      <w:pPr>
        <w:pStyle w:val="NeniTitull"/>
        <w:keepNext w:val="0"/>
        <w:rPr>
          <w:rFonts w:eastAsia="MS Mincho"/>
          <w:sz w:val="21"/>
          <w:szCs w:val="21"/>
        </w:rPr>
      </w:pPr>
      <w:r w:rsidRPr="00D8408B">
        <w:rPr>
          <w:rFonts w:eastAsia="MS Mincho"/>
          <w:sz w:val="21"/>
          <w:szCs w:val="21"/>
        </w:rPr>
        <w:t>Dëmtimet e mjedisit</w:t>
      </w:r>
    </w:p>
    <w:p w:rsidR="00A21EF5" w:rsidRPr="00496C8F" w:rsidRDefault="00A21EF5" w:rsidP="00A21EF5">
      <w:pPr>
        <w:pStyle w:val="Paragrafi"/>
        <w:rPr>
          <w:rFonts w:eastAsia="MS Mincho"/>
          <w:sz w:val="10"/>
          <w:szCs w:val="21"/>
        </w:rPr>
      </w:pPr>
    </w:p>
    <w:p w:rsidR="00A21EF5" w:rsidRPr="00D8408B" w:rsidRDefault="00A21EF5" w:rsidP="00A21EF5">
      <w:pPr>
        <w:pStyle w:val="Paragrafi"/>
        <w:rPr>
          <w:rFonts w:eastAsia="MS Mincho"/>
          <w:sz w:val="21"/>
          <w:szCs w:val="21"/>
        </w:rPr>
      </w:pPr>
      <w:r w:rsidRPr="00D8408B">
        <w:rPr>
          <w:rFonts w:eastAsia="MS Mincho"/>
          <w:sz w:val="21"/>
          <w:szCs w:val="21"/>
        </w:rPr>
        <w:t>1. Dëmet që i shkaktohen mjedisit, si pasojë e asgjësimit të municioneve luftarake, rimbursohen nga buxheti i Ministrisë së Mbrojtjes, megjithëse forcat ushtarake, që kryejnë asgjësimin e municioneve në këto poligone, janë të detyruara të marrin masat e nevojshme, për të minimizuar në maksimum dëmet, që mund t’i shkaktohen mjedisit.</w:t>
      </w:r>
    </w:p>
    <w:p w:rsidR="00A21EF5" w:rsidRPr="00D8408B" w:rsidRDefault="00A21EF5" w:rsidP="00A21EF5">
      <w:pPr>
        <w:pStyle w:val="Paragrafi"/>
        <w:rPr>
          <w:rFonts w:eastAsia="MS Mincho"/>
          <w:sz w:val="21"/>
          <w:szCs w:val="21"/>
        </w:rPr>
      </w:pPr>
      <w:r w:rsidRPr="00D8408B">
        <w:rPr>
          <w:rFonts w:eastAsia="MS Mincho"/>
          <w:sz w:val="21"/>
          <w:szCs w:val="21"/>
        </w:rPr>
        <w:t>2. Ministria e Mbrojtjes, Ministria e Mjedisit, Pyjeve dhe Administrimit të Ujërave, Ministria e Bujqësisë, Ushqimit dhe Mbrojtjes së Konsumatorit e Ministria e Turizmit, Kulturës, Rinisë dhe Sporteve nxjerrin udhëzimin e përbashkët për mënyrën e kthimit në gjendjen fillestare të mjedisit të dëmtuar dhe të rimbursimit të fondeve të nevojshme.</w:t>
      </w:r>
    </w:p>
    <w:p w:rsidR="00A21EF5" w:rsidRPr="00496C8F" w:rsidRDefault="00A21EF5" w:rsidP="00A21EF5">
      <w:pPr>
        <w:pStyle w:val="Paragrafi"/>
        <w:rPr>
          <w:rFonts w:eastAsia="MS Mincho"/>
          <w:sz w:val="14"/>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13</w:t>
      </w:r>
    </w:p>
    <w:p w:rsidR="00A21EF5" w:rsidRPr="00D8408B" w:rsidRDefault="00A21EF5" w:rsidP="00A21EF5">
      <w:pPr>
        <w:pStyle w:val="NeniTitull"/>
        <w:keepNext w:val="0"/>
        <w:rPr>
          <w:rFonts w:eastAsia="MS Mincho"/>
          <w:sz w:val="21"/>
          <w:szCs w:val="21"/>
        </w:rPr>
      </w:pPr>
      <w:r w:rsidRPr="00D8408B">
        <w:rPr>
          <w:rFonts w:eastAsia="MS Mincho"/>
          <w:sz w:val="21"/>
          <w:szCs w:val="21"/>
        </w:rPr>
        <w:t>Bashkëpunimi me institucionet</w:t>
      </w:r>
    </w:p>
    <w:p w:rsidR="00A21EF5" w:rsidRPr="00496C8F" w:rsidRDefault="00A21EF5" w:rsidP="00A21EF5">
      <w:pPr>
        <w:pStyle w:val="Paragrafi"/>
        <w:rPr>
          <w:rFonts w:eastAsia="MS Mincho"/>
          <w:sz w:val="12"/>
          <w:szCs w:val="21"/>
        </w:rPr>
      </w:pPr>
    </w:p>
    <w:p w:rsidR="00A21EF5" w:rsidRPr="00D8408B" w:rsidRDefault="00A21EF5" w:rsidP="00A21EF5">
      <w:pPr>
        <w:pStyle w:val="Paragrafi"/>
        <w:rPr>
          <w:rFonts w:eastAsia="MS Mincho"/>
          <w:sz w:val="21"/>
          <w:szCs w:val="21"/>
        </w:rPr>
      </w:pPr>
      <w:r w:rsidRPr="00D8408B">
        <w:rPr>
          <w:rFonts w:eastAsia="MS Mincho"/>
          <w:sz w:val="21"/>
          <w:szCs w:val="21"/>
        </w:rPr>
        <w:t>1. Njësitë përkatëse të Forcave të Armatosura, 30 ditë përpara zhvillimit të asgjësimit të municioneve, njoftojnë organet e qeverisjes vendore, në territorin e të cilave shtrihet poligoni, apo të atyre, me të cilat kufizohet poligoni.</w:t>
      </w:r>
    </w:p>
    <w:p w:rsidR="00A21EF5" w:rsidRPr="00D8408B" w:rsidRDefault="00A21EF5" w:rsidP="00A21EF5">
      <w:pPr>
        <w:pStyle w:val="Paragrafi"/>
        <w:rPr>
          <w:rFonts w:eastAsia="MS Mincho"/>
          <w:sz w:val="21"/>
          <w:szCs w:val="21"/>
        </w:rPr>
      </w:pPr>
      <w:r w:rsidRPr="00D8408B">
        <w:rPr>
          <w:rFonts w:eastAsia="MS Mincho"/>
          <w:sz w:val="21"/>
          <w:szCs w:val="21"/>
        </w:rPr>
        <w:t>2. Organet e qeverisjes vendore janë të detyruara që, brenda 5 ditëve nga data e marrjes së njoftimit, të bëjnë njoftimin e popullsisë përreth.  Njoftimi bëhet 5 ditë rresht në gazetat vendore, televizionet vendore, si dhe për komunat, që nuk i kanë këto mjete, me shpallje në një vend të dukshëm.</w:t>
      </w:r>
    </w:p>
    <w:p w:rsidR="00A21EF5" w:rsidRPr="00D8408B" w:rsidRDefault="00A21EF5" w:rsidP="00A21EF5">
      <w:pPr>
        <w:pStyle w:val="Paragrafi"/>
        <w:rPr>
          <w:rFonts w:eastAsia="MS Mincho"/>
          <w:sz w:val="21"/>
          <w:szCs w:val="21"/>
        </w:rPr>
      </w:pPr>
      <w:r w:rsidRPr="00D8408B">
        <w:rPr>
          <w:rFonts w:eastAsia="MS Mincho"/>
          <w:sz w:val="21"/>
          <w:szCs w:val="21"/>
        </w:rPr>
        <w:t>3. Ministria e Mbrojtjes bashkëpunon me Agjencinë e Shërbimit Arkeologjik për kryerjen në terren të survejimit arkeologjik, para fillimit të operacioneve të asgjësimit të municioneve, si dhe gjatë kohës së kryerjes së tyre.</w:t>
      </w:r>
    </w:p>
    <w:p w:rsidR="00A21EF5" w:rsidRPr="00D8408B" w:rsidRDefault="00A21EF5" w:rsidP="00A21EF5">
      <w:pPr>
        <w:pStyle w:val="Paragrafi"/>
        <w:rPr>
          <w:rFonts w:eastAsia="MS Mincho"/>
          <w:sz w:val="21"/>
          <w:szCs w:val="21"/>
        </w:rPr>
      </w:pPr>
      <w:r w:rsidRPr="00D8408B">
        <w:rPr>
          <w:rFonts w:eastAsia="MS Mincho"/>
          <w:sz w:val="21"/>
          <w:szCs w:val="21"/>
        </w:rPr>
        <w:t>4. Ministria e Mbrojtjes bashkëpunon me Komitetin Shtetëror të Mbrojtjes së Tokës për parandalimin e dëmtimeve, që mund t’i bëhen tokës bujqësore, gjatë kryerjes së asgjësimit të municioneve në poligone.</w:t>
      </w:r>
    </w:p>
    <w:p w:rsidR="00A21EF5" w:rsidRPr="00496C8F" w:rsidRDefault="00A21EF5" w:rsidP="00A21EF5">
      <w:pPr>
        <w:pStyle w:val="Paragrafi"/>
        <w:rPr>
          <w:rFonts w:eastAsia="MS Mincho"/>
          <w:sz w:val="12"/>
          <w:szCs w:val="21"/>
        </w:rPr>
      </w:pPr>
    </w:p>
    <w:p w:rsidR="00A21EF5" w:rsidRPr="00D8408B" w:rsidRDefault="00A21EF5" w:rsidP="00A21EF5">
      <w:pPr>
        <w:pStyle w:val="KapitulliNr"/>
        <w:keepNext w:val="0"/>
        <w:rPr>
          <w:rFonts w:eastAsia="MS Mincho"/>
          <w:sz w:val="21"/>
          <w:szCs w:val="21"/>
        </w:rPr>
      </w:pPr>
      <w:r w:rsidRPr="00D8408B">
        <w:rPr>
          <w:rFonts w:eastAsia="MS Mincho"/>
          <w:sz w:val="21"/>
          <w:szCs w:val="21"/>
        </w:rPr>
        <w:t>KREU  V</w:t>
      </w:r>
    </w:p>
    <w:p w:rsidR="00A21EF5" w:rsidRPr="00D8408B" w:rsidRDefault="00A21EF5" w:rsidP="00A21EF5">
      <w:pPr>
        <w:pStyle w:val="KapitulliTitull"/>
        <w:keepNext w:val="0"/>
        <w:rPr>
          <w:rFonts w:eastAsia="MS Mincho"/>
          <w:sz w:val="21"/>
          <w:szCs w:val="21"/>
        </w:rPr>
      </w:pPr>
      <w:r w:rsidRPr="00D8408B">
        <w:rPr>
          <w:rFonts w:eastAsia="MS Mincho"/>
          <w:sz w:val="21"/>
          <w:szCs w:val="21"/>
        </w:rPr>
        <w:t>DISPOZITA TË FUNDIT</w:t>
      </w:r>
    </w:p>
    <w:p w:rsidR="00A21EF5" w:rsidRPr="00496C8F" w:rsidRDefault="00A21EF5" w:rsidP="00A21EF5">
      <w:pPr>
        <w:pStyle w:val="Paragrafi"/>
        <w:rPr>
          <w:rFonts w:eastAsia="MS Mincho"/>
          <w:sz w:val="12"/>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14</w:t>
      </w:r>
    </w:p>
    <w:p w:rsidR="00A21EF5" w:rsidRPr="00D8408B" w:rsidRDefault="00A21EF5" w:rsidP="00A21EF5">
      <w:pPr>
        <w:pStyle w:val="NeniTitull"/>
        <w:keepNext w:val="0"/>
        <w:rPr>
          <w:rFonts w:eastAsia="MS Mincho"/>
          <w:sz w:val="21"/>
          <w:szCs w:val="21"/>
        </w:rPr>
      </w:pPr>
      <w:r w:rsidRPr="00D8408B">
        <w:rPr>
          <w:rFonts w:eastAsia="MS Mincho"/>
          <w:sz w:val="21"/>
          <w:szCs w:val="21"/>
        </w:rPr>
        <w:t>Nxjerrja e akteve nënligjore</w:t>
      </w:r>
    </w:p>
    <w:p w:rsidR="00A21EF5" w:rsidRPr="00D8408B" w:rsidRDefault="00A21EF5" w:rsidP="00A21EF5">
      <w:pPr>
        <w:pStyle w:val="Paragrafi"/>
        <w:rPr>
          <w:rFonts w:eastAsia="MS Mincho"/>
          <w:sz w:val="21"/>
          <w:szCs w:val="21"/>
        </w:rPr>
      </w:pPr>
    </w:p>
    <w:p w:rsidR="00A21EF5" w:rsidRDefault="00A21EF5" w:rsidP="00A21EF5">
      <w:pPr>
        <w:pStyle w:val="Paragrafi"/>
        <w:rPr>
          <w:rFonts w:eastAsia="MS Mincho"/>
          <w:sz w:val="21"/>
          <w:szCs w:val="21"/>
        </w:rPr>
      </w:pPr>
      <w:r w:rsidRPr="00D8408B">
        <w:rPr>
          <w:rFonts w:eastAsia="MS Mincho"/>
          <w:sz w:val="21"/>
          <w:szCs w:val="21"/>
        </w:rPr>
        <w:t>1. Ngarkohen Ministria e Mbrojtjes, Ministria e Mjedisit, Pyjeve dhe Administrimit të Ujërave, Ministria e Bujqësisë, Ushqimit dhe Mbrojtjes së Konsumatorit, Ministria e Brendshme, Ministria e Punëve Publike, Transportit dhe Telekomunikacionit dhe Ministria e Turizmit, Kulturës, Rinisë dhe Sporteve që, brenda gjashtë muajve nga data e hyrjes në fuqi të ligjit, të nxjerrin udhëzimin e përbashkët, në zbatim të nenit 9 të këtij ligji.</w:t>
      </w:r>
    </w:p>
    <w:p w:rsidR="00A21EF5" w:rsidRPr="00D8408B" w:rsidRDefault="00A21EF5" w:rsidP="00A21EF5">
      <w:pPr>
        <w:pStyle w:val="Paragrafi"/>
        <w:rPr>
          <w:rFonts w:eastAsia="MS Mincho"/>
          <w:sz w:val="21"/>
          <w:szCs w:val="21"/>
        </w:rPr>
      </w:pPr>
      <w:r w:rsidRPr="00D8408B">
        <w:rPr>
          <w:rFonts w:eastAsia="MS Mincho"/>
          <w:sz w:val="21"/>
          <w:szCs w:val="21"/>
        </w:rPr>
        <w:t>2. Ngarkohen Ministria e Mbrojtjes, Ministria e Mjedisit, Pyjeve dhe Administrimit të Ujërave, Ministria e Bujqësisë, Ushqimit dhe Mbrojtjes së Konsumatorit dhe Ministria e Turizmit, Kulturës, Rinisë dhe Sporteve që, brenda gjashtë muajve nga data e hyrjes në fuqi të ligjit, të nxjerrin udhëzimin e përbashkët, në zbatim të nenit 12 të këtij ligji.</w:t>
      </w:r>
    </w:p>
    <w:p w:rsidR="00A21EF5" w:rsidRPr="00496C8F" w:rsidRDefault="00A21EF5" w:rsidP="00A21EF5">
      <w:pPr>
        <w:pStyle w:val="Paragrafi"/>
        <w:rPr>
          <w:rFonts w:eastAsia="MS Mincho"/>
          <w:sz w:val="8"/>
          <w:szCs w:val="21"/>
        </w:rPr>
      </w:pPr>
    </w:p>
    <w:p w:rsidR="00A21EF5" w:rsidRDefault="00A21EF5" w:rsidP="00A21EF5">
      <w:pPr>
        <w:pStyle w:val="NeniNr"/>
        <w:keepNext w:val="0"/>
        <w:rPr>
          <w:rFonts w:eastAsia="MS Mincho"/>
          <w:sz w:val="21"/>
          <w:szCs w:val="21"/>
        </w:rPr>
      </w:pPr>
    </w:p>
    <w:p w:rsidR="00A21EF5" w:rsidRPr="00D8408B" w:rsidRDefault="00A21EF5" w:rsidP="00A21EF5">
      <w:pPr>
        <w:pStyle w:val="NeniNr"/>
        <w:keepNext w:val="0"/>
        <w:rPr>
          <w:rFonts w:eastAsia="MS Mincho"/>
          <w:sz w:val="21"/>
          <w:szCs w:val="21"/>
        </w:rPr>
      </w:pPr>
      <w:r w:rsidRPr="00D8408B">
        <w:rPr>
          <w:rFonts w:eastAsia="MS Mincho"/>
          <w:sz w:val="21"/>
          <w:szCs w:val="21"/>
        </w:rPr>
        <w:t>Neni 15</w:t>
      </w:r>
    </w:p>
    <w:p w:rsidR="00A21EF5" w:rsidRPr="00D8408B" w:rsidRDefault="00A21EF5" w:rsidP="00A21EF5">
      <w:pPr>
        <w:pStyle w:val="NeniTitull"/>
        <w:keepNext w:val="0"/>
        <w:rPr>
          <w:rFonts w:eastAsia="MS Mincho"/>
          <w:sz w:val="21"/>
          <w:szCs w:val="21"/>
        </w:rPr>
      </w:pPr>
      <w:r w:rsidRPr="00D8408B">
        <w:rPr>
          <w:rFonts w:eastAsia="MS Mincho"/>
          <w:sz w:val="21"/>
          <w:szCs w:val="21"/>
        </w:rPr>
        <w:t>Hyrja në fuqi</w:t>
      </w:r>
    </w:p>
    <w:p w:rsidR="00A21EF5" w:rsidRPr="00496C8F" w:rsidRDefault="00A21EF5" w:rsidP="00A21EF5">
      <w:pPr>
        <w:pStyle w:val="Paragrafi"/>
        <w:rPr>
          <w:rFonts w:eastAsia="MS Mincho"/>
          <w:sz w:val="12"/>
          <w:szCs w:val="21"/>
        </w:rPr>
      </w:pPr>
    </w:p>
    <w:p w:rsidR="00A21EF5" w:rsidRPr="00D8408B" w:rsidRDefault="00A21EF5" w:rsidP="00A21EF5">
      <w:pPr>
        <w:pStyle w:val="Paragrafi"/>
        <w:rPr>
          <w:rFonts w:eastAsia="MS Mincho"/>
          <w:sz w:val="21"/>
          <w:szCs w:val="21"/>
        </w:rPr>
      </w:pPr>
      <w:r w:rsidRPr="00D8408B">
        <w:rPr>
          <w:rFonts w:eastAsia="MS Mincho"/>
          <w:sz w:val="21"/>
          <w:szCs w:val="21"/>
        </w:rPr>
        <w:t>Ky ligj hyn në fuqi 15 ditë pas botimit në Fletoren Zyrtare.</w:t>
      </w:r>
    </w:p>
    <w:p w:rsidR="00A21EF5" w:rsidRPr="00496C8F" w:rsidRDefault="00A21EF5" w:rsidP="00A21EF5">
      <w:pPr>
        <w:pStyle w:val="Paragrafi"/>
        <w:rPr>
          <w:rFonts w:eastAsia="MS Mincho"/>
          <w:sz w:val="12"/>
          <w:szCs w:val="21"/>
        </w:rPr>
      </w:pPr>
    </w:p>
    <w:p w:rsidR="00A21EF5" w:rsidRPr="00D8408B" w:rsidRDefault="00A21EF5" w:rsidP="00A21EF5">
      <w:pPr>
        <w:pStyle w:val="Shpallja"/>
        <w:rPr>
          <w:sz w:val="21"/>
          <w:szCs w:val="21"/>
        </w:rPr>
      </w:pPr>
      <w:r w:rsidRPr="00D8408B">
        <w:rPr>
          <w:sz w:val="21"/>
          <w:szCs w:val="21"/>
        </w:rPr>
        <w:t xml:space="preserve">Shpallur me dekretin nr.5950, datë 24.11.2008 të Presidentit të Republikës së Shqipërisë, </w:t>
      </w:r>
    </w:p>
    <w:p w:rsidR="00A21EF5" w:rsidRDefault="00A21EF5" w:rsidP="00A21EF5">
      <w:pPr>
        <w:pStyle w:val="Shpallja"/>
        <w:rPr>
          <w:sz w:val="21"/>
          <w:szCs w:val="21"/>
        </w:rPr>
      </w:pPr>
      <w:r w:rsidRPr="00D8408B">
        <w:rPr>
          <w:sz w:val="21"/>
          <w:szCs w:val="21"/>
        </w:rPr>
        <w:t>Bamir Topi</w:t>
      </w:r>
    </w:p>
    <w:p w:rsidR="00A21EF5" w:rsidRPr="00D8408B" w:rsidRDefault="00A21EF5" w:rsidP="00A21EF5">
      <w:pPr>
        <w:pStyle w:val="Shpallja"/>
        <w:rPr>
          <w:sz w:val="21"/>
          <w:szCs w:val="21"/>
        </w:rPr>
      </w:pPr>
    </w:p>
    <w:p w:rsidR="00A21EF5" w:rsidRPr="00D8408B" w:rsidRDefault="00A21EF5" w:rsidP="00A21EF5">
      <w:pPr>
        <w:pStyle w:val="Figure"/>
        <w:rPr>
          <w:rFonts w:eastAsia="MS Mincho"/>
        </w:rPr>
      </w:pPr>
    </w:p>
    <w:p w:rsidR="00A21EF5" w:rsidRPr="00D8408B" w:rsidRDefault="00581F64" w:rsidP="00A21EF5">
      <w:pPr>
        <w:pStyle w:val="Figure"/>
      </w:pPr>
      <w:r w:rsidRPr="00D8408B">
        <w:rPr>
          <w:noProof/>
          <w:lang w:val="en-GB" w:eastAsia="en-GB"/>
        </w:rPr>
        <w:drawing>
          <wp:inline distT="0" distB="0" distL="0" distR="0">
            <wp:extent cx="5937250" cy="7155180"/>
            <wp:effectExtent l="0" t="0" r="635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250" cy="7155180"/>
                    </a:xfrm>
                    <a:prstGeom prst="rect">
                      <a:avLst/>
                    </a:prstGeom>
                    <a:noFill/>
                    <a:ln>
                      <a:noFill/>
                    </a:ln>
                  </pic:spPr>
                </pic:pic>
              </a:graphicData>
            </a:graphic>
          </wp:inline>
        </w:drawing>
      </w:r>
    </w:p>
    <w:p w:rsidR="00A21EF5" w:rsidRPr="00D8408B" w:rsidRDefault="00A21EF5" w:rsidP="00A21EF5">
      <w:pPr>
        <w:pStyle w:val="Figure"/>
      </w:pPr>
    </w:p>
    <w:p w:rsidR="00A21EF5" w:rsidRPr="00D8408B" w:rsidRDefault="00A21EF5" w:rsidP="00A21EF5">
      <w:pPr>
        <w:pStyle w:val="Figure"/>
      </w:pPr>
    </w:p>
    <w:p w:rsidR="00A21EF5" w:rsidRPr="00D8408B" w:rsidRDefault="00A21EF5" w:rsidP="00A21EF5">
      <w:pPr>
        <w:pStyle w:val="Figure"/>
      </w:pPr>
    </w:p>
    <w:p w:rsidR="00A21EF5" w:rsidRPr="00D8408B" w:rsidRDefault="00A21EF5" w:rsidP="00A21EF5">
      <w:pPr>
        <w:pStyle w:val="Figure"/>
      </w:pPr>
    </w:p>
    <w:p w:rsidR="00A21EF5" w:rsidRPr="00D8408B" w:rsidRDefault="00581F64" w:rsidP="00A21EF5">
      <w:pPr>
        <w:pStyle w:val="Figure"/>
      </w:pPr>
      <w:r w:rsidRPr="00D8408B">
        <w:rPr>
          <w:noProof/>
          <w:lang w:val="en-GB" w:eastAsia="en-GB"/>
        </w:rPr>
        <w:drawing>
          <wp:inline distT="0" distB="0" distL="0" distR="0">
            <wp:extent cx="5818505" cy="8008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8505" cy="8008620"/>
                    </a:xfrm>
                    <a:prstGeom prst="rect">
                      <a:avLst/>
                    </a:prstGeom>
                    <a:noFill/>
                    <a:ln>
                      <a:noFill/>
                    </a:ln>
                  </pic:spPr>
                </pic:pic>
              </a:graphicData>
            </a:graphic>
          </wp:inline>
        </w:drawing>
      </w:r>
    </w:p>
    <w:p w:rsidR="00A21EF5" w:rsidRPr="00D8408B" w:rsidRDefault="00A21EF5" w:rsidP="00A21EF5">
      <w:pPr>
        <w:pStyle w:val="Figure"/>
      </w:pPr>
    </w:p>
    <w:p w:rsidR="00A21EF5" w:rsidRPr="00D8408B" w:rsidRDefault="00581F64" w:rsidP="00A21EF5">
      <w:pPr>
        <w:pStyle w:val="Figure"/>
      </w:pPr>
      <w:r w:rsidRPr="00D8408B">
        <w:rPr>
          <w:noProof/>
          <w:lang w:val="en-GB" w:eastAsia="en-GB"/>
        </w:rPr>
        <w:drawing>
          <wp:inline distT="0" distB="0" distL="0" distR="0">
            <wp:extent cx="5937250" cy="82296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250" cy="8229600"/>
                    </a:xfrm>
                    <a:prstGeom prst="rect">
                      <a:avLst/>
                    </a:prstGeom>
                    <a:noFill/>
                    <a:ln>
                      <a:noFill/>
                    </a:ln>
                  </pic:spPr>
                </pic:pic>
              </a:graphicData>
            </a:graphic>
          </wp:inline>
        </w:drawing>
      </w:r>
    </w:p>
    <w:p w:rsidR="00A21EF5" w:rsidRPr="00D8408B" w:rsidRDefault="00581F64" w:rsidP="00A21EF5">
      <w:pPr>
        <w:pStyle w:val="Figure"/>
      </w:pPr>
      <w:r w:rsidRPr="00D8408B">
        <w:rPr>
          <w:noProof/>
          <w:lang w:val="en-GB" w:eastAsia="en-GB"/>
        </w:rPr>
        <w:drawing>
          <wp:inline distT="0" distB="0" distL="0" distR="0">
            <wp:extent cx="5937250" cy="806196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250" cy="8061960"/>
                    </a:xfrm>
                    <a:prstGeom prst="rect">
                      <a:avLst/>
                    </a:prstGeom>
                    <a:noFill/>
                    <a:ln>
                      <a:noFill/>
                    </a:ln>
                  </pic:spPr>
                </pic:pic>
              </a:graphicData>
            </a:graphic>
          </wp:inline>
        </w:drawing>
      </w:r>
    </w:p>
    <w:p w:rsidR="00A21EF5" w:rsidRPr="00D8408B" w:rsidRDefault="00A21EF5" w:rsidP="00A21EF5">
      <w:pPr>
        <w:pStyle w:val="Figure"/>
      </w:pPr>
    </w:p>
    <w:p w:rsidR="00A21EF5" w:rsidRPr="00D8408B" w:rsidRDefault="00581F64" w:rsidP="00A21EF5">
      <w:pPr>
        <w:pStyle w:val="Figure"/>
      </w:pPr>
      <w:r w:rsidRPr="00D8408B">
        <w:rPr>
          <w:noProof/>
          <w:lang w:val="en-GB" w:eastAsia="en-GB"/>
        </w:rPr>
        <w:drawing>
          <wp:inline distT="0" distB="0" distL="0" distR="0">
            <wp:extent cx="6174740" cy="8122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l="6104" t="5356" b="12706"/>
                    <a:stretch>
                      <a:fillRect/>
                    </a:stretch>
                  </pic:blipFill>
                  <pic:spPr bwMode="auto">
                    <a:xfrm>
                      <a:off x="0" y="0"/>
                      <a:ext cx="6174740" cy="8122920"/>
                    </a:xfrm>
                    <a:prstGeom prst="rect">
                      <a:avLst/>
                    </a:prstGeom>
                    <a:noFill/>
                    <a:ln>
                      <a:noFill/>
                    </a:ln>
                  </pic:spPr>
                </pic:pic>
              </a:graphicData>
            </a:graphic>
          </wp:inline>
        </w:drawing>
      </w:r>
    </w:p>
    <w:p w:rsidR="00A21EF5" w:rsidRPr="00D8408B" w:rsidRDefault="00581F64" w:rsidP="00A21EF5">
      <w:pPr>
        <w:pStyle w:val="Figure"/>
      </w:pPr>
      <w:r w:rsidRPr="00D8408B">
        <w:rPr>
          <w:noProof/>
          <w:lang w:val="en-GB" w:eastAsia="en-GB"/>
        </w:rPr>
        <w:drawing>
          <wp:inline distT="0" distB="0" distL="0" distR="0">
            <wp:extent cx="5753100" cy="8458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b="2428"/>
                    <a:stretch>
                      <a:fillRect/>
                    </a:stretch>
                  </pic:blipFill>
                  <pic:spPr bwMode="auto">
                    <a:xfrm>
                      <a:off x="0" y="0"/>
                      <a:ext cx="5753100" cy="8458200"/>
                    </a:xfrm>
                    <a:prstGeom prst="rect">
                      <a:avLst/>
                    </a:prstGeom>
                    <a:noFill/>
                    <a:ln>
                      <a:noFill/>
                    </a:ln>
                  </pic:spPr>
                </pic:pic>
              </a:graphicData>
            </a:graphic>
          </wp:inline>
        </w:drawing>
      </w:r>
    </w:p>
    <w:p w:rsidR="00A21EF5" w:rsidRPr="00D8408B" w:rsidRDefault="00581F64" w:rsidP="00A21EF5">
      <w:pPr>
        <w:pStyle w:val="Figure"/>
      </w:pPr>
      <w:r w:rsidRPr="00D8408B">
        <w:rPr>
          <w:noProof/>
          <w:lang w:val="en-GB" w:eastAsia="en-GB"/>
        </w:rPr>
        <w:drawing>
          <wp:inline distT="0" distB="0" distL="0" distR="0">
            <wp:extent cx="5818505" cy="8176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l="4205" t="3136" b="6114"/>
                    <a:stretch>
                      <a:fillRect/>
                    </a:stretch>
                  </pic:blipFill>
                  <pic:spPr bwMode="auto">
                    <a:xfrm>
                      <a:off x="0" y="0"/>
                      <a:ext cx="5818505" cy="8176260"/>
                    </a:xfrm>
                    <a:prstGeom prst="rect">
                      <a:avLst/>
                    </a:prstGeom>
                    <a:noFill/>
                    <a:ln>
                      <a:noFill/>
                    </a:ln>
                  </pic:spPr>
                </pic:pic>
              </a:graphicData>
            </a:graphic>
          </wp:inline>
        </w:drawing>
      </w:r>
    </w:p>
    <w:p w:rsidR="00A21EF5" w:rsidRPr="00D8408B" w:rsidRDefault="00581F64" w:rsidP="00A21EF5">
      <w:pPr>
        <w:pStyle w:val="Figure"/>
      </w:pPr>
      <w:r w:rsidRPr="00D8408B">
        <w:rPr>
          <w:noProof/>
          <w:lang w:val="en-GB" w:eastAsia="en-GB"/>
        </w:rPr>
        <w:drawing>
          <wp:inline distT="0" distB="0" distL="0" distR="0">
            <wp:extent cx="5818505" cy="8115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l="5312" t="3369" r="2591" b="8165"/>
                    <a:stretch>
                      <a:fillRect/>
                    </a:stretch>
                  </pic:blipFill>
                  <pic:spPr bwMode="auto">
                    <a:xfrm>
                      <a:off x="0" y="0"/>
                      <a:ext cx="5818505" cy="8115300"/>
                    </a:xfrm>
                    <a:prstGeom prst="rect">
                      <a:avLst/>
                    </a:prstGeom>
                    <a:noFill/>
                    <a:ln>
                      <a:noFill/>
                    </a:ln>
                  </pic:spPr>
                </pic:pic>
              </a:graphicData>
            </a:graphic>
          </wp:inline>
        </w:drawing>
      </w:r>
    </w:p>
    <w:p w:rsidR="00A21EF5" w:rsidRPr="00D8408B" w:rsidRDefault="00581F64" w:rsidP="00A21EF5">
      <w:pPr>
        <w:pStyle w:val="Figure"/>
      </w:pPr>
      <w:r w:rsidRPr="00D8408B">
        <w:rPr>
          <w:noProof/>
          <w:lang w:val="en-GB" w:eastAsia="en-GB"/>
        </w:rPr>
        <w:drawing>
          <wp:inline distT="0" distB="0" distL="0" distR="0">
            <wp:extent cx="5818505" cy="8229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r="6000"/>
                    <a:stretch>
                      <a:fillRect/>
                    </a:stretch>
                  </pic:blipFill>
                  <pic:spPr bwMode="auto">
                    <a:xfrm>
                      <a:off x="0" y="0"/>
                      <a:ext cx="5818505" cy="8229600"/>
                    </a:xfrm>
                    <a:prstGeom prst="rect">
                      <a:avLst/>
                    </a:prstGeom>
                    <a:noFill/>
                    <a:ln>
                      <a:noFill/>
                    </a:ln>
                  </pic:spPr>
                </pic:pic>
              </a:graphicData>
            </a:graphic>
          </wp:inline>
        </w:drawing>
      </w:r>
    </w:p>
    <w:sectPr w:rsidR="00A21EF5" w:rsidRPr="00D8408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21EF5"/>
    <w:rsid w:val="00093BA7"/>
    <w:rsid w:val="00155FB1"/>
    <w:rsid w:val="00427864"/>
    <w:rsid w:val="00581F64"/>
    <w:rsid w:val="00A21EF5"/>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9FB2CAB-D243-404F-974E-CF9D376A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EF5"/>
    <w:rPr>
      <w:rFonts w:eastAsia="Batang"/>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eastAsia="MS Mincho"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VENDOSIChar">
    <w:name w:val="VENDOSI Char"/>
    <w:basedOn w:val="DefaultParagraphFont"/>
    <w:link w:val="VENDOSI"/>
    <w:rsid w:val="00A21EF5"/>
    <w:rPr>
      <w:rFonts w:ascii="CG Times" w:eastAsia="MS Mincho" w:hAnsi="CG Times"/>
      <w:caps/>
      <w:sz w:val="22"/>
      <w:szCs w:val="22"/>
      <w:lang w:val="en-GB" w:eastAsia="en-US" w:bidi="ar-SA"/>
    </w:rPr>
  </w:style>
  <w:style w:type="character" w:customStyle="1" w:styleId="TitulliChar">
    <w:name w:val="Titulli Char"/>
    <w:basedOn w:val="DefaultParagraphFont"/>
    <w:link w:val="Titulli"/>
    <w:locked/>
    <w:rsid w:val="00A21EF5"/>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8022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2019-03-16T20:07:00Z</dcterms:created>
  <dcterms:modified xsi:type="dcterms:W3CDTF">2019-03-16T20:07:00Z</dcterms:modified>
</cp:coreProperties>
</file>