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24" w:rsidRPr="00FF3B8C" w:rsidRDefault="00FB6B24" w:rsidP="00FB6B24">
      <w:pPr>
        <w:pStyle w:val="Akti"/>
      </w:pPr>
      <w:bookmarkStart w:id="0" w:name="_GoBack"/>
      <w:bookmarkEnd w:id="0"/>
      <w:r>
        <w:t>LIG</w:t>
      </w:r>
      <w:r w:rsidRPr="00FF3B8C">
        <w:t>J</w:t>
      </w:r>
    </w:p>
    <w:p w:rsidR="00FB6B24" w:rsidRPr="00FF3B8C" w:rsidRDefault="00FB6B24" w:rsidP="00FB6B24">
      <w:pPr>
        <w:pStyle w:val="NumriData"/>
      </w:pPr>
      <w:r w:rsidRPr="00FF3B8C">
        <w:t>Nr. 10 022, datë 24.11.2008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Titulli"/>
      </w:pPr>
      <w:r w:rsidRPr="00FF3B8C">
        <w:t>PËR NJË NDRYSHIM DHE NJË SHTESË NË LIGJIN NR.8537, DATË 18.10.1999 “PËR BARRËT SIGURUESE”, TË NDRYSHUAR</w:t>
      </w:r>
    </w:p>
    <w:p w:rsidR="00FB6B24" w:rsidRPr="00FF3B8C" w:rsidRDefault="00FB6B24" w:rsidP="00FB6B24">
      <w:pPr>
        <w:pStyle w:val="Paragrafi"/>
        <w:ind w:firstLine="0"/>
      </w:pPr>
    </w:p>
    <w:p w:rsidR="00FB6B24" w:rsidRPr="00FF3B8C" w:rsidRDefault="00FB6B24" w:rsidP="00FB6B24">
      <w:pPr>
        <w:pStyle w:val="BazLigjPropozues"/>
      </w:pPr>
      <w:r w:rsidRPr="00FF3B8C">
        <w:t>Në mbështetje të neneve 78 e 83 pika 1 të Kushtetutës, me propozimin e Këshillit të Ministrave,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Institucioni"/>
      </w:pPr>
      <w:r>
        <w:t>KUV</w:t>
      </w:r>
      <w:r w:rsidRPr="00FF3B8C">
        <w:t>ENDI</w:t>
      </w:r>
    </w:p>
    <w:p w:rsidR="00FB6B24" w:rsidRPr="00FF3B8C" w:rsidRDefault="00FB6B24" w:rsidP="00FB6B24">
      <w:pPr>
        <w:pStyle w:val="Institucioni"/>
      </w:pPr>
      <w:r w:rsidRPr="00FF3B8C">
        <w:t>I REPUBLIKËS SË SHQIPËRISË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VENDOSI"/>
      </w:pPr>
      <w:r>
        <w:t>VENDO</w:t>
      </w:r>
      <w:r w:rsidRPr="00FF3B8C">
        <w:t>SI: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Paragrafi"/>
      </w:pPr>
      <w:r w:rsidRPr="00FF3B8C">
        <w:t>Në ligjin nr.8537, datë 18.10.1999 “Për barrët siguruese”, të ndryshuar, bëhen ndryshimi dhe shtesa e mëposhtme: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NeniNr"/>
      </w:pPr>
      <w:r w:rsidRPr="00FF3B8C">
        <w:t>Neni 1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Paragrafi"/>
      </w:pPr>
      <w:r w:rsidRPr="00FF3B8C">
        <w:t>Neni 25 ndryshohet si më poshtë: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NeniNr"/>
      </w:pPr>
      <w:r w:rsidRPr="00FF3B8C">
        <w:t>“Neni 25</w:t>
      </w:r>
    </w:p>
    <w:p w:rsidR="00FB6B24" w:rsidRPr="00FF3B8C" w:rsidRDefault="00FB6B24" w:rsidP="00FB6B24">
      <w:pPr>
        <w:pStyle w:val="NeniTitull"/>
      </w:pPr>
      <w:r w:rsidRPr="00FF3B8C">
        <w:t>Regjistri i barrëve siguruese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Paragrafi"/>
      </w:pPr>
      <w:r w:rsidRPr="00FF3B8C">
        <w:t>Regjistri i barrëve siguruese krijohet dhe ofron shërbimin e regjistrimit të barrëve siguruese, të pretendimeve dhe të të drejtave, që lindin nga ky ligj ose nga çdo ligj tjetër, i cili kërkon ose lejon regjistrimin në këtë regjistër.</w:t>
      </w:r>
    </w:p>
    <w:p w:rsidR="00FB6B24" w:rsidRPr="00FF3B8C" w:rsidRDefault="00FB6B24" w:rsidP="00FB6B24">
      <w:pPr>
        <w:pStyle w:val="Paragrafi"/>
      </w:pPr>
      <w:r w:rsidRPr="00FF3B8C">
        <w:t>Ministria e Ekonomisë, Tregtisë dhe Energjetikës është përgjegjëse për veprimtarinë e regjistrit të barrëve siguruese.</w:t>
      </w:r>
    </w:p>
    <w:p w:rsidR="00FB6B24" w:rsidRPr="00FF3B8C" w:rsidRDefault="00FB6B24" w:rsidP="00FB6B24">
      <w:pPr>
        <w:pStyle w:val="Paragrafi"/>
      </w:pPr>
      <w:r w:rsidRPr="00FF3B8C">
        <w:t>Në rastet kur ky shërbim i delegohet një personi juridik privat, në formën e koncesionit, sipas ligjit nr.9663, datë 18.12.2006 “Për koncesionet”, ofruesi i shërbimit i propozon Ministrit të Ekonomisë, Tregtisë dhe Energjetikës emërimin e kryeregjistruesit të regjistrit të barrëve siguruese dhe të një ose disa zëvendësve të tij.</w:t>
      </w:r>
    </w:p>
    <w:p w:rsidR="00FB6B24" w:rsidRPr="00FF3B8C" w:rsidRDefault="00FB6B24" w:rsidP="00FB6B24">
      <w:pPr>
        <w:pStyle w:val="Paragrafi"/>
      </w:pPr>
      <w:r w:rsidRPr="00FF3B8C">
        <w:t>Në të gjitha rastet, regjistri i barrëve siguruese është pronë publike.”.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NeniNr"/>
      </w:pPr>
      <w:r w:rsidRPr="00FF3B8C">
        <w:t>Neni 2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Paragrafi"/>
      </w:pPr>
      <w:r w:rsidRPr="00FF3B8C">
        <w:t>Në fund të nenit 27 “Përgjegjësia e Këshillit të Ministrave” shtohet një paragraf me këtë përmbajtje:</w:t>
      </w:r>
    </w:p>
    <w:p w:rsidR="00FB6B24" w:rsidRPr="00FF3B8C" w:rsidRDefault="00FB6B24" w:rsidP="00FB6B24">
      <w:pPr>
        <w:pStyle w:val="Paragrafi"/>
      </w:pPr>
      <w:r w:rsidRPr="00FF3B8C">
        <w:t>“Në rastet kur ky shërbim ofrohet nga një subjekt juridik privat, ofruesi i shërbimit është përgjegjës për humbjen e shkaktuar, si rezultat i gabimeve ose mosfunksionimit të sistemit të regjistrimit. Kufijtë e përgjegjësisë dhe mënyra se si do të garantohet mbulimi i humbjeve përcaktohen në kontratën e lidhur ndërmjet palëve.</w:t>
      </w:r>
    </w:p>
    <w:p w:rsidR="00FB6B24" w:rsidRPr="00FF3B8C" w:rsidRDefault="00FB6B24" w:rsidP="00FB6B24">
      <w:pPr>
        <w:pStyle w:val="Paragrafi"/>
      </w:pPr>
      <w:r w:rsidRPr="00FF3B8C">
        <w:t>Shteti nuk ka detyrim të mbulojë efektet (humbjet), në rast të deklarimit të barrëve false.”.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NeniNr"/>
      </w:pPr>
      <w:r w:rsidRPr="00FF3B8C">
        <w:t>Neni 3</w:t>
      </w:r>
    </w:p>
    <w:p w:rsidR="00FB6B24" w:rsidRPr="00FF3B8C" w:rsidRDefault="00FB6B24" w:rsidP="00FB6B24">
      <w:pPr>
        <w:pStyle w:val="Paragrafi"/>
      </w:pPr>
    </w:p>
    <w:p w:rsidR="00FB6B24" w:rsidRPr="00FF3B8C" w:rsidRDefault="00FB6B24" w:rsidP="00FB6B24">
      <w:pPr>
        <w:pStyle w:val="Paragrafi"/>
      </w:pPr>
      <w:r w:rsidRPr="00FF3B8C">
        <w:t>Ky ligj hyn në fuqi 15 ditë pas botimit në Fletoren Zyrtare.</w:t>
      </w:r>
    </w:p>
    <w:p w:rsidR="00FB6B24" w:rsidRPr="00FF3B8C" w:rsidRDefault="00FB6B24" w:rsidP="00FB6B24">
      <w:pPr>
        <w:pStyle w:val="Paragrafi"/>
      </w:pPr>
    </w:p>
    <w:p w:rsidR="00FB6B24" w:rsidRPr="00B81AC6" w:rsidRDefault="00FB6B24" w:rsidP="00FB6B24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</w:t>
      </w:r>
      <w:r>
        <w:rPr>
          <w:sz w:val="23"/>
          <w:szCs w:val="23"/>
        </w:rPr>
        <w:t>5973, datë 12.12</w:t>
      </w:r>
      <w:r w:rsidRPr="00B81AC6">
        <w:rPr>
          <w:sz w:val="23"/>
          <w:szCs w:val="23"/>
        </w:rPr>
        <w:t>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 xml:space="preserve">të Presidentit të Republikës së </w:t>
      </w:r>
      <w:r w:rsidRPr="00B81AC6">
        <w:rPr>
          <w:sz w:val="23"/>
          <w:szCs w:val="23"/>
        </w:rPr>
        <w:lastRenderedPageBreak/>
        <w:t>Shqipërisë, Bamir Topi</w:t>
      </w:r>
    </w:p>
    <w:p w:rsidR="00FB6B24" w:rsidRDefault="00FB6B24" w:rsidP="00FB6B24">
      <w:pPr>
        <w:pStyle w:val="Paragrafi"/>
      </w:pPr>
    </w:p>
    <w:sectPr w:rsidR="00FB6B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B24"/>
    <w:rsid w:val="00093BA7"/>
    <w:rsid w:val="00126450"/>
    <w:rsid w:val="00155FB1"/>
    <w:rsid w:val="00427864"/>
    <w:rsid w:val="006527E1"/>
    <w:rsid w:val="00CD05AB"/>
    <w:rsid w:val="00D60C8B"/>
    <w:rsid w:val="00FB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CEFC1F-F077-4F63-90F9-06B0D34A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ktiChar">
    <w:name w:val="Akti Char"/>
    <w:basedOn w:val="DefaultParagraphFont"/>
    <w:link w:val="Akti"/>
    <w:rsid w:val="00FB6B2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B6B24"/>
    <w:rPr>
      <w:rFonts w:ascii="CG Times" w:eastAsia="MS Mincho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B6B2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B6B2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cp:lastPrinted>2011-09-29T13:05:00Z</cp:lastPrinted>
  <dcterms:created xsi:type="dcterms:W3CDTF">2019-03-16T20:14:00Z</dcterms:created>
  <dcterms:modified xsi:type="dcterms:W3CDTF">2019-03-16T20:14:00Z</dcterms:modified>
</cp:coreProperties>
</file>