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A2" w:rsidRPr="003F287F" w:rsidRDefault="004404A2" w:rsidP="004404A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F287F">
        <w:rPr>
          <w:sz w:val="21"/>
          <w:szCs w:val="21"/>
        </w:rPr>
        <w:t>LIGJ</w:t>
      </w:r>
    </w:p>
    <w:p w:rsidR="004404A2" w:rsidRPr="00D4578F" w:rsidRDefault="004404A2" w:rsidP="00D4578F">
      <w:pPr>
        <w:pStyle w:val="NumriData"/>
      </w:pPr>
      <w:r w:rsidRPr="00D4578F">
        <w:t>Nr.10 096, datë 19.3.2009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Titulli0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PËR RATIFIKIMIN E MEMORANDUMIT TË MIRËKUPTIMIT NDËRMJET REPUBLIKËS SË SHQIPËRISË DHE KOMUNITETIT EUROPIAN PËR PJESËMARRJEN E REPUBLIKËS SË SHQIPËRISË NË PROGRAMIN “EUROPA PËR QYTETARËT”</w:t>
      </w:r>
    </w:p>
    <w:p w:rsidR="004404A2" w:rsidRPr="003F287F" w:rsidRDefault="004404A2" w:rsidP="004404A2">
      <w:pPr>
        <w:pStyle w:val="Paragrafi0"/>
        <w:ind w:firstLine="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Në mbështetje të neneve 78, 83 pika 1 dhe   121 të Kushtetutës, me propozimin e Këshillit të Ministrave,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Institucioni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KUVENDI</w:t>
      </w:r>
    </w:p>
    <w:p w:rsidR="004404A2" w:rsidRPr="003F287F" w:rsidRDefault="004404A2" w:rsidP="004404A2">
      <w:pPr>
        <w:pStyle w:val="Institucioni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I REPUBLIKËS SË SHQIPËRISË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VENDOSI0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VENDOSI: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NeniNr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Neni 1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>Ratifikohet memorandumi i mirëkuptimit ndërmjet Republikës së Shqipërisë dhe Komunitetit Europian për pjesëmarrjen e Republikës së Shqipërisë në programin “Europa për qytetarët”.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NeniNr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Neni 2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>Ky ligj hyn në fuqi 15 ditë pas botimit në Fletoren Zyrtare.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ind w:firstLine="0"/>
        <w:rPr>
          <w:b/>
          <w:sz w:val="23"/>
          <w:szCs w:val="23"/>
        </w:rPr>
      </w:pPr>
      <w:r w:rsidRPr="003F287F">
        <w:rPr>
          <w:b/>
          <w:sz w:val="23"/>
          <w:szCs w:val="23"/>
        </w:rPr>
        <w:t xml:space="preserve">Shpallur me dekretin nr.6123, datë 8.4.2009 të Presidentit të Republikës së Shqipërisë, </w:t>
      </w:r>
    </w:p>
    <w:p w:rsidR="004404A2" w:rsidRPr="003F287F" w:rsidRDefault="004404A2" w:rsidP="004404A2">
      <w:pPr>
        <w:pStyle w:val="Paragrafi0"/>
        <w:ind w:firstLine="0"/>
        <w:rPr>
          <w:b/>
          <w:sz w:val="23"/>
          <w:szCs w:val="23"/>
        </w:rPr>
      </w:pPr>
      <w:r w:rsidRPr="003F287F">
        <w:rPr>
          <w:b/>
          <w:sz w:val="23"/>
          <w:szCs w:val="23"/>
        </w:rPr>
        <w:t>Bamir Topi</w:t>
      </w:r>
    </w:p>
    <w:p w:rsidR="004404A2" w:rsidRPr="003F287F" w:rsidRDefault="004404A2" w:rsidP="004404A2">
      <w:pPr>
        <w:pStyle w:val="Paragrafi0"/>
        <w:ind w:firstLine="0"/>
        <w:rPr>
          <w:sz w:val="21"/>
          <w:szCs w:val="21"/>
        </w:rPr>
      </w:pPr>
    </w:p>
    <w:p w:rsidR="004404A2" w:rsidRPr="003F287F" w:rsidRDefault="004404A2" w:rsidP="004404A2">
      <w:pPr>
        <w:pStyle w:val="Titulli0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Memorandum Mirëkuptimi </w:t>
      </w: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ndërmjet Komunitetit Europian dhe Republikës së Shqipërisë </w:t>
      </w: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mbi pjesëmarrjen e Republikës së Shqipërisë në programin “Europa për Qytetarët”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Komisioni i Komuniteteve Europiane, në vijim referuar si “Komisioni”, në emër të Komunitetit Europian, nga njëra anë, dhe Republika e Shqipërisë, në vijim referuar si “Shqipëria”, nga ana tjetër,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Ndërsa: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>1. Marrëveshja kuadër e datës 22 nëntor 2004 ndërmjet Komunitetit Europian dhe Republikës së Shqipërisë</w:t>
      </w:r>
      <w:r w:rsidRPr="003F287F">
        <w:rPr>
          <w:sz w:val="21"/>
          <w:szCs w:val="21"/>
          <w:vertAlign w:val="superscript"/>
        </w:rPr>
        <w:footnoteReference w:id="1"/>
      </w:r>
      <w:r w:rsidRPr="003F287F">
        <w:rPr>
          <w:sz w:val="21"/>
          <w:szCs w:val="21"/>
        </w:rPr>
        <w:t xml:space="preserve"> vendos parimet e përgjithshme për pjesëmarrjen e Shqipërisë në programet e Komunitetit, duke i lënë Komisionit dhe autoriteteve kompetente të Shqipërisë të përcaktojnë termat dhe kushtet e veçanta, duke përfshirë kontributin financiar, në lidhje me këtë pjesëmarrje në secilin program të veçantë;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>2. Programi “Europa për qytetarët” u caktua me vendimin nr. 1904/2006/EC të Parlamentit Europian dhe Këshillit të datës 12 dhjetor 2006</w:t>
      </w:r>
      <w:r w:rsidRPr="003F287F">
        <w:rPr>
          <w:sz w:val="21"/>
          <w:szCs w:val="21"/>
          <w:vertAlign w:val="superscript"/>
        </w:rPr>
        <w:footnoteReference w:id="2"/>
      </w:r>
      <w:r w:rsidRPr="003F287F">
        <w:rPr>
          <w:sz w:val="21"/>
          <w:szCs w:val="21"/>
        </w:rPr>
        <w:t>,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>kanë rënë dakord si më poshtë: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NeniNr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Neni 1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Shqipëria do të marrë pjesë në programin “Europa për qytetarët” (në vijim referuar si “Programi”), në pajtim me kushtet e parashikuara në Marrëveshjen kuadër të datës 22 nëntor 2004 ndërmjet Komunitetit Europian dhe Republikës së Shqipërisë mbi parimet e përgjithshme për pjesëmarrjen e Republikës së Shqipërisë në programet e Komunitetit, sipas termave dhe kushteve të përcaktuara në anekset I, II dhe III të këtij memorandumi mirëkuptimi.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NeniNr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Neni 2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Ky memorandum mirëkuptimi do të shtyhet për kohëzgjatjen e programit. Megjithatë, nëse Komuniteti Europian vendos të shtyjë afatin pa ndonjë ndryshim thelbësor brenda programit, ky memorandum do të shtyhej përkatësisht dhe automatikisht nëse asnjë palë nuk e denoncon atë brenda një muaji pas vendimit të shtyrjes.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Anekset I, II dhe III përbëjnë pjesë integrale të këtij memorandumi mirëkuptimi.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Ky memorandum mirëkuptimi mund të ndryshohet vetëm me shkrim me pëlqimin e përbashkët të palëve.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Ky memorandum mirëkuptimi hyn në fuqi në datën e njoftimit me shkrim, nëpërmjet të cilit Shqipëria njofton Komisionin, nëpërmjet kanaleve diplomatike, që janë përmbushur kërkesat e saj të brendshme ligjore për hyrjen e tij në fuqi. Ai hyn në fuqi nga viti financiar 2009.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>ANEKSI I</w:t>
      </w: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Termat dhe kushtet për pjesëmarrjen e Shqipërisë në programin “Europa për Qytetarët”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1. Nëse nuk parashikohet ndryshe në këtë memorandum mirëkuptimi, Shqipëria do të marrë pjesë në aktivitetet e programit “Europa për qytetarët” (në vijim referuar si “Programi”) në pajtim me objektivat, kriteret, procedurat dhe afatet e përcaktuara në vendimin nr.1904/2006/EC të Parlamentit Europian dhe të Këshillit të datës 12 dhjetor 2006 që cakton këtë program të Komunitetit.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2. Për të marrë pjesë në program, Shqipëria do të paguajë çdo vit një kontribut në buxhetin e përgjithshëm të Bashkimit Europian sipas modaliteteve të përshkruara në aneksin II. Nëse është e nevojshme, duke marrë parasysh zhvillimet e programit ose zhvillimin e kapacitetit përthithës të Shqipërisë, ky kontribut mund të përshtatet me shkrim, me pëlqimin e përbashkët të palëve, për të mënjanuar mospërputhjen buxhetore në zbatimin e programit.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3. Termat dhe kushtet për dorëzimin, vlerësimin dhe përzgjedhjen e kërkesave në lidhje me institucionet dhe organizatat e përshtatshme të Shqipërisë do të jenë të njëjta si ato që zbatohen për institucionet dhe organizatat e përshtatshme të Komunitetit.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4. Me qëllim sigurimin e dimensionit komunitar të programit, për të qenë i përshtatshëm për mbështetjen financiare të Komunitetit, kërkesat duhet të përfshijnë partnerë ose aktivitete në shtetet anëtare të Komunitetit sipas parashikimit në udhëzimin e programit ose ftesën për propozime.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5. Kërkuesit ose partnerët nga Shqipëria do të jenë të përshtatshëm për mbështetje komunitare me kusht që kërkesat përkatëse të jenë bërë pas hyrjes në fuqi të këtij memorandumi mirëkuptimi.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6. Shuma maksimale e mbështetjes financiare për aktivitetet e strukturës së informacionit dhe komunikimit për këtë program në Shqipëri (të quajtur Europa për pikën e qytetarëve) nuk do të kalojë 50% të buxhetit të plotë për aktivitetet e tij, brenda një kufiri maksimal prej 10 000 eurosh.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7. Pa cenuar përgjegjësitë e Komisionit të Komuniteteve Europiane dhe të Gjykatës së Auditëve të Komuniteteve Europiane në lidhje me monitorimin dhe vlerësimin e programit, pjesëmarrja e Shqipërisë në program do të monitorohet vazhdimisht mbi një bazë partneriteti, duke përfshirë Komisionin e Komuniteteve Europiane dhe Shqipërinë. Shqipëria i paraqet Komisionit raporte përkatëse dhe merr pjesë në aktivitetet e tjera të veçanta të parashikuara nga Komuniteti në atë kontekst.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Rregullat në lidhje me kontrollin financiar, zhdëmtimin dhe masat e tjera kundër mashtrimit parashikohen në aneksin III.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8. Gjuha që do të përdoret në të gjitha llojet e kontakteve me Komisionin, në lidhje me procesin e dorëzimit të kërkesës, kontratat, raportet që duhet të paraqiten dhe masat e tjera administrative të programit do të bëhen në një nga gjuhët zyrtare të Komunitetit.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9. Komuniteti dhe Shqipëria mund të ndërpresin aktivitetet sipas këtij memorandumi mirëkuptimi në çdo kohë pas një njoftimi me afat dymbëdhjetë muaj. Projektet dhe aktivitetet e papërfunduara në momentin e ndërprerjes do të vazhdojnë deri në përfundimin e tyre sipas kushteve të parashikuara në këtë memorandum mirëkuptimi, si dhe në masat kontraktuale që zbatohen për këto projekte dhe aktivitete dhe në dispozitat e aneksit III.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Aneksi II </w:t>
      </w: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Kontributi financiar i Shqipërisë në programin “Europa për Qytetarët”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1. Kontributi financiar që duhet të paguhet nga Shqipëria në buxhetin e Bashkimit Europian për të marrë pjesë në programin “Europa për qytetarët” është 20 000 euro.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2. Shqipëria do të financojë kontributin e përmendur më sipër pjesërisht nga Buxheti i Shtetit të Shqipërisë dhe pjesërisht nga fondet e paraaderimit të Shqipërisë, duke iu nënshtruar procedurave vjetore të programimit brenda kuadrit të rregullores së Këshillit (EC) nr. 2666/2000 të datës 5 dhjetor 2000, të ndryshuar me rregulloren (EC) nr.2415 të datës 10 dhjetor 2001 mbi asistencën për Shqipërinë, Bosnjën dhe Hercegovinën, Kroacinë, Republikën Federale të Jugosllavisë dhe Ish-Republikën Jugosllave të Maqedonisë dhe rregulloren e Këshillit (EC)1085/2006 të datës 17 korrik 2006. Fondet e kërkuara të paraaderimit do t’i transferohen Shqipërisë çdo vit, si një rimbursim për pjesën e kontributit financiar vjetor të paguar faktikisht në përgjigje të ftesave vjetore për fonde nga Komisioni.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3. Grafiku kohor provizor në lidhje me fondet e paraaderimit është si më poshtë: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  <w:gridCol w:w="1680"/>
      </w:tblGrid>
      <w:tr w:rsidR="004404A2" w:rsidRPr="003F287F" w:rsidTr="001146E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Viti 2009</w:t>
            </w:r>
          </w:p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(fondet CARDS 2006)</w:t>
            </w:r>
          </w:p>
        </w:tc>
        <w:tc>
          <w:tcPr>
            <w:tcW w:w="1680" w:type="dxa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Viti 2010</w:t>
            </w:r>
          </w:p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(fondet IPA 2008)</w:t>
            </w:r>
          </w:p>
        </w:tc>
        <w:tc>
          <w:tcPr>
            <w:tcW w:w="1680" w:type="dxa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Viti 2011</w:t>
            </w:r>
          </w:p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(fondet IPA 2009)</w:t>
            </w:r>
          </w:p>
        </w:tc>
        <w:tc>
          <w:tcPr>
            <w:tcW w:w="1680" w:type="dxa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Viti 2012</w:t>
            </w:r>
          </w:p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(fondet IPA 2010)</w:t>
            </w:r>
          </w:p>
        </w:tc>
        <w:tc>
          <w:tcPr>
            <w:tcW w:w="1680" w:type="dxa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Viti 2013</w:t>
            </w:r>
          </w:p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3F287F">
              <w:rPr>
                <w:b/>
                <w:sz w:val="21"/>
                <w:szCs w:val="21"/>
              </w:rPr>
              <w:t>(fondet IPA 2011)</w:t>
            </w:r>
          </w:p>
        </w:tc>
      </w:tr>
      <w:tr w:rsidR="004404A2" w:rsidRPr="003F287F" w:rsidTr="001146E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vAlign w:val="center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3F287F">
              <w:rPr>
                <w:sz w:val="21"/>
                <w:szCs w:val="21"/>
              </w:rPr>
              <w:t>15 000</w:t>
            </w:r>
          </w:p>
        </w:tc>
        <w:tc>
          <w:tcPr>
            <w:tcW w:w="1680" w:type="dxa"/>
            <w:vAlign w:val="center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3F287F">
              <w:rPr>
                <w:sz w:val="21"/>
                <w:szCs w:val="21"/>
              </w:rPr>
              <w:t>14 000</w:t>
            </w:r>
          </w:p>
        </w:tc>
        <w:tc>
          <w:tcPr>
            <w:tcW w:w="1680" w:type="dxa"/>
            <w:vAlign w:val="center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3F287F">
              <w:rPr>
                <w:sz w:val="21"/>
                <w:szCs w:val="21"/>
              </w:rPr>
              <w:t>13 000</w:t>
            </w:r>
          </w:p>
        </w:tc>
        <w:tc>
          <w:tcPr>
            <w:tcW w:w="1680" w:type="dxa"/>
            <w:vAlign w:val="center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3F287F">
              <w:rPr>
                <w:sz w:val="21"/>
                <w:szCs w:val="21"/>
              </w:rPr>
              <w:t>12 000</w:t>
            </w:r>
          </w:p>
        </w:tc>
        <w:tc>
          <w:tcPr>
            <w:tcW w:w="1680" w:type="dxa"/>
            <w:vAlign w:val="center"/>
          </w:tcPr>
          <w:p w:rsidR="004404A2" w:rsidRPr="003F287F" w:rsidRDefault="004404A2" w:rsidP="001146E6">
            <w:pPr>
              <w:pStyle w:val="Paragrafi0"/>
              <w:ind w:firstLine="0"/>
              <w:jc w:val="center"/>
              <w:rPr>
                <w:sz w:val="21"/>
                <w:szCs w:val="21"/>
              </w:rPr>
            </w:pPr>
            <w:r w:rsidRPr="003F287F">
              <w:rPr>
                <w:sz w:val="21"/>
                <w:szCs w:val="21"/>
              </w:rPr>
              <w:t>11 000</w:t>
            </w:r>
          </w:p>
        </w:tc>
      </w:tr>
    </w:tbl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Pjesa që mbetet nga kontributet e Shqipërisë do të mbulohen nga Buxheti i Shtetit i Shqipërisë.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Nëse këto shuma treguese nuk konfirmohen në procedurën vjetore të programimit të paraaderimit, Buxheti i Shtetit i Shqipërisë do të mbulojë diferencën ndërmjet kontributit të përgjithshëm financiar të treguar në pikën 1 më sipër dhe mbështetjes së paraaderimit të ofruar.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4. Rregullorja financiare e zbatueshme në buxhetin e përgjithshëm të Bashkimit Europian do të zbatohet specifikisht për menaxhimin e kontributit të Shqipërisë.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Shpenzimet e udhëtimit dhe shpenzimet e qëndrimit të bëra nga përfaqësuesit dhe ekspertët e Shqipërisë për qëllimet e pjesëmarrjes si vëzhgues në punën e komitetit të përmendur në nenin 9 të vendimit nr.1904/2006/EC të Parlamentit Europian dhe të Këshillit të datës 12 dhjetor 2006 ose mbledhjet e tjera në lidhje me zbatimin e programit do të rimbursohen nga Komisioni mbi të njëjtën bazë dhe në pajtim me procedurat tashmë në fuqi për përfaqësuesit dhe ekspertët e shteteve anëtare të Bashkimit Europian.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5. Pas hyrjes në fuqi të këtij memorandumi mirëkuptimi dhe në fillim të çdo viti pasues, Komisioni i dërgon Shqipërisë një ftesë për fonde që përputhet me kontributin e saj në buxhetin e programit sipas këtij memorandumi mirëkuptimi.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Ky kontribut shprehet në euro dhe paguhet në një llogari bankare të Komisionit në euro.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Shqipëria do të paguajë kontributin e saj afërsisht më 1 maj, me kusht që ftesa për fonde të dërgohet nga Komisioni para datës 1 prill, ose jo më vonë se një muaj pasi të jetë dërguar ftesa për fonde nëse kjo dërgohet më vonë. </w:t>
      </w:r>
    </w:p>
    <w:p w:rsidR="004404A2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Çdo vonesë në pagesën e kontributit shkakton pagesën e interesit nga Shqipëria për shumën e papaguar nga data e kërkueshme. Norma e interesit përputhet me normën e zbatuar nga Banka Europiane Qendrore për operacionet e rifinancimit të principalit, siç publikohet në serinë C të Fletores Zyrtare të Bashkimit Europian në fuqi ditën e parë kalendarike të muajit në të cilën bie data e kërkueshme, e shtuar me 3.5 pikë përqindje.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ANEKSI III </w:t>
      </w:r>
    </w:p>
    <w:p w:rsidR="004404A2" w:rsidRPr="003F287F" w:rsidRDefault="004404A2" w:rsidP="004404A2">
      <w:pPr>
        <w:pStyle w:val="TitulliTitull"/>
        <w:keepNext w:val="0"/>
        <w:rPr>
          <w:sz w:val="21"/>
          <w:szCs w:val="21"/>
        </w:rPr>
      </w:pPr>
      <w:r w:rsidRPr="003F287F">
        <w:rPr>
          <w:sz w:val="21"/>
          <w:szCs w:val="21"/>
        </w:rPr>
        <w:t xml:space="preserve">Kontrolli financiar, Zhdëmtimi dhe Masa të tjera kundër Mashtrimit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I. Kontrollet dhe masat kundër mashtrimit nga Komuniteti </w:t>
      </w:r>
    </w:p>
    <w:p w:rsidR="004404A2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>1. Në pajtim me rregulloren financiare të zbatueshme për buxhetin e përgjithshëm të Bashkimit Europian dhe me rregullat e tjera të përmendura në këtë Memorandum Mirëkuptimi, kontratat e lidhura me përfituesit e programeve të vendosur në Shqipëri parashikojnë kryerjen e auditimeve financiare ose të tjera që duhet të zhvillohen në çdo kohë në ambientet e përfituesve dhe të nënkontraktorëve të tyre nga agjentët e Komisionit ose nga persona të tjerë të mandatuar nga Komisioni.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2. Agjentët e Komisionit dhe persona të tjerë të mandatuar nga Komisioni hyjnë rregullisht në kantiere, objekte pune dhe dokumente dhe në të gjithë informacionin e kërkuar, me qëllim që të kryhen këto auditime, duke përfshirë formatin elektronik. Kjo e drejtë hyrjeje parashikohet shprehimisht në kontratat e lidhura për të zbatuar instrumentet e përmendura në këtë memorandum. Gjykata Europiane e Auditëve ka të njëjtat të drejta si Komisioni.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3. Brenda kuadrit të këtij memorandumi, Komisioni/OLAF (Zyra Europiane kundër Mashtrimit) autorizohet të kryejë kontrolle dhe inspektime në vend në territorin e Shqipërisë, në pajtim me dispozitat procedurale të rregullores së Këshillit (EURATOM, EC) nr.2185/96, të datës 11 nëntor 1996.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Këto kontrolle dhe inspektime përgatiten dhe zhvillohen në bashkëpunim të ngushtë me autoritetet kompetente shqiptare të caktuara nga autoritetet shqiptare, që njoftohen në kohën e duhur për objektin, qëllimin dhe bazën ligjore të kontrolleve dhe inspektimeve, në mënyrë që ato të japin të gjithë ndihmën e kërkuar.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Nëse autoritet shqiptare të interesuara e kërkojnë, kontrollet dhe inspektimet në vend mund të zhvillohen së bashku me to.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Nëse pjesëmarrësit në programe e kundërshtojnë kontrollin ose inspektimin në vend, autoritetet shqiptare, duke vepruar në pajtim me rregullat e tyre të brendshme, u japin inspektorëve të Komisionit/OLAF-it ndihmën që atyre u duhet për të përmbushur detyrën e tyre për të kryer kontrollin ose inspektimin në vend.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Komisioni/OLAF-i raporton sa më shpejt të jetë e mundur tek autoritetet shqiptare çdo fakt ose dyshim në lidhje me një parregullsi është sjellë në vëmendje të tyre gjatë kontrollit ose inspektimit në vend. Në çdo rast, Komisionit/OLAF-it i kërkohet të informojë autoritetin e sipërpërmendur për rezultatin e këtyre kontrolleve dhe inspektimeve.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II. Informacioni dhe konsultimi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1. Për qëllimet e zbatimit të duhur të këtij aneksi, autoritetet kompetente shqiptare dhe të Komunitetit shkëmbejnë rregullisht informacione dhe, me kërkesë të njërës prej palëve, zhvillojnë konsultime.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2. Autoritetet kompetente shqiptare informojnë Komisionin pa vonesë për çdo fakt ose dyshim që sillet në vëmendje të tyre në lidhje me një parregullsi përsa i takon përfundimit dhe zbatimit të kontratave të lidhura duke zbatuar instrumentet e përmendura në këtë memorandum.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III. Masat administrative dhe gjobat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Pa cenuar zbatimin e ligjit penal shqiptar, masat administrative dhe gjobat mund të vendosen nga Komisioni në pajtim me rregulloren financiare të zbatueshme për buxhetin e përgjithshëm të Bashkimit Europian.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IV. Zhdëmtimi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Vendimet e marra nga Komisioni brenda objektit të këtij memorandumi që vendosin një detyrim financiar mbi personat e ndryshëm nga shtetet janë të ekzekutueshme në Shqipëri. Ekzekutimi rregullohet nga rregullat e procedurës civile në fuqi në Shqipëri. Urdhri për ekzekutimin i bashkëngjitet vendimit, pa formalitet tjetër përveç verifikimit të autenticitetit të vendimit, nga autoriteti i brendshëm që Qeveria e Shqipërisë e cakton për këtë qëllim dhe ia bën të ditur Komisionit. Pasi të jenë përfunduar këto formalitete për kërkesën nga Komisioni, ky i fundit mund të vazhdojë me ekzekutimin në pajtim me ligjin e brendshëm, duke e sjellë çështjen drejtpërdrejt tek autoriteti kompetent. Ligjshmëria e vendimit të Komisionit i nënshtrohet kontrollit nga Gjykata e Drejtësisë e Komuniteteve Europiane.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Vendimet e dhëna nga Gjykata e Drejtësisë e Komuniteteve Europiane, në pajtim me një dispozitë arbitrazhi në një kontratë brenda objektit të këtij memorandumi, janë të ekzekutueshme në të njëjtat kushte.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V. Komunikimi i drejtpërdrejtë </w:t>
      </w:r>
    </w:p>
    <w:p w:rsidR="004404A2" w:rsidRPr="003F287F" w:rsidRDefault="004404A2" w:rsidP="004404A2">
      <w:pPr>
        <w:pStyle w:val="Paragrafi0"/>
        <w:rPr>
          <w:sz w:val="21"/>
          <w:szCs w:val="21"/>
        </w:rPr>
      </w:pPr>
      <w:r w:rsidRPr="003F287F">
        <w:rPr>
          <w:sz w:val="21"/>
          <w:szCs w:val="21"/>
        </w:rPr>
        <w:t xml:space="preserve">Komisioni komunikon drejtpërdrejt me pjesëmarrësit në programin “Europa për qytetarët” të vendosur në Shqipëri dhe me nënkontraktorët e tyre. Ata mund t’i paraqesin drejtpërdrejt Komisionit të gjithë informacionin dhe dokumentacionin përkatës që atyre u kërkohet të paraqesin mbi bazën e instrumenteve të përmendura në këtë memorandum dhe të kontratave të lidhura për zbatimin e tyre. </w:t>
      </w:r>
    </w:p>
    <w:sectPr w:rsidR="004404A2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6E6" w:rsidRDefault="001146E6">
      <w:r>
        <w:separator/>
      </w:r>
    </w:p>
  </w:endnote>
  <w:endnote w:type="continuationSeparator" w:id="0">
    <w:p w:rsidR="001146E6" w:rsidRDefault="0011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6E6" w:rsidRDefault="001146E6">
      <w:r>
        <w:separator/>
      </w:r>
    </w:p>
  </w:footnote>
  <w:footnote w:type="continuationSeparator" w:id="0">
    <w:p w:rsidR="001146E6" w:rsidRDefault="001146E6">
      <w:r>
        <w:continuationSeparator/>
      </w:r>
    </w:p>
  </w:footnote>
  <w:footnote w:id="1">
    <w:p w:rsidR="00FB15B3" w:rsidRPr="00FB15B3" w:rsidRDefault="00FB15B3" w:rsidP="00FB15B3">
      <w:pPr>
        <w:pStyle w:val="Paragrafi0"/>
        <w:rPr>
          <w:sz w:val="20"/>
        </w:rPr>
      </w:pPr>
      <w:r w:rsidRPr="00FB15B3">
        <w:rPr>
          <w:rStyle w:val="FootnoteReference"/>
          <w:sz w:val="20"/>
        </w:rPr>
        <w:footnoteRef/>
      </w:r>
      <w:r w:rsidRPr="00FB15B3">
        <w:rPr>
          <w:sz w:val="20"/>
        </w:rPr>
        <w:t xml:space="preserve">  FZ L 192, 22.7.2005, f.2. </w:t>
      </w:r>
    </w:p>
  </w:footnote>
  <w:footnote w:id="2">
    <w:p w:rsidR="00FB15B3" w:rsidRPr="00FB15B3" w:rsidRDefault="00FB15B3" w:rsidP="00FB15B3">
      <w:pPr>
        <w:pStyle w:val="Paragrafi0"/>
        <w:rPr>
          <w:sz w:val="20"/>
        </w:rPr>
      </w:pPr>
      <w:r w:rsidRPr="00FB15B3">
        <w:rPr>
          <w:rStyle w:val="FootnoteReference"/>
          <w:sz w:val="20"/>
        </w:rPr>
        <w:footnoteRef/>
      </w:r>
      <w:r w:rsidRPr="00FB15B3">
        <w:rPr>
          <w:sz w:val="20"/>
        </w:rPr>
        <w:t xml:space="preserve">  FZ L 378, 27.12.2006, f.32.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04A2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13AD"/>
    <w:rsid w:val="00081DED"/>
    <w:rsid w:val="00082343"/>
    <w:rsid w:val="00082775"/>
    <w:rsid w:val="00082B4B"/>
    <w:rsid w:val="00084FC5"/>
    <w:rsid w:val="00086849"/>
    <w:rsid w:val="00087365"/>
    <w:rsid w:val="000903B6"/>
    <w:rsid w:val="000918AA"/>
    <w:rsid w:val="00096F6A"/>
    <w:rsid w:val="000A03EC"/>
    <w:rsid w:val="000A6264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46E6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6057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18BA"/>
    <w:rsid w:val="003B370C"/>
    <w:rsid w:val="003B7283"/>
    <w:rsid w:val="003C34AC"/>
    <w:rsid w:val="003C39A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34A36"/>
    <w:rsid w:val="004404A2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8CB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20904"/>
    <w:rsid w:val="0052236E"/>
    <w:rsid w:val="0052414B"/>
    <w:rsid w:val="005267D0"/>
    <w:rsid w:val="00530279"/>
    <w:rsid w:val="00530570"/>
    <w:rsid w:val="00536D4B"/>
    <w:rsid w:val="00537D3B"/>
    <w:rsid w:val="00540E4B"/>
    <w:rsid w:val="0054268F"/>
    <w:rsid w:val="005431DD"/>
    <w:rsid w:val="005469E2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3F56"/>
    <w:rsid w:val="005E4476"/>
    <w:rsid w:val="005E55F7"/>
    <w:rsid w:val="005E5EF2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22B7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8EF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C68D3"/>
    <w:rsid w:val="007D12D3"/>
    <w:rsid w:val="007D169D"/>
    <w:rsid w:val="007D3D1F"/>
    <w:rsid w:val="007D4410"/>
    <w:rsid w:val="007D4F2F"/>
    <w:rsid w:val="007E01BC"/>
    <w:rsid w:val="007E1033"/>
    <w:rsid w:val="007E1300"/>
    <w:rsid w:val="007E2FED"/>
    <w:rsid w:val="007E35B5"/>
    <w:rsid w:val="007E4506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09C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45F9"/>
    <w:rsid w:val="00AB6ED0"/>
    <w:rsid w:val="00AC113B"/>
    <w:rsid w:val="00AC1A6A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5278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54B4"/>
    <w:rsid w:val="00BC6CE7"/>
    <w:rsid w:val="00BD0A02"/>
    <w:rsid w:val="00BD1711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2FCC"/>
    <w:rsid w:val="00C7562E"/>
    <w:rsid w:val="00C76C12"/>
    <w:rsid w:val="00C80CAD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44E7"/>
    <w:rsid w:val="00CB7CB2"/>
    <w:rsid w:val="00CC1BCA"/>
    <w:rsid w:val="00CC2512"/>
    <w:rsid w:val="00CC3C92"/>
    <w:rsid w:val="00CC7AA1"/>
    <w:rsid w:val="00CD3859"/>
    <w:rsid w:val="00CD5371"/>
    <w:rsid w:val="00CD6BA3"/>
    <w:rsid w:val="00CD728E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4578F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2A78"/>
    <w:rsid w:val="00E146F6"/>
    <w:rsid w:val="00E21997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3E17"/>
    <w:rsid w:val="00F453C1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15B3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582C94-DCD9-43F7-A21E-ED27F083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4A2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4404A2"/>
    <w:pPr>
      <w:spacing w:after="160" w:line="240" w:lineRule="exact"/>
    </w:pPr>
    <w:rPr>
      <w:rFonts w:ascii="Tahoma" w:eastAsia="MS Mincho" w:hAnsi="Tahoma"/>
      <w:sz w:val="20"/>
    </w:rPr>
  </w:style>
  <w:style w:type="paragraph" w:styleId="FootnoteText">
    <w:name w:val="footnote text"/>
    <w:aliases w:val="Fußnote,Footnote Text Char,Footnote Text Char Char Char"/>
    <w:basedOn w:val="Normal"/>
    <w:semiHidden/>
    <w:rsid w:val="004404A2"/>
    <w:pPr>
      <w:ind w:left="720" w:hanging="720"/>
      <w:jc w:val="both"/>
    </w:pPr>
    <w:rPr>
      <w:rFonts w:ascii="Times New Roman" w:hAnsi="Times New Roman"/>
      <w:sz w:val="20"/>
      <w:lang w:eastAsia="en-GB"/>
    </w:rPr>
  </w:style>
  <w:style w:type="character" w:styleId="FootnoteReference">
    <w:name w:val="footnote reference"/>
    <w:aliases w:val="BVI fnr"/>
    <w:basedOn w:val="DefaultParagraphFont"/>
    <w:semiHidden/>
    <w:rsid w:val="004404A2"/>
    <w:rPr>
      <w:vertAlign w:val="superscript"/>
    </w:rPr>
  </w:style>
  <w:style w:type="character" w:customStyle="1" w:styleId="ParagrafiChar">
    <w:name w:val="Paragrafi Char"/>
    <w:basedOn w:val="DefaultParagraphFont"/>
    <w:link w:val="Paragrafi0"/>
    <w:rsid w:val="004404A2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2019-03-18T12:56:00Z</dcterms:created>
  <dcterms:modified xsi:type="dcterms:W3CDTF">2019-03-18T12:56:00Z</dcterms:modified>
</cp:coreProperties>
</file>