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24A" w:rsidRPr="007D2CBD" w:rsidRDefault="00A0624A" w:rsidP="00A0624A">
      <w:pPr>
        <w:pStyle w:val="Akti"/>
        <w:keepNext w:val="0"/>
      </w:pPr>
      <w:bookmarkStart w:id="0" w:name="_GoBack"/>
      <w:bookmarkEnd w:id="0"/>
      <w:r>
        <w:t>LIG</w:t>
      </w:r>
      <w:r w:rsidRPr="007D2CBD">
        <w:t>J</w:t>
      </w:r>
    </w:p>
    <w:p w:rsidR="00A0624A" w:rsidRPr="007D2CBD" w:rsidRDefault="00A0624A" w:rsidP="00A0624A">
      <w:pPr>
        <w:pStyle w:val="NumriData"/>
        <w:keepNext w:val="0"/>
      </w:pPr>
      <w:r w:rsidRPr="007D2CBD">
        <w:t>Nr.10 134, datë 11.5.2009</w:t>
      </w:r>
    </w:p>
    <w:p w:rsidR="00A0624A" w:rsidRPr="00AC7B99" w:rsidRDefault="00A0624A" w:rsidP="00A0624A">
      <w:pPr>
        <w:pStyle w:val="Paragrafi0"/>
        <w:rPr>
          <w:sz w:val="14"/>
        </w:rPr>
      </w:pPr>
    </w:p>
    <w:p w:rsidR="00A0624A" w:rsidRPr="007D2CBD" w:rsidRDefault="00A0624A" w:rsidP="00A0624A">
      <w:pPr>
        <w:pStyle w:val="Titulli0"/>
        <w:keepNext w:val="0"/>
      </w:pPr>
      <w:r w:rsidRPr="007D2CBD">
        <w:t>PËR KRIJIMIN E QENDRËS SË PANAIREVE DHE TË EKSPOZITAVE TREGTARE</w:t>
      </w:r>
    </w:p>
    <w:p w:rsidR="00A0624A" w:rsidRPr="00AC7B99" w:rsidRDefault="00A0624A" w:rsidP="00A0624A">
      <w:pPr>
        <w:pStyle w:val="Paragrafi0"/>
        <w:ind w:firstLine="0"/>
        <w:rPr>
          <w:sz w:val="16"/>
        </w:rPr>
      </w:pPr>
    </w:p>
    <w:p w:rsidR="00A0624A" w:rsidRPr="007D2CBD" w:rsidRDefault="00A0624A" w:rsidP="00A0624A">
      <w:pPr>
        <w:pStyle w:val="Paragrafi0"/>
      </w:pPr>
      <w:r w:rsidRPr="007D2CBD">
        <w:t xml:space="preserve">Në mbështetje të neneve 78 e 83 pika 1 të Kushtetutës, me propozimin e Këshillit të Ministrave, </w:t>
      </w:r>
    </w:p>
    <w:p w:rsidR="00A0624A" w:rsidRPr="00AC7B99" w:rsidRDefault="00A0624A" w:rsidP="00A0624A">
      <w:pPr>
        <w:pStyle w:val="Paragrafi0"/>
        <w:rPr>
          <w:sz w:val="14"/>
        </w:rPr>
      </w:pPr>
    </w:p>
    <w:p w:rsidR="00A0624A" w:rsidRPr="007D2CBD" w:rsidRDefault="00A0624A" w:rsidP="00A0624A">
      <w:pPr>
        <w:pStyle w:val="Institucioni"/>
      </w:pPr>
      <w:r>
        <w:t>KUVEND</w:t>
      </w:r>
      <w:r w:rsidRPr="007D2CBD">
        <w:t xml:space="preserve">I </w:t>
      </w:r>
    </w:p>
    <w:p w:rsidR="00A0624A" w:rsidRPr="007D2CBD" w:rsidRDefault="00A0624A" w:rsidP="00A0624A">
      <w:pPr>
        <w:pStyle w:val="Institucioni"/>
      </w:pPr>
      <w:r w:rsidRPr="007D2CBD">
        <w:t>I REPUBLIKËS SË SHQIPËRISË</w:t>
      </w:r>
    </w:p>
    <w:p w:rsidR="00A0624A" w:rsidRPr="00AC7B99" w:rsidRDefault="00A0624A" w:rsidP="00A0624A">
      <w:pPr>
        <w:pStyle w:val="Paragrafi0"/>
        <w:rPr>
          <w:sz w:val="16"/>
        </w:rPr>
      </w:pPr>
    </w:p>
    <w:p w:rsidR="00A0624A" w:rsidRPr="007D2CBD" w:rsidRDefault="00A0624A" w:rsidP="00A0624A">
      <w:pPr>
        <w:pStyle w:val="VENDOSI0"/>
      </w:pPr>
      <w:r>
        <w:t>VENDOS</w:t>
      </w:r>
      <w:r w:rsidRPr="007D2CBD">
        <w:t>I:</w:t>
      </w:r>
    </w:p>
    <w:p w:rsidR="00A0624A" w:rsidRPr="00AC7B99" w:rsidRDefault="00A0624A" w:rsidP="00A0624A">
      <w:pPr>
        <w:pStyle w:val="Paragrafi0"/>
        <w:rPr>
          <w:sz w:val="14"/>
        </w:rPr>
      </w:pPr>
    </w:p>
    <w:p w:rsidR="00A0624A" w:rsidRPr="007D2CBD" w:rsidRDefault="00A0624A" w:rsidP="00A0624A">
      <w:pPr>
        <w:pStyle w:val="KapitulliNr"/>
        <w:keepNext w:val="0"/>
      </w:pPr>
      <w:r w:rsidRPr="007D2CBD">
        <w:t>KREU  I</w:t>
      </w:r>
    </w:p>
    <w:p w:rsidR="00A0624A" w:rsidRPr="007D2CBD" w:rsidRDefault="00A0624A" w:rsidP="00A0624A">
      <w:pPr>
        <w:pStyle w:val="KapitulliNr"/>
        <w:keepNext w:val="0"/>
      </w:pPr>
      <w:r w:rsidRPr="007D2CBD">
        <w:t>DISPOZITA TË PËRGJITHSHME</w:t>
      </w:r>
    </w:p>
    <w:p w:rsidR="00A0624A" w:rsidRDefault="00A0624A" w:rsidP="00A0624A">
      <w:pPr>
        <w:pStyle w:val="Paragrafi0"/>
      </w:pPr>
    </w:p>
    <w:p w:rsidR="00A0624A" w:rsidRPr="007D2CBD" w:rsidRDefault="00A0624A" w:rsidP="00A0624A">
      <w:pPr>
        <w:pStyle w:val="NeniNr"/>
        <w:keepNext w:val="0"/>
      </w:pPr>
      <w:r w:rsidRPr="007D2CBD">
        <w:t>Neni 1</w:t>
      </w:r>
    </w:p>
    <w:p w:rsidR="00A0624A" w:rsidRPr="007D2CBD" w:rsidRDefault="00A0624A" w:rsidP="00A0624A">
      <w:pPr>
        <w:pStyle w:val="NeniTitull"/>
        <w:keepNext w:val="0"/>
      </w:pPr>
      <w:r w:rsidRPr="007D2CBD">
        <w:t>Objekti</w:t>
      </w:r>
    </w:p>
    <w:p w:rsidR="00A0624A" w:rsidRPr="00AC7B99" w:rsidRDefault="00A0624A" w:rsidP="00A0624A">
      <w:pPr>
        <w:pStyle w:val="Paragrafi0"/>
        <w:rPr>
          <w:sz w:val="16"/>
        </w:rPr>
      </w:pPr>
    </w:p>
    <w:p w:rsidR="00A0624A" w:rsidRPr="007D2CBD" w:rsidRDefault="00A0624A" w:rsidP="00A0624A">
      <w:pPr>
        <w:pStyle w:val="Paragrafi0"/>
      </w:pPr>
      <w:r w:rsidRPr="007D2CBD">
        <w:t>Ky ligj synon ngritjen e Qendrës së Panaireve dhe të Ekspozitave Tregtare, si dhe përcakton rregullat e funksionimit e të veprimtarisë së kësaj qendre.</w:t>
      </w:r>
    </w:p>
    <w:p w:rsidR="00A0624A" w:rsidRPr="007D2CBD" w:rsidRDefault="00A0624A" w:rsidP="00A0624A">
      <w:pPr>
        <w:pStyle w:val="NeniNr"/>
        <w:keepNext w:val="0"/>
      </w:pPr>
      <w:r w:rsidRPr="007D2CBD">
        <w:t>Neni 2</w:t>
      </w:r>
    </w:p>
    <w:p w:rsidR="00A0624A" w:rsidRPr="007D2CBD" w:rsidRDefault="00A0624A" w:rsidP="00A0624A">
      <w:pPr>
        <w:pStyle w:val="NeniTitull"/>
        <w:keepNext w:val="0"/>
      </w:pPr>
      <w:r w:rsidRPr="007D2CBD">
        <w:t>Qëllimi</w:t>
      </w:r>
    </w:p>
    <w:p w:rsidR="00A0624A" w:rsidRPr="007D2CBD" w:rsidRDefault="00A0624A" w:rsidP="00A0624A">
      <w:pPr>
        <w:pStyle w:val="Paragrafi0"/>
      </w:pPr>
    </w:p>
    <w:p w:rsidR="00A0624A" w:rsidRPr="007D2CBD" w:rsidRDefault="00A0624A" w:rsidP="00A0624A">
      <w:pPr>
        <w:pStyle w:val="Paragrafi0"/>
      </w:pPr>
      <w:r w:rsidRPr="007D2CBD">
        <w:t>Qëllimi i këtij ligji është të nxisë zhvillimin e panaireve dhe të ekspozitave tregtare, për të rritur investimet dhe shkëmbimin tregtar, si dhe për të përhapur njohuri për risitë teknologjike e shkencore të sektorëve të ndryshëm prodhues dhe të shërbimit në nivel kombëtar, rajonal e ndërkombëtar.</w:t>
      </w:r>
    </w:p>
    <w:p w:rsidR="00A0624A" w:rsidRPr="007D2CBD" w:rsidRDefault="00A0624A" w:rsidP="00A0624A">
      <w:pPr>
        <w:pStyle w:val="Paragrafi0"/>
        <w:ind w:firstLine="0"/>
      </w:pPr>
    </w:p>
    <w:p w:rsidR="00A0624A" w:rsidRPr="007D2CBD" w:rsidRDefault="00A0624A" w:rsidP="00A0624A">
      <w:pPr>
        <w:pStyle w:val="NeniNr"/>
        <w:keepNext w:val="0"/>
      </w:pPr>
      <w:r w:rsidRPr="007D2CBD">
        <w:t>Neni 3</w:t>
      </w:r>
    </w:p>
    <w:p w:rsidR="00A0624A" w:rsidRPr="007D2CBD" w:rsidRDefault="00A0624A" w:rsidP="00A0624A">
      <w:pPr>
        <w:pStyle w:val="NeniTitull"/>
        <w:keepNext w:val="0"/>
      </w:pPr>
      <w:r w:rsidRPr="007D2CBD">
        <w:t>Përkufizime</w:t>
      </w:r>
    </w:p>
    <w:p w:rsidR="00A0624A" w:rsidRPr="007D2CBD" w:rsidRDefault="00A0624A" w:rsidP="00A0624A">
      <w:pPr>
        <w:pStyle w:val="Paragrafi0"/>
      </w:pPr>
    </w:p>
    <w:p w:rsidR="00A0624A" w:rsidRPr="007D2CBD" w:rsidRDefault="00A0624A" w:rsidP="00A0624A">
      <w:pPr>
        <w:pStyle w:val="Paragrafi0"/>
      </w:pPr>
      <w:r w:rsidRPr="007D2CBD">
        <w:t>Në këtë  ligj termat e mëposhtëm kanë këto kuptime:</w:t>
      </w:r>
    </w:p>
    <w:p w:rsidR="00A0624A" w:rsidRPr="007D2CBD" w:rsidRDefault="00A0624A" w:rsidP="00A0624A">
      <w:pPr>
        <w:pStyle w:val="Paragrafi0"/>
      </w:pPr>
      <w:r w:rsidRPr="007D2CBD">
        <w:t>1. “Qendra e Panaireve dhe e Ekspozitave Tregtare” (QPET) është një person juridik, shoqëri tregtare, e krijuar me pjesëmarrjen e shtetit dhe të Dhomës së Tregtisë dhe Industrisë, Tiranë, e ngritur në përputhje me dispozitat e këtij ligji.</w:t>
      </w:r>
    </w:p>
    <w:p w:rsidR="00A0624A" w:rsidRPr="007D2CBD" w:rsidRDefault="00A0624A" w:rsidP="00A0624A">
      <w:pPr>
        <w:pStyle w:val="Paragrafi0"/>
      </w:pPr>
      <w:r w:rsidRPr="007D2CBD">
        <w:t>2. “Dhoma” është Dhoma e Tregtisë dhe Industrisë, Tiranë, e ngritur në përputhje me ligjin nr.9640, datë 9.11.2006 “Për dhomat e tregtisë dhe industrisë”, të ndryshuar.</w:t>
      </w:r>
    </w:p>
    <w:p w:rsidR="00A0624A" w:rsidRPr="007D2CBD" w:rsidRDefault="00A0624A" w:rsidP="00A0624A">
      <w:pPr>
        <w:pStyle w:val="Paragrafi0"/>
      </w:pPr>
      <w:r w:rsidRPr="007D2CBD">
        <w:t>3. “Panair i përgjithshëm” është veprimtaria promovuese, e hapur për publikun, ku ekspozohen shërbimet, të gjitha llojet e mallrave ushqimore, industriale e të konsumit, teknologjitë, si edhe libri e produktet e përafërta me të, të cilat mund ose jo të jenë objekt i shitjeve të drejtpërdrejta, sipas parashikimeve të bëra në kalendar.</w:t>
      </w:r>
    </w:p>
    <w:p w:rsidR="00A0624A" w:rsidRPr="007D2CBD" w:rsidRDefault="00A0624A" w:rsidP="00A0624A">
      <w:pPr>
        <w:pStyle w:val="Paragrafi0"/>
      </w:pPr>
      <w:r w:rsidRPr="007D2CBD">
        <w:t>4. “Panair kombëtar” është veprimtaria, në të cilën marrin pjesë ekspozues, që e shtrijnë këtë veprimtari në të gjithë territorin e vendit ose dhe jashtë tij.</w:t>
      </w:r>
    </w:p>
    <w:p w:rsidR="00A0624A" w:rsidRPr="007D2CBD" w:rsidRDefault="00A0624A" w:rsidP="00A0624A">
      <w:pPr>
        <w:pStyle w:val="Paragrafi0"/>
      </w:pPr>
      <w:r w:rsidRPr="007D2CBD">
        <w:t>5. “Panair ndërkombëtar” është veprimtaria, ku marrin pjesë ekspozues e ku të paktën 10 për qind e tyre janë të huaj.</w:t>
      </w:r>
    </w:p>
    <w:p w:rsidR="00A0624A" w:rsidRPr="007D2CBD" w:rsidRDefault="00A0624A" w:rsidP="00A0624A">
      <w:pPr>
        <w:pStyle w:val="Paragrafi0"/>
      </w:pPr>
      <w:r w:rsidRPr="007D2CBD">
        <w:t xml:space="preserve">6. “Panair i specializuar” është veprimtaria e një ose më shumë sektorëve të ngjashëm ndërmjet tyre, ku marrin pjesë si ekspozues vetëm prodhues dhe operatorë tregtarë të specializuar, </w:t>
      </w:r>
      <w:smartTag w:uri="urn:schemas-microsoft-com:office:smarttags" w:element="place">
        <w:smartTag w:uri="urn:schemas-microsoft-com:office:smarttags" w:element="country-region">
          <w:r w:rsidRPr="007D2CBD">
            <w:t>vendas</w:t>
          </w:r>
        </w:smartTag>
      </w:smartTag>
      <w:r w:rsidRPr="007D2CBD">
        <w:t xml:space="preserve"> dhe/ose të huaj.</w:t>
      </w:r>
    </w:p>
    <w:p w:rsidR="00A0624A" w:rsidRPr="007D2CBD" w:rsidRDefault="00A0624A" w:rsidP="00A0624A">
      <w:pPr>
        <w:pStyle w:val="Paragrafi0"/>
      </w:pPr>
      <w:r w:rsidRPr="007D2CBD">
        <w:t>7. “Ekspozitë tregtare” është veprimtaria promovuese, e hapur për publikun, që ka për qëllim të ilustrojë përparimin e arritur në një ose më tepër degë të ekonomisë dhe ku janë të ndaluara shitjet e drejtpërdrejta.</w:t>
      </w:r>
    </w:p>
    <w:p w:rsidR="00A0624A" w:rsidRPr="007D2CBD" w:rsidRDefault="00A0624A" w:rsidP="00A0624A">
      <w:pPr>
        <w:pStyle w:val="Paragrafi0"/>
      </w:pPr>
      <w:r w:rsidRPr="007D2CBD">
        <w:t>8. “Ministri” është ministri që mbulon tregtinë.</w:t>
      </w:r>
    </w:p>
    <w:p w:rsidR="00A0624A" w:rsidRPr="007D2CBD" w:rsidRDefault="00A0624A" w:rsidP="00A0624A">
      <w:pPr>
        <w:pStyle w:val="Paragrafi0"/>
      </w:pPr>
      <w:r w:rsidRPr="007D2CBD">
        <w:t>9.  “MBUMK” është Ministria e Bujqësisë, Ushqimit dhe Mbrojtjes së Konsumatorit.</w:t>
      </w:r>
    </w:p>
    <w:p w:rsidR="00A0624A" w:rsidRPr="007D2CBD" w:rsidRDefault="00A0624A" w:rsidP="00A0624A">
      <w:pPr>
        <w:pStyle w:val="Paragrafi0"/>
      </w:pPr>
      <w:r w:rsidRPr="007D2CBD">
        <w:t>10. “KRRTRSH” është Këshilli i Rregullimit të Territorit të Republikës së Shqipërisë, i ngritur në përputhje me ligjin nr.8405, datë 17.9.1998 “Për urbanistikën”, të ndryshuar.</w:t>
      </w:r>
    </w:p>
    <w:p w:rsidR="00A0624A" w:rsidRPr="007D2CBD" w:rsidRDefault="00A0624A" w:rsidP="00A0624A">
      <w:pPr>
        <w:pStyle w:val="Paragrafi0"/>
        <w:ind w:firstLine="0"/>
      </w:pPr>
    </w:p>
    <w:p w:rsidR="00A0624A" w:rsidRPr="007D2CBD" w:rsidRDefault="00A0624A" w:rsidP="00A0624A">
      <w:pPr>
        <w:pStyle w:val="KapitulliTitull"/>
        <w:keepNext w:val="0"/>
      </w:pPr>
      <w:r w:rsidRPr="007D2CBD">
        <w:t>KREU  II</w:t>
      </w:r>
    </w:p>
    <w:p w:rsidR="00A0624A" w:rsidRPr="007D2CBD" w:rsidRDefault="00A0624A" w:rsidP="00A0624A">
      <w:pPr>
        <w:pStyle w:val="KapitulliTitull"/>
        <w:keepNext w:val="0"/>
      </w:pPr>
      <w:r w:rsidRPr="007D2CBD">
        <w:t>QENDRA E PANAIREVE DHE E EKSPOZITAVE TREGTARE</w:t>
      </w:r>
    </w:p>
    <w:p w:rsidR="00A0624A" w:rsidRPr="007D2CBD" w:rsidRDefault="00A0624A" w:rsidP="00A0624A">
      <w:pPr>
        <w:pStyle w:val="Paragrafi0"/>
      </w:pPr>
    </w:p>
    <w:p w:rsidR="00A0624A" w:rsidRPr="007D2CBD" w:rsidRDefault="00A0624A" w:rsidP="00A0624A">
      <w:pPr>
        <w:pStyle w:val="NeniNr"/>
        <w:keepNext w:val="0"/>
      </w:pPr>
      <w:r w:rsidRPr="007D2CBD">
        <w:t>Neni 4</w:t>
      </w:r>
    </w:p>
    <w:p w:rsidR="00A0624A" w:rsidRPr="007D2CBD" w:rsidRDefault="00A0624A" w:rsidP="00A0624A">
      <w:pPr>
        <w:pStyle w:val="NeniTitull"/>
        <w:keepNext w:val="0"/>
      </w:pPr>
      <w:r w:rsidRPr="007D2CBD">
        <w:t>Themelimi</w:t>
      </w:r>
    </w:p>
    <w:p w:rsidR="00A0624A" w:rsidRPr="007D2CBD" w:rsidRDefault="00A0624A" w:rsidP="00A0624A">
      <w:pPr>
        <w:pStyle w:val="Paragrafi0"/>
      </w:pPr>
    </w:p>
    <w:p w:rsidR="00A0624A" w:rsidRPr="007D2CBD" w:rsidRDefault="00A0624A" w:rsidP="00A0624A">
      <w:pPr>
        <w:pStyle w:val="Paragrafi0"/>
      </w:pPr>
      <w:r w:rsidRPr="007D2CBD">
        <w:t>1. Për organizimin e promovimin e veprimtarive të panaireve dhe të ekspozitave tregtare krijohet Qendra e Panaireve dhe e Ekspozitave Tregtare, me pjesëmarrjen e shtetit dhe të Dhomës së Tregtisë dhe Industrisë, Tiranë.</w:t>
      </w:r>
    </w:p>
    <w:p w:rsidR="00A0624A" w:rsidRPr="007D2CBD" w:rsidRDefault="00A0624A" w:rsidP="00A0624A">
      <w:pPr>
        <w:pStyle w:val="Paragrafi0"/>
      </w:pPr>
      <w:r w:rsidRPr="007D2CBD">
        <w:t>2. Shteti, i përfaqësuar nga ministri përgjegjës për tregtinë dhe dhoma krijojnë një shoqëri të përbashkët, e cila do të marrë përsipër ngritjen dhe funksionimin e QPET-së, me seli në qytetin e Fushë-Krujës.</w:t>
      </w:r>
    </w:p>
    <w:p w:rsidR="00A0624A" w:rsidRPr="007D2CBD" w:rsidRDefault="00A0624A" w:rsidP="00A0624A">
      <w:pPr>
        <w:pStyle w:val="Paragrafi0"/>
      </w:pPr>
      <w:r w:rsidRPr="007D2CBD">
        <w:t>3. QPET-ja ngrihet brenda sipërfaqes së tokës bujqësore, në administrim të Ministrisë së Bujqësisë, Ushqimit dhe Mbrojtjes së Konsumatorit (QTTB, Fushë-Krujë), që përbëhet nga ngastrat me numër kadastral a-25/2 (nr. pasurie 334) dhe sipërfaqe 6 (gjashtë) ha, a-29/15 (nr. pasurie 329) dhe sipërfaqe 6,39 (gjashtë presje tridhjetë e nëntë) ha dhe a-40 (nr. pasurie 335), me sipërfaqe 5,3 (pesë presje tre) ha, sipas hartës së paraqitur në aneksin 1, që i bashkëlidhet këtij ligji.</w:t>
      </w:r>
    </w:p>
    <w:p w:rsidR="00A0624A" w:rsidRPr="007D2CBD" w:rsidRDefault="00A0624A" w:rsidP="00A0624A">
      <w:pPr>
        <w:pStyle w:val="Paragrafi0"/>
      </w:pPr>
      <w:r w:rsidRPr="007D2CBD">
        <w:t>Madhësia e sipërfaqes kalon në përgjegjësi administrimi nga Ministria e Bujqësisë, Ushqimit dhe Mbrojtjes së Konsumatorit te Ministria e Ekonomisë, Tregtisë dhe Energjetikës për QPET-në dhe përcaktohet sipas lejes së ndërtimit, që miraton KRRTRSH-ja.</w:t>
      </w:r>
    </w:p>
    <w:p w:rsidR="00A0624A" w:rsidRPr="007D2CBD" w:rsidRDefault="00A0624A" w:rsidP="00A0624A">
      <w:pPr>
        <w:pStyle w:val="Paragrafi0"/>
      </w:pPr>
    </w:p>
    <w:p w:rsidR="00A0624A" w:rsidRPr="007D2CBD" w:rsidRDefault="00A0624A" w:rsidP="00A0624A">
      <w:pPr>
        <w:pStyle w:val="NeniNr"/>
        <w:keepNext w:val="0"/>
      </w:pPr>
      <w:r w:rsidRPr="007D2CBD">
        <w:t>Neni 5</w:t>
      </w:r>
    </w:p>
    <w:p w:rsidR="00A0624A" w:rsidRPr="007D2CBD" w:rsidRDefault="00A0624A" w:rsidP="00A0624A">
      <w:pPr>
        <w:pStyle w:val="NeniTitull"/>
        <w:keepNext w:val="0"/>
      </w:pPr>
      <w:r w:rsidRPr="007D2CBD">
        <w:t>Pjesëmarrja e shtetit</w:t>
      </w:r>
    </w:p>
    <w:p w:rsidR="00A0624A" w:rsidRPr="007D2CBD" w:rsidRDefault="00A0624A" w:rsidP="00A0624A">
      <w:pPr>
        <w:pStyle w:val="Paragrafi0"/>
      </w:pPr>
    </w:p>
    <w:p w:rsidR="00A0624A" w:rsidRPr="007D2CBD" w:rsidRDefault="00A0624A" w:rsidP="00A0624A">
      <w:pPr>
        <w:pStyle w:val="Paragrafi0"/>
      </w:pPr>
      <w:r w:rsidRPr="007D2CBD">
        <w:t>1. Pjesëmarrja e shtetit në QPET realizohet me anë të kontributit në natyrë të sipërfaqes së tokës, sipas përcaktimeve në aneksin 1, që i bashkëlidhet këtij ligji.</w:t>
      </w:r>
    </w:p>
    <w:p w:rsidR="00A0624A" w:rsidRPr="007D2CBD" w:rsidRDefault="00A0624A" w:rsidP="00A0624A">
      <w:pPr>
        <w:pStyle w:val="Paragrafi0"/>
      </w:pPr>
      <w:r w:rsidRPr="007D2CBD">
        <w:t>2. Kontributi i shtetit vlerësohet në raport me vlerën e përgjithshme të investimit, që duhet për ngritjen dhe funksionimin e QPET-së, e cila mbulohet nga dhoma, në përputhje me ligjin nr.9901, datë 14.4.2008 “Për shoqëritë tregtare”.</w:t>
      </w:r>
    </w:p>
    <w:p w:rsidR="00A0624A" w:rsidRPr="007D2CBD" w:rsidRDefault="00A0624A" w:rsidP="00A0624A">
      <w:pPr>
        <w:pStyle w:val="Paragrafi0"/>
      </w:pPr>
      <w:r w:rsidRPr="007D2CBD">
        <w:t>3. Të drejtat, që lidhen me kuotën e aksioneve, që i përkasin shtetit, në shoqërinë që do të administrojë QPET-në, rregullohen në statutin e shoqërisë, ku, në çdo rast, shteti do të përfaqësohet në organet mbikëqyrëse dhe/ose drejtuese, pavarësisht nga kuota që zotëron.</w:t>
      </w:r>
    </w:p>
    <w:p w:rsidR="00A0624A" w:rsidRPr="007D2CBD" w:rsidRDefault="00A0624A" w:rsidP="00A0624A">
      <w:pPr>
        <w:pStyle w:val="Paragrafi0"/>
      </w:pPr>
    </w:p>
    <w:p w:rsidR="00A0624A" w:rsidRPr="007D2CBD" w:rsidRDefault="00A0624A" w:rsidP="00A0624A">
      <w:pPr>
        <w:pStyle w:val="NeniNr"/>
        <w:keepNext w:val="0"/>
      </w:pPr>
      <w:r w:rsidRPr="007D2CBD">
        <w:t>Neni 6</w:t>
      </w:r>
    </w:p>
    <w:p w:rsidR="00A0624A" w:rsidRPr="007D2CBD" w:rsidRDefault="00A0624A" w:rsidP="00A0624A">
      <w:pPr>
        <w:pStyle w:val="NeniTitull"/>
        <w:keepNext w:val="0"/>
      </w:pPr>
      <w:r w:rsidRPr="007D2CBD">
        <w:t>Statuti i QPET-së</w:t>
      </w:r>
    </w:p>
    <w:p w:rsidR="00A0624A" w:rsidRPr="007D2CBD" w:rsidRDefault="00A0624A" w:rsidP="00A0624A">
      <w:pPr>
        <w:pStyle w:val="Paragrafi0"/>
      </w:pPr>
    </w:p>
    <w:p w:rsidR="00A0624A" w:rsidRPr="007D2CBD" w:rsidRDefault="00A0624A" w:rsidP="00A0624A">
      <w:pPr>
        <w:pStyle w:val="Paragrafi0"/>
      </w:pPr>
      <w:r w:rsidRPr="007D2CBD">
        <w:t>Veprimtaria, funksionimi dhe organizimi i QPET-së përcaktohen në statut, i cili përmban:</w:t>
      </w:r>
    </w:p>
    <w:p w:rsidR="00A0624A" w:rsidRPr="007D2CBD" w:rsidRDefault="00A0624A" w:rsidP="00A0624A">
      <w:pPr>
        <w:pStyle w:val="Paragrafi0"/>
      </w:pPr>
      <w:r>
        <w:t xml:space="preserve">a) </w:t>
      </w:r>
      <w:r w:rsidRPr="007D2CBD">
        <w:t>adresën e selisë së QPET-së;</w:t>
      </w:r>
    </w:p>
    <w:p w:rsidR="00A0624A" w:rsidRPr="007D2CBD" w:rsidRDefault="00A0624A" w:rsidP="00A0624A">
      <w:pPr>
        <w:pStyle w:val="Paragrafi0"/>
      </w:pPr>
      <w:r>
        <w:t xml:space="preserve">b) </w:t>
      </w:r>
      <w:r w:rsidRPr="007D2CBD">
        <w:t>fushën e veprimtarisë;</w:t>
      </w:r>
    </w:p>
    <w:p w:rsidR="00A0624A" w:rsidRPr="007D2CBD" w:rsidRDefault="00A0624A" w:rsidP="00A0624A">
      <w:pPr>
        <w:pStyle w:val="Paragrafi0"/>
      </w:pPr>
      <w:r>
        <w:t xml:space="preserve">c) </w:t>
      </w:r>
      <w:r w:rsidRPr="007D2CBD">
        <w:t xml:space="preserve">mënyrën e organizimit, funksionet dhe organet drejtuese; </w:t>
      </w:r>
    </w:p>
    <w:p w:rsidR="00A0624A" w:rsidRPr="007D2CBD" w:rsidRDefault="00A0624A" w:rsidP="00A0624A">
      <w:pPr>
        <w:pStyle w:val="Paragrafi0"/>
      </w:pPr>
      <w:r w:rsidRPr="007D2CBD">
        <w:t>ç) përfaqësimin e QPET-së me të tretët.</w:t>
      </w:r>
    </w:p>
    <w:p w:rsidR="00A0624A" w:rsidRPr="007D2CBD" w:rsidRDefault="00A0624A" w:rsidP="00A0624A">
      <w:pPr>
        <w:pStyle w:val="Paragrafi0"/>
      </w:pPr>
    </w:p>
    <w:p w:rsidR="00A0624A" w:rsidRPr="007D2CBD" w:rsidRDefault="00A0624A" w:rsidP="00A0624A">
      <w:pPr>
        <w:pStyle w:val="NeniNr"/>
        <w:keepNext w:val="0"/>
      </w:pPr>
      <w:r w:rsidRPr="007D2CBD">
        <w:t>Neni 7</w:t>
      </w:r>
    </w:p>
    <w:p w:rsidR="00A0624A" w:rsidRPr="007D2CBD" w:rsidRDefault="00A0624A" w:rsidP="00A0624A">
      <w:pPr>
        <w:pStyle w:val="NeniTitull"/>
        <w:keepNext w:val="0"/>
      </w:pPr>
      <w:r w:rsidRPr="007D2CBD">
        <w:t>Administrimi</w:t>
      </w:r>
    </w:p>
    <w:p w:rsidR="00A0624A" w:rsidRPr="007D2CBD" w:rsidRDefault="00A0624A" w:rsidP="00A0624A">
      <w:pPr>
        <w:pStyle w:val="Paragrafi0"/>
      </w:pPr>
    </w:p>
    <w:p w:rsidR="00A0624A" w:rsidRPr="007D2CBD" w:rsidRDefault="00A0624A" w:rsidP="00A0624A">
      <w:pPr>
        <w:pStyle w:val="Paragrafi0"/>
      </w:pPr>
      <w:r>
        <w:t xml:space="preserve">1. </w:t>
      </w:r>
      <w:r w:rsidRPr="007D2CBD">
        <w:t>Forma dhe mënyra e administrimit të QPET-së do të përcaktohen në aktin e themelimit dhe në statutin e shoqërisë, të parashikuara në nenin 4 të këtij ligji.</w:t>
      </w:r>
    </w:p>
    <w:p w:rsidR="00A0624A" w:rsidRPr="007D2CBD" w:rsidRDefault="00A0624A" w:rsidP="00A0624A">
      <w:pPr>
        <w:pStyle w:val="Paragrafi0"/>
      </w:pPr>
      <w:r>
        <w:t xml:space="preserve">2. </w:t>
      </w:r>
      <w:r w:rsidRPr="007D2CBD">
        <w:t>Statusi i QPET-së përmban të dhënat e përcaktuara në nenet 32 e 36 të ligjit nr.9723, datë 3.5.2007 “Për Qendrën Kombëtare të Regjistrimit”, të ndryshuar.</w:t>
      </w:r>
    </w:p>
    <w:p w:rsidR="00A0624A" w:rsidRPr="007D2CBD" w:rsidRDefault="00A0624A" w:rsidP="00A0624A">
      <w:pPr>
        <w:pStyle w:val="Paragrafi0"/>
      </w:pPr>
    </w:p>
    <w:p w:rsidR="00A0624A" w:rsidRPr="007D2CBD" w:rsidRDefault="00A0624A" w:rsidP="00A0624A">
      <w:pPr>
        <w:pStyle w:val="NeniNr"/>
        <w:keepNext w:val="0"/>
      </w:pPr>
      <w:r w:rsidRPr="007D2CBD">
        <w:t>Neni 8</w:t>
      </w:r>
    </w:p>
    <w:p w:rsidR="00A0624A" w:rsidRPr="007D2CBD" w:rsidRDefault="00A0624A" w:rsidP="00A0624A">
      <w:pPr>
        <w:pStyle w:val="NeniTitull"/>
        <w:keepNext w:val="0"/>
      </w:pPr>
      <w:r w:rsidRPr="007D2CBD">
        <w:t>Veprimtaria e QPET-së</w:t>
      </w:r>
    </w:p>
    <w:p w:rsidR="00A0624A" w:rsidRPr="007D2CBD" w:rsidRDefault="00A0624A" w:rsidP="00A0624A">
      <w:pPr>
        <w:pStyle w:val="Paragrafi0"/>
      </w:pPr>
    </w:p>
    <w:p w:rsidR="00A0624A" w:rsidRPr="007D2CBD" w:rsidRDefault="00A0624A" w:rsidP="00A0624A">
      <w:pPr>
        <w:pStyle w:val="Paragrafi0"/>
      </w:pPr>
      <w:r w:rsidRPr="007D2CBD">
        <w:t>1. QPET-ja organizon panaire të përgjithshme, panaire kombëtare, ndërkombëtare dhe të specializuara, si dhe ekspozita tregtare.</w:t>
      </w:r>
    </w:p>
    <w:p w:rsidR="00A0624A" w:rsidRPr="007D2CBD" w:rsidRDefault="00A0624A" w:rsidP="00A0624A">
      <w:pPr>
        <w:pStyle w:val="Paragrafi0"/>
      </w:pPr>
      <w:r w:rsidRPr="007D2CBD">
        <w:t>2. QPET-ja nuk gëzon asnjë të drejtë ekskluzive për organizimin e veprimtarive të panaireve dhe të ekspozitave tregtare në Republikën e Shqipërisë, si dhe u nënshtrohet të njëjtave rregulla, për lejet dhe kalendarin e panaireve, sipas akteve ligjore e nënligjore në fuqi.</w:t>
      </w:r>
    </w:p>
    <w:p w:rsidR="00A0624A" w:rsidRPr="007D2CBD" w:rsidRDefault="00A0624A" w:rsidP="00A0624A">
      <w:pPr>
        <w:pStyle w:val="Paragrafi0"/>
        <w:ind w:firstLine="0"/>
      </w:pPr>
    </w:p>
    <w:p w:rsidR="00A0624A" w:rsidRPr="007D2CBD" w:rsidRDefault="00A0624A" w:rsidP="00A0624A">
      <w:pPr>
        <w:pStyle w:val="KapitulliTitull"/>
        <w:keepNext w:val="0"/>
      </w:pPr>
      <w:r w:rsidRPr="007D2CBD">
        <w:t>KREU  III</w:t>
      </w:r>
    </w:p>
    <w:p w:rsidR="00A0624A" w:rsidRPr="007D2CBD" w:rsidRDefault="00A0624A" w:rsidP="00A0624A">
      <w:pPr>
        <w:pStyle w:val="KapitulliTitull"/>
        <w:keepNext w:val="0"/>
      </w:pPr>
      <w:r w:rsidRPr="007D2CBD">
        <w:t>DISPOZITA KALIMTARE DHE TË FUNDIT</w:t>
      </w:r>
    </w:p>
    <w:p w:rsidR="00A0624A" w:rsidRPr="007D2CBD" w:rsidRDefault="00A0624A" w:rsidP="00A0624A">
      <w:pPr>
        <w:pStyle w:val="Paragrafi0"/>
      </w:pPr>
    </w:p>
    <w:p w:rsidR="00A0624A" w:rsidRPr="007D2CBD" w:rsidRDefault="00A0624A" w:rsidP="00A0624A">
      <w:pPr>
        <w:pStyle w:val="NeniNr"/>
        <w:keepNext w:val="0"/>
      </w:pPr>
      <w:r w:rsidRPr="007D2CBD">
        <w:t>Neni 9</w:t>
      </w:r>
    </w:p>
    <w:p w:rsidR="00A0624A" w:rsidRPr="007D2CBD" w:rsidRDefault="00A0624A" w:rsidP="00A0624A">
      <w:pPr>
        <w:pStyle w:val="Paragrafi0"/>
      </w:pPr>
    </w:p>
    <w:p w:rsidR="00A0624A" w:rsidRPr="007D2CBD" w:rsidRDefault="00A0624A" w:rsidP="00A0624A">
      <w:pPr>
        <w:pStyle w:val="Paragrafi0"/>
      </w:pPr>
      <w:r w:rsidRPr="007D2CBD">
        <w:t>Ngarkohet Ministri i Ekonomisë, Tregtisë dhe Energjetikës të nxjerrë aktet nënligjore në zbatim të këtij ligji.</w:t>
      </w:r>
    </w:p>
    <w:p w:rsidR="00A0624A" w:rsidRDefault="00A0624A" w:rsidP="00A0624A">
      <w:pPr>
        <w:pStyle w:val="Paragrafi0"/>
      </w:pPr>
    </w:p>
    <w:p w:rsidR="00A0624A" w:rsidRDefault="00A0624A" w:rsidP="00A0624A">
      <w:pPr>
        <w:pStyle w:val="Paragrafi0"/>
      </w:pPr>
    </w:p>
    <w:p w:rsidR="00A0624A" w:rsidRDefault="00A0624A" w:rsidP="00A0624A">
      <w:pPr>
        <w:pStyle w:val="Paragrafi0"/>
      </w:pPr>
    </w:p>
    <w:p w:rsidR="00A0624A" w:rsidRPr="007D2CBD" w:rsidRDefault="00A0624A" w:rsidP="00A0624A">
      <w:pPr>
        <w:pStyle w:val="Paragrafi0"/>
      </w:pPr>
    </w:p>
    <w:p w:rsidR="00A0624A" w:rsidRPr="007D2CBD" w:rsidRDefault="00A0624A" w:rsidP="00A0624A">
      <w:pPr>
        <w:pStyle w:val="NeniNr"/>
        <w:keepNext w:val="0"/>
      </w:pPr>
      <w:r w:rsidRPr="007D2CBD">
        <w:t>Neni 10</w:t>
      </w:r>
    </w:p>
    <w:p w:rsidR="00A0624A" w:rsidRPr="007D2CBD" w:rsidRDefault="00A0624A" w:rsidP="00A0624A">
      <w:pPr>
        <w:pStyle w:val="NeniTitull"/>
        <w:keepNext w:val="0"/>
      </w:pPr>
      <w:r w:rsidRPr="007D2CBD">
        <w:t>Hyrja në fuqi</w:t>
      </w:r>
    </w:p>
    <w:p w:rsidR="00A0624A" w:rsidRPr="007D2CBD" w:rsidRDefault="00A0624A" w:rsidP="00A0624A">
      <w:pPr>
        <w:pStyle w:val="Paragrafi0"/>
      </w:pPr>
    </w:p>
    <w:p w:rsidR="00A0624A" w:rsidRPr="007D2CBD" w:rsidRDefault="00A0624A" w:rsidP="00A0624A">
      <w:pPr>
        <w:pStyle w:val="Paragrafi0"/>
      </w:pPr>
      <w:r w:rsidRPr="007D2CBD">
        <w:t xml:space="preserve">Ky ligj hyn në fuqi 15 ditë pas botimit në Fletoren Zyrtare. </w:t>
      </w:r>
    </w:p>
    <w:p w:rsidR="00A0624A" w:rsidRPr="007D2CBD" w:rsidRDefault="00A0624A" w:rsidP="00A0624A">
      <w:pPr>
        <w:pStyle w:val="Paragrafi0"/>
      </w:pPr>
    </w:p>
    <w:p w:rsidR="00A0624A" w:rsidRPr="00B05F25" w:rsidRDefault="00A0624A" w:rsidP="00A0624A">
      <w:pPr>
        <w:pStyle w:val="Paragrafi0"/>
        <w:ind w:firstLine="0"/>
        <w:rPr>
          <w:b/>
          <w:sz w:val="23"/>
          <w:szCs w:val="23"/>
        </w:rPr>
      </w:pPr>
      <w:r w:rsidRPr="00B05F25">
        <w:rPr>
          <w:b/>
          <w:sz w:val="23"/>
          <w:szCs w:val="23"/>
        </w:rPr>
        <w:t>Shpallur me dekretin nr.6185, datë 25.5.2009 të Presidentit të Republikës së Shqipërisë, Bamir Topi</w:t>
      </w:r>
    </w:p>
    <w:p w:rsidR="00A0624A" w:rsidRPr="007D2CBD" w:rsidRDefault="00A0624A" w:rsidP="00A0624A">
      <w:pPr>
        <w:pStyle w:val="Paragrafi0"/>
      </w:pPr>
    </w:p>
    <w:p w:rsidR="00A0624A" w:rsidRDefault="00A0624A" w:rsidP="00A0624A">
      <w:pPr>
        <w:pStyle w:val="Paragrafi0"/>
      </w:pPr>
    </w:p>
    <w:p w:rsidR="00A0624A" w:rsidRPr="0047732D" w:rsidRDefault="000E14C6" w:rsidP="00A0624A">
      <w:pPr>
        <w:pStyle w:val="Figure"/>
      </w:pPr>
      <w:r w:rsidRPr="0047732D">
        <w:rPr>
          <w:noProof/>
        </w:rPr>
        <w:drawing>
          <wp:inline distT="0" distB="0" distL="0" distR="0">
            <wp:extent cx="5753100" cy="4695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24A" w:rsidRDefault="00A0624A" w:rsidP="00A0624A">
      <w:pPr>
        <w:pStyle w:val="Paragrafi0"/>
      </w:pPr>
    </w:p>
    <w:p w:rsidR="00A0624A" w:rsidRDefault="00A0624A" w:rsidP="00A0624A">
      <w:pPr>
        <w:pStyle w:val="Paragrafi0"/>
      </w:pPr>
    </w:p>
    <w:p w:rsidR="00A0624A" w:rsidRDefault="00A0624A" w:rsidP="00A0624A">
      <w:pPr>
        <w:pStyle w:val="Paragrafi0"/>
      </w:pPr>
    </w:p>
    <w:sectPr w:rsidR="00A0624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624A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4C6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ACF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24A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3289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71A84D-538F-45FE-BDE4-EFAAAE19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24A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A0624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A0624A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5918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