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739" w:rsidRPr="002C49E7" w:rsidRDefault="005D2739" w:rsidP="005D2739">
      <w:pPr>
        <w:pStyle w:val="Akti"/>
        <w:keepNext w:val="0"/>
      </w:pPr>
      <w:bookmarkStart w:id="0" w:name="_GoBack"/>
      <w:bookmarkEnd w:id="0"/>
      <w:r>
        <w:t>LI</w:t>
      </w:r>
      <w:r w:rsidRPr="002C49E7">
        <w:t>GJ</w:t>
      </w:r>
    </w:p>
    <w:p w:rsidR="005D2739" w:rsidRPr="002C49E7" w:rsidRDefault="005D2739" w:rsidP="005D2739">
      <w:pPr>
        <w:pStyle w:val="NumriData"/>
        <w:keepNext w:val="0"/>
      </w:pPr>
      <w:r>
        <w:t>Nr.</w:t>
      </w:r>
      <w:r w:rsidRPr="002C49E7">
        <w:t>10 149, datë 28.9.2009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Titulli0"/>
        <w:keepNext w:val="0"/>
      </w:pPr>
      <w:r w:rsidRPr="002C49E7">
        <w:t>PËR DISA NDRYSHIME E SHTESA NË LIGJIN NR.10 033, DATË 11.12.2008 “PËR LOJËRAT E FATIT”, TË NDRYSHUAR</w:t>
      </w:r>
    </w:p>
    <w:p w:rsidR="005D2739" w:rsidRPr="002C49E7" w:rsidRDefault="005D2739" w:rsidP="005D2739">
      <w:pPr>
        <w:pStyle w:val="Paragrafi0"/>
        <w:ind w:firstLine="0"/>
      </w:pPr>
    </w:p>
    <w:p w:rsidR="005D2739" w:rsidRPr="002C49E7" w:rsidRDefault="005D2739" w:rsidP="005D2739">
      <w:pPr>
        <w:pStyle w:val="Paragrafi0"/>
      </w:pPr>
      <w:r w:rsidRPr="002C49E7">
        <w:t xml:space="preserve">Në mbështetje të neneve 78 dhe 83 pika 1 të Kushtetutës, me propozimin e Këshillit të Ministrave, 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Institucioni"/>
        <w:keepNext w:val="0"/>
      </w:pPr>
      <w:r>
        <w:t>KUVEND</w:t>
      </w:r>
      <w:r w:rsidRPr="002C49E7">
        <w:t xml:space="preserve">I </w:t>
      </w:r>
    </w:p>
    <w:p w:rsidR="005D2739" w:rsidRPr="002C49E7" w:rsidRDefault="005D2739" w:rsidP="005D2739">
      <w:pPr>
        <w:pStyle w:val="Institucioni"/>
        <w:keepNext w:val="0"/>
      </w:pPr>
      <w:r w:rsidRPr="002C49E7">
        <w:t>I REPUBLIKËS SË SHQIPËRISË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VENDOSI0"/>
        <w:keepNext w:val="0"/>
      </w:pPr>
      <w:r>
        <w:t>VENDOS</w:t>
      </w:r>
      <w:r w:rsidRPr="002C49E7">
        <w:t>I: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Paragrafi0"/>
      </w:pPr>
      <w:r w:rsidRPr="002C49E7">
        <w:t>Në ligjin nr.10 033, datë  11.12.2008 “Për lojërat e fatit”, të ndryshuar, bëhen ndryshimet e shtesat e mëposhtme: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NeniNr"/>
        <w:keepNext w:val="0"/>
      </w:pPr>
      <w:r w:rsidRPr="002C49E7">
        <w:t>Neni 1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Paragrafi0"/>
      </w:pPr>
      <w:r w:rsidRPr="002C49E7">
        <w:t>Në nenin 12, pika 4 ndryshohet si më poshtë:</w:t>
      </w:r>
    </w:p>
    <w:p w:rsidR="005D2739" w:rsidRPr="002C49E7" w:rsidRDefault="005D2739" w:rsidP="005D2739">
      <w:pPr>
        <w:pStyle w:val="Paragrafi0"/>
      </w:pPr>
      <w:r w:rsidRPr="002C49E7">
        <w:t>“4. Shoqëritë e miratuara dhe të licencuara në fushën e lojërave të fatit derdhin në llogarinë e Njësisë së Mbikëqyrjes së Lojërave të Fatit 0,5 për qind të xhiros vjetore, por jo më pak se:</w:t>
      </w:r>
    </w:p>
    <w:p w:rsidR="005D2739" w:rsidRPr="002C49E7" w:rsidRDefault="005D2739" w:rsidP="005D2739">
      <w:pPr>
        <w:pStyle w:val="Paragrafi0"/>
      </w:pPr>
      <w:r w:rsidRPr="002C49E7">
        <w:t>a) 2 000 000 (dy milionë) lekë në vit për shoqëritë e licencuara për kazino dhe lotari kombëtare;</w:t>
      </w:r>
    </w:p>
    <w:p w:rsidR="005D2739" w:rsidRPr="002C49E7" w:rsidRDefault="005D2739" w:rsidP="005D2739">
      <w:pPr>
        <w:pStyle w:val="Paragrafi0"/>
      </w:pPr>
      <w:r w:rsidRPr="002C49E7">
        <w:t>b) 1 500 000 (një milion e pesëqind mijë) lekë në vit për shoqëritë që organizojnë kazino elektronike;</w:t>
      </w:r>
    </w:p>
    <w:p w:rsidR="005D2739" w:rsidRPr="002C49E7" w:rsidRDefault="005D2739" w:rsidP="005D2739">
      <w:pPr>
        <w:pStyle w:val="Paragrafi0"/>
      </w:pPr>
      <w:r w:rsidRPr="002C49E7">
        <w:t>c)  1 000 000 (një milion) lekë në vit për shoqëritë që organizojnë baste sportive dhe baste për gara në pistë;</w:t>
      </w:r>
    </w:p>
    <w:p w:rsidR="005D2739" w:rsidRPr="002C49E7" w:rsidRDefault="005D2739" w:rsidP="005D2739">
      <w:pPr>
        <w:pStyle w:val="Paragrafi0"/>
      </w:pPr>
      <w:r w:rsidRPr="002C49E7">
        <w:t>ç) 300 000 (treqind mijë) lekë në vit për shoqëritë që organizojnë bingo tradicionale e televizive.”.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NeniNr"/>
        <w:keepNext w:val="0"/>
      </w:pPr>
      <w:r w:rsidRPr="002C49E7">
        <w:t>Neni 2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Paragrafi0"/>
      </w:pPr>
      <w:r w:rsidRPr="002C49E7">
        <w:t>Në nenin 44 bëhen ndryshimet si më poshtë:</w:t>
      </w:r>
    </w:p>
    <w:p w:rsidR="005D2739" w:rsidRPr="002C49E7" w:rsidRDefault="005D2739" w:rsidP="005D2739">
      <w:pPr>
        <w:pStyle w:val="Paragrafi0"/>
      </w:pPr>
      <w:r w:rsidRPr="002C49E7">
        <w:t>Në pikën 5.3, shkronjat “a”,  “b” dhe “c” ndryshohen si më poshtë:</w:t>
      </w:r>
    </w:p>
    <w:p w:rsidR="005D2739" w:rsidRPr="002C49E7" w:rsidRDefault="005D2739" w:rsidP="005D2739">
      <w:pPr>
        <w:pStyle w:val="Paragrafi0"/>
      </w:pPr>
      <w:r w:rsidRPr="002C49E7">
        <w:t>“a) për rrethet e kategorisë së parë, 400 000 (katërqind mijë) lekë për çdo sallë dhe 100 000 (njëqind mijë) lekë për çdo makinë elektronike të tipit slot e videolotari;</w:t>
      </w:r>
    </w:p>
    <w:p w:rsidR="005D2739" w:rsidRPr="002C49E7" w:rsidRDefault="005D2739" w:rsidP="005D2739">
      <w:pPr>
        <w:pStyle w:val="Paragrafi0"/>
      </w:pPr>
      <w:r w:rsidRPr="002C49E7">
        <w:t>b)  për rrethet e kategorisë së dytë, 200 000 (dyqind mijë) lekë për çdo sallë dhe 60 000 (gjashtëdhjetë mijë) lekë për çdo makinë elektronike të tipit slot e videolotari;</w:t>
      </w:r>
    </w:p>
    <w:p w:rsidR="005D2739" w:rsidRPr="002C49E7" w:rsidRDefault="005D2739" w:rsidP="005D2739">
      <w:pPr>
        <w:pStyle w:val="Paragrafi0"/>
      </w:pPr>
      <w:r w:rsidRPr="002C49E7">
        <w:t>c)  për rrethet e kategorisë së tretë, 100 000 (njëqind mijë) lekë për çdo sallë dhe 40 000 (dyzet mijë) lekë për çdo makinë elektronike të tipit slot e videolotari;</w:t>
      </w:r>
    </w:p>
    <w:p w:rsidR="005D2739" w:rsidRDefault="005D2739" w:rsidP="005D2739">
      <w:pPr>
        <w:pStyle w:val="Paragrafi0"/>
      </w:pPr>
      <w:r w:rsidRPr="002C49E7">
        <w:t>ç) për çdo makinë elektronike me më shumë se një pozicion (ruletë) organizatori paguan një kuotë fikse mujore prej 1 000 000 (një milion) lekësh dhe 300 000 lekësh në muaj për çdo pozicion loje,  pavarësisht nga rrethi ku ushtron veprimtarinë.”.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NeniNr"/>
        <w:keepNext w:val="0"/>
      </w:pPr>
      <w:r w:rsidRPr="002C49E7">
        <w:t>Neni 3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Paragrafi0"/>
      </w:pPr>
      <w:r w:rsidRPr="002C49E7">
        <w:t>Në nenin 45 pika 2, shkronjat “a”, “b” dhe “c” ndryshohen si më poshtë:</w:t>
      </w:r>
    </w:p>
    <w:p w:rsidR="005D2739" w:rsidRPr="002C49E7" w:rsidRDefault="005D2739" w:rsidP="005D2739">
      <w:pPr>
        <w:pStyle w:val="Paragrafi0"/>
      </w:pPr>
      <w:r w:rsidRPr="002C49E7">
        <w:t>“a)  për tryezat me më shumë se një pozicion (ruletë), një taksë mujore në masën 300 0000 (treqind mijë) lekë në muaj për çdo pozicion;</w:t>
      </w:r>
    </w:p>
    <w:p w:rsidR="005D2739" w:rsidRDefault="005D2739" w:rsidP="005D2739">
      <w:pPr>
        <w:pStyle w:val="Paragrafi0"/>
      </w:pPr>
      <w:r w:rsidRPr="002C49E7">
        <w:t xml:space="preserve">b)  për </w:t>
      </w:r>
      <w:r>
        <w:t xml:space="preserve"> </w:t>
      </w:r>
      <w:r w:rsidRPr="002C49E7">
        <w:t xml:space="preserve">çdo </w:t>
      </w:r>
      <w:r>
        <w:t xml:space="preserve"> </w:t>
      </w:r>
      <w:r w:rsidRPr="002C49E7">
        <w:t xml:space="preserve">tryezë </w:t>
      </w:r>
      <w:r>
        <w:t xml:space="preserve"> </w:t>
      </w:r>
      <w:r w:rsidRPr="002C49E7">
        <w:t xml:space="preserve">të </w:t>
      </w:r>
      <w:r>
        <w:t xml:space="preserve"> </w:t>
      </w:r>
      <w:r w:rsidRPr="002C49E7">
        <w:t xml:space="preserve">lojërave </w:t>
      </w:r>
      <w:r>
        <w:t xml:space="preserve"> </w:t>
      </w:r>
      <w:r w:rsidRPr="002C49E7">
        <w:t xml:space="preserve">(me letra ose/dhe me zare), </w:t>
      </w:r>
      <w:r>
        <w:t xml:space="preserve"> </w:t>
      </w:r>
      <w:r w:rsidRPr="002C49E7">
        <w:t>një</w:t>
      </w:r>
      <w:r>
        <w:t xml:space="preserve"> </w:t>
      </w:r>
      <w:r w:rsidRPr="002C49E7">
        <w:t xml:space="preserve"> taksë </w:t>
      </w:r>
      <w:r>
        <w:t xml:space="preserve"> </w:t>
      </w:r>
      <w:r w:rsidRPr="002C49E7">
        <w:t xml:space="preserve">mujore </w:t>
      </w:r>
      <w:r>
        <w:t xml:space="preserve"> </w:t>
      </w:r>
      <w:r w:rsidRPr="002C49E7">
        <w:t xml:space="preserve">në </w:t>
      </w:r>
      <w:r>
        <w:t xml:space="preserve"> </w:t>
      </w:r>
      <w:r w:rsidRPr="002C49E7">
        <w:t>masën 1 500 000 (një milionë e pesëqind mijë) lekë;</w:t>
      </w:r>
    </w:p>
    <w:p w:rsidR="005D2739" w:rsidRPr="002C49E7" w:rsidRDefault="005D2739" w:rsidP="005D2739">
      <w:pPr>
        <w:pStyle w:val="Paragrafi0"/>
      </w:pPr>
      <w:r w:rsidRPr="002C49E7">
        <w:t>c) për lojërat elektronike dhe makinat slot, me fitim në çast dhe për videolotarinë, të vendosura në mjediset e kazinosë, një taksë mujore në masën 120 000 (njëqind e njëzetë mijë) lekë, për çdo kompjuter elektronik”.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NeniNr"/>
        <w:keepNext w:val="0"/>
      </w:pPr>
      <w:r w:rsidRPr="002C49E7">
        <w:t>Neni 4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Paragrafi0"/>
      </w:pPr>
      <w:r w:rsidRPr="002C49E7">
        <w:t>Në nenin 51, shkronja “b” ndryshohet si më poshtë:</w:t>
      </w:r>
    </w:p>
    <w:p w:rsidR="005D2739" w:rsidRPr="002C49E7" w:rsidRDefault="005D2739" w:rsidP="005D2739">
      <w:pPr>
        <w:pStyle w:val="Paragrafi0"/>
      </w:pPr>
      <w:r w:rsidRPr="002C49E7">
        <w:t>“b) konfiskimin e mjeteve të lojërave, magazinimin, si dhe shkatërrimin e tyre;”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NeniNr"/>
        <w:keepNext w:val="0"/>
      </w:pPr>
      <w:r w:rsidRPr="002C49E7">
        <w:t>Neni 5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Paragrafi0"/>
      </w:pPr>
      <w:r w:rsidRPr="002C49E7">
        <w:t>Në nenin 61 “Dispozita kalimtare”, në fund të pikës 2 shtohen paragrafët me këtë përmbajtje:</w:t>
      </w:r>
    </w:p>
    <w:p w:rsidR="005D2739" w:rsidRPr="002C49E7" w:rsidRDefault="005D2739" w:rsidP="005D2739">
      <w:pPr>
        <w:pStyle w:val="Paragrafi0"/>
      </w:pPr>
      <w:r w:rsidRPr="002C49E7">
        <w:t>“Organi tatimor kryen rimbursimin e shumave të dëmshpërblimit për subjektet, të cilave u është revokuar me ligj licenca për kategoritë e lojërave “lotari çasti” dhe “lotari me shorte”.</w:t>
      </w:r>
    </w:p>
    <w:p w:rsidR="005D2739" w:rsidRPr="002C49E7" w:rsidRDefault="005D2739" w:rsidP="005D2739">
      <w:pPr>
        <w:pStyle w:val="Paragrafi0"/>
      </w:pPr>
      <w:r w:rsidRPr="002C49E7">
        <w:t>Kriteret, mënyra, masa dhe forma e dëmshpërblimit përcaktohen me udhëzim të Ministrit të Financave.”.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NeniNr"/>
        <w:keepNext w:val="0"/>
      </w:pPr>
      <w:r w:rsidRPr="002C49E7">
        <w:t>Neni 6</w:t>
      </w:r>
    </w:p>
    <w:p w:rsidR="005D2739" w:rsidRPr="002C49E7" w:rsidRDefault="005D2739" w:rsidP="005D2739">
      <w:pPr>
        <w:pStyle w:val="Paragrafi0"/>
      </w:pPr>
    </w:p>
    <w:p w:rsidR="005D2739" w:rsidRPr="002C49E7" w:rsidRDefault="005D2739" w:rsidP="005D2739">
      <w:pPr>
        <w:pStyle w:val="Paragrafi0"/>
      </w:pPr>
      <w:r w:rsidRPr="002C49E7">
        <w:t>Ky ligj hyn në fuqi 15 ditë pas botimit në Fletoren Zyrtare.</w:t>
      </w:r>
    </w:p>
    <w:p w:rsidR="005D2739" w:rsidRPr="002C49E7" w:rsidRDefault="005D2739" w:rsidP="005D2739">
      <w:pPr>
        <w:pStyle w:val="Paragrafi0"/>
      </w:pPr>
    </w:p>
    <w:p w:rsidR="005D2739" w:rsidRPr="003F287F" w:rsidRDefault="005D2739" w:rsidP="005D2739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nr.6284, datë 7.10</w:t>
      </w:r>
      <w:r w:rsidRPr="003F287F">
        <w:rPr>
          <w:b/>
          <w:sz w:val="23"/>
          <w:szCs w:val="23"/>
        </w:rPr>
        <w:t>.2009 të Presidentit të Republikës së Shqipërisë, Bamir Topi</w:t>
      </w:r>
    </w:p>
    <w:sectPr w:rsidR="005D2739" w:rsidRPr="003F28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2739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2739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193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0C3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A785B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192A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3510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3D92E91-CEC5-4395-901F-948DF4A4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link w:val="ParagrafiChar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5D273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D2739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5D2739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