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027" w:rsidRPr="00BE61F6" w:rsidRDefault="000B4027" w:rsidP="000B4027">
      <w:pPr>
        <w:pStyle w:val="Akti"/>
      </w:pPr>
      <w:bookmarkStart w:id="0" w:name="_GoBack"/>
      <w:bookmarkEnd w:id="0"/>
      <w:r>
        <w:t>LIG</w:t>
      </w:r>
      <w:r w:rsidRPr="00BE61F6">
        <w:t xml:space="preserve">J </w:t>
      </w:r>
    </w:p>
    <w:p w:rsidR="000B4027" w:rsidRPr="00BE61F6" w:rsidRDefault="000B4027" w:rsidP="000B4027">
      <w:pPr>
        <w:pStyle w:val="NumriData"/>
      </w:pPr>
      <w:r>
        <w:t>Nr.</w:t>
      </w:r>
      <w:r w:rsidRPr="00BE61F6">
        <w:t>10 228, datë 4.2.2010</w:t>
      </w:r>
    </w:p>
    <w:p w:rsidR="000B4027" w:rsidRPr="00BE61F6" w:rsidRDefault="000B4027" w:rsidP="000B4027">
      <w:pPr>
        <w:pStyle w:val="Paragrafi0"/>
      </w:pPr>
    </w:p>
    <w:p w:rsidR="000B4027" w:rsidRPr="00BE61F6" w:rsidRDefault="000B4027" w:rsidP="000B4027">
      <w:pPr>
        <w:pStyle w:val="Titulli0"/>
      </w:pPr>
      <w:r w:rsidRPr="00BE61F6">
        <w:t>PËR DISA SHTESA DHE NDRYSHIME NË LIGJIN NR. 8438, DATË 28.12.1998 “PËR TATIMIN MBI TË ARDHURAT”,</w:t>
      </w:r>
      <w:r>
        <w:t xml:space="preserve"> </w:t>
      </w:r>
      <w:r w:rsidRPr="00BE61F6">
        <w:t>TË NDRYSHUAR</w:t>
      </w:r>
    </w:p>
    <w:p w:rsidR="000B4027" w:rsidRPr="00BE61F6" w:rsidRDefault="000B4027" w:rsidP="000B4027">
      <w:pPr>
        <w:pStyle w:val="Paragrafi0"/>
      </w:pPr>
    </w:p>
    <w:p w:rsidR="000B4027" w:rsidRPr="00BE61F6" w:rsidRDefault="000B4027" w:rsidP="000B4027">
      <w:pPr>
        <w:pStyle w:val="Paragrafi0"/>
      </w:pPr>
      <w:r w:rsidRPr="00BE61F6">
        <w:t xml:space="preserve">Në  mbështetje të neneve 78, 83 pika 1 dhe 155 të Kushtetutës, me propozimin e Këshillit të Ministrave, </w:t>
      </w:r>
    </w:p>
    <w:p w:rsidR="000B4027" w:rsidRPr="00803621" w:rsidRDefault="000B4027" w:rsidP="000B4027">
      <w:pPr>
        <w:pStyle w:val="Paragrafi0"/>
        <w:rPr>
          <w:sz w:val="14"/>
        </w:rPr>
      </w:pPr>
    </w:p>
    <w:p w:rsidR="000B4027" w:rsidRPr="00BE61F6" w:rsidRDefault="000B4027" w:rsidP="000B4027">
      <w:pPr>
        <w:pStyle w:val="VENDOSI0"/>
      </w:pPr>
      <w:r>
        <w:t>KUVEN</w:t>
      </w:r>
      <w:r w:rsidRPr="00BE61F6">
        <w:t xml:space="preserve"> I</w:t>
      </w:r>
    </w:p>
    <w:p w:rsidR="000B4027" w:rsidRPr="00BE61F6" w:rsidRDefault="000B4027" w:rsidP="000B4027">
      <w:pPr>
        <w:pStyle w:val="VENDOSI0"/>
      </w:pPr>
      <w:r w:rsidRPr="00BE61F6">
        <w:t>I REPUBLIKËS SË SHQIPËRISË</w:t>
      </w:r>
    </w:p>
    <w:p w:rsidR="000B4027" w:rsidRPr="00BE61F6" w:rsidRDefault="000B4027" w:rsidP="000B4027">
      <w:pPr>
        <w:pStyle w:val="VENDOSI0"/>
      </w:pPr>
    </w:p>
    <w:p w:rsidR="000B4027" w:rsidRPr="00BE61F6" w:rsidRDefault="000B4027" w:rsidP="000B4027">
      <w:pPr>
        <w:pStyle w:val="VENDOSI0"/>
      </w:pPr>
      <w:r>
        <w:t>VENDOS</w:t>
      </w:r>
      <w:r w:rsidRPr="00BE61F6">
        <w:t>I:</w:t>
      </w:r>
    </w:p>
    <w:p w:rsidR="000B4027" w:rsidRPr="00803621" w:rsidRDefault="000B4027" w:rsidP="000B4027">
      <w:pPr>
        <w:pStyle w:val="Paragrafi0"/>
        <w:rPr>
          <w:sz w:val="18"/>
        </w:rPr>
      </w:pPr>
    </w:p>
    <w:p w:rsidR="000B4027" w:rsidRPr="00BE61F6" w:rsidRDefault="000B4027" w:rsidP="000B4027">
      <w:pPr>
        <w:pStyle w:val="Paragrafi0"/>
      </w:pPr>
      <w:r w:rsidRPr="00BE61F6">
        <w:t>Në ligjin nr. 8438, datë 28.12.1998 “Për tatimin mbi të ardhurat”, të ndryshuar, bëhen këto shtesa dhe ndryshime:</w:t>
      </w:r>
    </w:p>
    <w:p w:rsidR="000B4027" w:rsidRPr="00BE61F6" w:rsidRDefault="000B4027" w:rsidP="000B4027">
      <w:pPr>
        <w:pStyle w:val="Paragrafi0"/>
      </w:pPr>
    </w:p>
    <w:p w:rsidR="000B4027" w:rsidRPr="00BE61F6" w:rsidRDefault="000B4027" w:rsidP="000B4027">
      <w:pPr>
        <w:pStyle w:val="NeniNr"/>
      </w:pPr>
      <w:r w:rsidRPr="00BE61F6">
        <w:t>Neni 1</w:t>
      </w:r>
    </w:p>
    <w:p w:rsidR="000B4027" w:rsidRPr="00BE61F6" w:rsidRDefault="000B4027" w:rsidP="000B4027">
      <w:pPr>
        <w:pStyle w:val="Paragrafi0"/>
      </w:pPr>
    </w:p>
    <w:p w:rsidR="000B4027" w:rsidRPr="00BE61F6" w:rsidRDefault="000B4027" w:rsidP="000B4027">
      <w:pPr>
        <w:pStyle w:val="Paragrafi0"/>
      </w:pPr>
      <w:r w:rsidRPr="00BE61F6">
        <w:t>Në nenin 8 “E ardhura e tatueshme”, pas shkronjës “gj” shtohet shkronja “h” me këtë përmbajtje:</w:t>
      </w:r>
    </w:p>
    <w:p w:rsidR="000B4027" w:rsidRPr="00BE61F6" w:rsidRDefault="000B4027" w:rsidP="000B4027">
      <w:pPr>
        <w:pStyle w:val="Paragrafi0"/>
      </w:pPr>
      <w:r w:rsidRPr="00BE61F6">
        <w:t>“h) të ardhurat në formë monetare për shtimin e kapitalit me burime nga jashtë shoqërisë, që nuk janë të tatuara më parë, ndërkohë që kanë qenë objekt tatimi dhe që nuk janë të shoqëruara me dokumente zyrtare, që vërtetojnë origjinën e këtyre të ardhurave. Procedurat përcaktohen me udhëzim të Ministrit të Financave.”.</w:t>
      </w:r>
    </w:p>
    <w:p w:rsidR="000B4027" w:rsidRPr="00803621" w:rsidRDefault="000B4027" w:rsidP="000B4027">
      <w:pPr>
        <w:pStyle w:val="NeniNr"/>
        <w:rPr>
          <w:sz w:val="16"/>
        </w:rPr>
      </w:pPr>
    </w:p>
    <w:p w:rsidR="000B4027" w:rsidRPr="00BE61F6" w:rsidRDefault="000B4027" w:rsidP="000B4027">
      <w:pPr>
        <w:pStyle w:val="NeniNr"/>
      </w:pPr>
      <w:r w:rsidRPr="00BE61F6">
        <w:t>Neni 2</w:t>
      </w:r>
    </w:p>
    <w:p w:rsidR="000B4027" w:rsidRPr="00BE61F6" w:rsidRDefault="000B4027" w:rsidP="000B4027">
      <w:pPr>
        <w:pStyle w:val="Paragrafi0"/>
      </w:pPr>
    </w:p>
    <w:p w:rsidR="000B4027" w:rsidRPr="00BE61F6" w:rsidRDefault="000B4027" w:rsidP="000B4027">
      <w:pPr>
        <w:pStyle w:val="Paragrafi0"/>
      </w:pPr>
      <w:r w:rsidRPr="00BE61F6">
        <w:t>Në nenin 12/6, në fund të pikës 1 shtohet një paragraf me këtë përmbajtje:</w:t>
      </w:r>
    </w:p>
    <w:p w:rsidR="000B4027" w:rsidRPr="00BE61F6" w:rsidRDefault="000B4027" w:rsidP="000B4027">
      <w:pPr>
        <w:pStyle w:val="Paragrafi0"/>
      </w:pPr>
      <w:r w:rsidRPr="00BE61F6">
        <w:t>“Personat fizikë dhe juridikë, subjekte të taksës vendore mbi biznesin e vogël, sipas kuptimit të nenit 10 të ligjit nr. 9632, datë 30.10.2006 “Për sistemin e taksave vendore”, me xhiro vjetore të parashikuar nën 2 milionë lekë, duhet të deklarojnë, sipas afateve të përcaktuara në këtë nen, vetëm nëse xhiroja vjetore për vitin ushtrimor kalon vlerën 2 milionë lekë.”.</w:t>
      </w:r>
    </w:p>
    <w:p w:rsidR="000B4027" w:rsidRDefault="000B4027" w:rsidP="000B4027">
      <w:pPr>
        <w:pStyle w:val="Paragrafi0"/>
      </w:pPr>
    </w:p>
    <w:p w:rsidR="000B4027" w:rsidRPr="00BE61F6" w:rsidRDefault="000B4027" w:rsidP="000B4027">
      <w:pPr>
        <w:pStyle w:val="NeniNr"/>
      </w:pPr>
      <w:r w:rsidRPr="00BE61F6">
        <w:t>Neni 3</w:t>
      </w:r>
    </w:p>
    <w:p w:rsidR="000B4027" w:rsidRPr="00BE61F6" w:rsidRDefault="000B4027" w:rsidP="000B4027">
      <w:pPr>
        <w:pStyle w:val="Paragrafi0"/>
      </w:pPr>
    </w:p>
    <w:p w:rsidR="000B4027" w:rsidRPr="00BE61F6" w:rsidRDefault="000B4027" w:rsidP="000B4027">
      <w:pPr>
        <w:pStyle w:val="Paragrafi0"/>
      </w:pPr>
      <w:r w:rsidRPr="00BE61F6">
        <w:t>Në nenin  16 “Fusha e veprimit të tatimit mbi fitimin” bëhen këto ndryshime:</w:t>
      </w:r>
    </w:p>
    <w:p w:rsidR="000B4027" w:rsidRPr="00BE61F6" w:rsidRDefault="000B4027" w:rsidP="000B4027">
      <w:pPr>
        <w:pStyle w:val="Paragrafi0"/>
      </w:pPr>
      <w:r w:rsidRPr="00BE61F6">
        <w:t>a) Në pikën 1, shkronja “c” ndryshohet si më poshtë:</w:t>
      </w:r>
    </w:p>
    <w:p w:rsidR="000B4027" w:rsidRPr="00BE61F6" w:rsidRDefault="000B4027" w:rsidP="000B4027">
      <w:pPr>
        <w:pStyle w:val="Paragrafi0"/>
      </w:pPr>
      <w:r w:rsidRPr="00BE61F6">
        <w:t>“c) çdo person tjetër, pavarësisht nga statusi ose forma ligjore e regjistrimit apo e njohjes së tij, kur ky është subjekt i tatimit mbi vlerën e shtuar, me përjashtim të rastit kur ky person është subjekt i tatimit mbi të ardhurat personale mbi biznesin e vogël;”.</w:t>
      </w:r>
    </w:p>
    <w:p w:rsidR="000B4027" w:rsidRPr="00BE61F6" w:rsidRDefault="000B4027" w:rsidP="000B4027">
      <w:pPr>
        <w:pStyle w:val="Paragrafi0"/>
      </w:pPr>
      <w:r w:rsidRPr="00BE61F6">
        <w:t>b) Pika 2 ndryshohet si më poshtë:</w:t>
      </w:r>
    </w:p>
    <w:p w:rsidR="000B4027" w:rsidRPr="00BE61F6" w:rsidRDefault="000B4027" w:rsidP="000B4027">
      <w:pPr>
        <w:pStyle w:val="Paragrafi0"/>
      </w:pPr>
      <w:r w:rsidRPr="00BE61F6">
        <w:t>“2. Çdo person, sipas kuptimit të këtij ligji, pavarësisht nga statusi ose forma ligjore e regjistrimit apo e njohjes së tij, kur është a bëhet subjekt i tatimit mbi fitimin, ka të drejtë të kërkojë çregjistrimin në çdo kohë, por jo të kalojë si subjekt, që i nënshtrohet tatimit mbi të ardhurat personale mbi biznesin e vogël.”.</w:t>
      </w:r>
    </w:p>
    <w:p w:rsidR="000B4027" w:rsidRPr="003A4580" w:rsidRDefault="000B4027" w:rsidP="000B4027">
      <w:pPr>
        <w:pStyle w:val="Paragrafi0"/>
        <w:rPr>
          <w:sz w:val="16"/>
        </w:rPr>
      </w:pPr>
    </w:p>
    <w:p w:rsidR="000B4027" w:rsidRPr="000B4027" w:rsidRDefault="000B4027" w:rsidP="000B4027">
      <w:pPr>
        <w:pStyle w:val="NeniNr"/>
        <w:rPr>
          <w:lang w:val="it-IT"/>
        </w:rPr>
      </w:pPr>
      <w:r w:rsidRPr="000B4027">
        <w:rPr>
          <w:lang w:val="it-IT"/>
        </w:rPr>
        <w:t>Neni 4</w:t>
      </w:r>
    </w:p>
    <w:p w:rsidR="000B4027" w:rsidRPr="000B4027" w:rsidRDefault="000B4027" w:rsidP="000B4027">
      <w:pPr>
        <w:pStyle w:val="Paragrafi0"/>
        <w:rPr>
          <w:lang w:val="it-IT"/>
        </w:rPr>
      </w:pPr>
    </w:p>
    <w:p w:rsidR="000B4027" w:rsidRPr="000B4027" w:rsidRDefault="000B4027" w:rsidP="000B4027">
      <w:pPr>
        <w:pStyle w:val="Paragrafi0"/>
        <w:rPr>
          <w:lang w:val="it-IT"/>
        </w:rPr>
      </w:pPr>
      <w:r w:rsidRPr="000B4027">
        <w:rPr>
          <w:lang w:val="it-IT"/>
        </w:rPr>
        <w:t>Në nenin 22 “Amortizimi”, pika 3 ndryshohet si më poshtë:</w:t>
      </w:r>
    </w:p>
    <w:p w:rsidR="000B4027" w:rsidRPr="000B4027" w:rsidRDefault="000B4027" w:rsidP="000B4027">
      <w:pPr>
        <w:pStyle w:val="Paragrafi0"/>
        <w:rPr>
          <w:lang w:val="it-IT"/>
        </w:rPr>
      </w:pPr>
      <w:r w:rsidRPr="000B4027">
        <w:rPr>
          <w:lang w:val="it-IT"/>
        </w:rPr>
        <w:t>“3. Kostot e blerjes ose të ndërtimit, kostot e përmirësimit, të rinovimit e të rikonstruksionit të ndërtesave, të konstruksioneve dhe makinerive e pajisjeve me afat të gjatë shërbimi, amortizohen veçmas, me vlerën e mbetur, me 5 për qind.”.</w:t>
      </w:r>
    </w:p>
    <w:p w:rsidR="000B4027" w:rsidRPr="000B4027" w:rsidRDefault="000B4027" w:rsidP="000B4027">
      <w:pPr>
        <w:pStyle w:val="Paragrafi0"/>
        <w:rPr>
          <w:sz w:val="16"/>
          <w:lang w:val="it-IT"/>
        </w:rPr>
      </w:pPr>
    </w:p>
    <w:p w:rsidR="000B4027" w:rsidRPr="000B4027" w:rsidRDefault="000B4027" w:rsidP="000B4027">
      <w:pPr>
        <w:pStyle w:val="NeniNr"/>
        <w:rPr>
          <w:lang w:val="it-IT"/>
        </w:rPr>
      </w:pPr>
      <w:r w:rsidRPr="000B4027">
        <w:rPr>
          <w:lang w:val="it-IT"/>
        </w:rPr>
        <w:t>Neni 5</w:t>
      </w:r>
    </w:p>
    <w:p w:rsidR="000B4027" w:rsidRPr="000B4027" w:rsidRDefault="000B4027" w:rsidP="000B4027">
      <w:pPr>
        <w:pStyle w:val="Paragrafi0"/>
        <w:rPr>
          <w:lang w:val="it-IT"/>
        </w:rPr>
      </w:pPr>
    </w:p>
    <w:p w:rsidR="000B4027" w:rsidRPr="000B4027" w:rsidRDefault="000B4027" w:rsidP="000B4027">
      <w:pPr>
        <w:pStyle w:val="Paragrafi0"/>
        <w:rPr>
          <w:lang w:val="it-IT"/>
        </w:rPr>
      </w:pPr>
      <w:r w:rsidRPr="000B4027">
        <w:rPr>
          <w:lang w:val="it-IT"/>
        </w:rPr>
        <w:lastRenderedPageBreak/>
        <w:t>Neni 33/1 “Destinimi i fitimit” ndryshohet si më poshtë:</w:t>
      </w:r>
    </w:p>
    <w:p w:rsidR="000B4027" w:rsidRPr="000B4027" w:rsidRDefault="000B4027" w:rsidP="000B4027">
      <w:pPr>
        <w:pStyle w:val="Paragrafi0"/>
        <w:rPr>
          <w:lang w:val="it-IT"/>
        </w:rPr>
      </w:pPr>
    </w:p>
    <w:p w:rsidR="000B4027" w:rsidRPr="000B4027" w:rsidRDefault="000B4027" w:rsidP="000B4027">
      <w:pPr>
        <w:pStyle w:val="NeniNr"/>
        <w:rPr>
          <w:lang w:val="it-IT"/>
        </w:rPr>
      </w:pPr>
      <w:r w:rsidRPr="000B4027">
        <w:rPr>
          <w:lang w:val="it-IT"/>
        </w:rPr>
        <w:t>“Neni 33/1</w:t>
      </w:r>
    </w:p>
    <w:p w:rsidR="000B4027" w:rsidRPr="000B4027" w:rsidRDefault="000B4027" w:rsidP="000B4027">
      <w:pPr>
        <w:pStyle w:val="NeniTitull"/>
        <w:rPr>
          <w:lang w:val="it-IT"/>
        </w:rPr>
      </w:pPr>
      <w:r w:rsidRPr="000B4027">
        <w:rPr>
          <w:lang w:val="it-IT"/>
        </w:rPr>
        <w:t>Depozitimi i vendimit për miratimin e rezultatit vjetor dhe destinimi i fitimit</w:t>
      </w:r>
    </w:p>
    <w:p w:rsidR="000B4027" w:rsidRPr="000B4027" w:rsidRDefault="000B4027" w:rsidP="000B4027">
      <w:pPr>
        <w:pStyle w:val="Paragrafi0"/>
        <w:rPr>
          <w:lang w:val="it-IT"/>
        </w:rPr>
      </w:pPr>
    </w:p>
    <w:p w:rsidR="000B4027" w:rsidRPr="00BE61F6" w:rsidRDefault="000B4027" w:rsidP="000B4027">
      <w:pPr>
        <w:pStyle w:val="Paragrafi0"/>
      </w:pPr>
      <w:r w:rsidRPr="00BE61F6">
        <w:t>1. Shoqëritë tregtare, sipas ligjit “Për tregtarët dhe shoqëritë tregtare”, të ndryshuar, pas pagimit të tatimit mbi fitimin, sipas dispozitave të kreut III të këtij ligji, brenda një afati prej 6 muajsh nga data e mbylljes së vitit financiar, duhet të miratojnë në asamblenë e ortakëve apo organin kompetent vendimmarrës të shoqërisë rezultatet financiare të vitit paraardhës dhe ta destinojnë fitimin pas tatimit, duke përcaktuar shumën e rezervave ligjore, pjesën që do të përdoret për investime ose për shtesë kapitali dhe pjesën që do të shpërndahet në formë dividendi.</w:t>
      </w:r>
    </w:p>
    <w:p w:rsidR="000B4027" w:rsidRPr="00BE61F6" w:rsidRDefault="000B4027" w:rsidP="000B4027">
      <w:pPr>
        <w:pStyle w:val="Paragrafi0"/>
      </w:pPr>
      <w:r w:rsidRPr="00BE61F6">
        <w:t>2. Shoqëritë tregtare dhe personat fizikë, sipas pikës 1 të këtij neni, duhet të depozitojnë pranë organeve tatimore, jo më vonë se data 31 korrik e vitit kalendarik, vendimin e organit përgjegjës/vendimin e personit fizik. Për paraqitjen me vonesë të këtij vendimi zbatohet një gjobë prej 10 000 (dhjetë mijë) lekësh për çdo muaj vonesë.</w:t>
      </w:r>
    </w:p>
    <w:p w:rsidR="000B4027" w:rsidRPr="00BE61F6" w:rsidRDefault="000B4027" w:rsidP="000B4027">
      <w:pPr>
        <w:pStyle w:val="Paragrafi0"/>
      </w:pPr>
      <w:r w:rsidRPr="00BE61F6">
        <w:t>3. Personi juridik duhet të derdhë për llogari të organit tatimor tatimin mbi dividendin e pagueshëm, sipas pikës 1 të këtij neni, jo më vonë se data 31 korrik e vitit kur bëhet miratimi i rezultateve, pavarësisht nëse është bërë ose jo shpërndarja e dividendit.</w:t>
      </w:r>
    </w:p>
    <w:p w:rsidR="000B4027" w:rsidRPr="00BE61F6" w:rsidRDefault="000B4027" w:rsidP="000B4027">
      <w:pPr>
        <w:pStyle w:val="Paragrafi0"/>
      </w:pPr>
      <w:r w:rsidRPr="00BE61F6">
        <w:t>4. Vendimi i asamblesë së ortakëve, i organit kompetent të shoqërisë/vendimi i personit fizik, sipas këtij neni, për miratimin e rezultatit dhe destinimin e fitimit pas tatimit, duhet të paraqitet në organin tatimor, në përputhje me afatin e përcaktuar në pikën 2 të këtij neni, edhe nëse rezultati për vitin ushtrimor ka qenë me humbje apo zero. Për mosdepozitimin e vendimit zbatohen penalitetet, sipas pikës 2 të  këtij neni.”.</w:t>
      </w:r>
    </w:p>
    <w:p w:rsidR="000B4027" w:rsidRPr="003A4580" w:rsidRDefault="000B4027" w:rsidP="000B4027">
      <w:pPr>
        <w:pStyle w:val="Paragrafi0"/>
        <w:rPr>
          <w:sz w:val="16"/>
        </w:rPr>
      </w:pPr>
    </w:p>
    <w:p w:rsidR="000B4027" w:rsidRPr="00BE61F6" w:rsidRDefault="000B4027" w:rsidP="000B4027">
      <w:pPr>
        <w:pStyle w:val="NeniNr"/>
      </w:pPr>
      <w:r w:rsidRPr="00BE61F6">
        <w:t>Neni 6</w:t>
      </w:r>
    </w:p>
    <w:p w:rsidR="000B4027" w:rsidRPr="00BE61F6" w:rsidRDefault="000B4027" w:rsidP="000B4027">
      <w:pPr>
        <w:pStyle w:val="NeniTitull"/>
      </w:pPr>
      <w:r w:rsidRPr="00BE61F6">
        <w:t>Hyrja në fuqi</w:t>
      </w:r>
    </w:p>
    <w:p w:rsidR="000B4027" w:rsidRPr="00BE61F6" w:rsidRDefault="000B4027" w:rsidP="000B4027">
      <w:pPr>
        <w:pStyle w:val="Paragrafi0"/>
      </w:pPr>
    </w:p>
    <w:p w:rsidR="000B4027" w:rsidRDefault="000B4027" w:rsidP="000B4027">
      <w:pPr>
        <w:pStyle w:val="Paragrafi0"/>
      </w:pPr>
      <w:r w:rsidRPr="00BE61F6">
        <w:t>Ky ligj hyn në fuqi 15 ditë pas botimit në Fletoren Zyrtare.</w:t>
      </w:r>
    </w:p>
    <w:p w:rsidR="000B4027" w:rsidRDefault="000B4027" w:rsidP="000B4027">
      <w:pPr>
        <w:pStyle w:val="Paragrafi0"/>
      </w:pPr>
    </w:p>
    <w:p w:rsidR="000B4027" w:rsidRDefault="000B4027" w:rsidP="000B4027">
      <w:pPr>
        <w:pStyle w:val="Shpallja"/>
        <w:rPr>
          <w:sz w:val="23"/>
          <w:szCs w:val="23"/>
        </w:rPr>
      </w:pPr>
      <w:r>
        <w:rPr>
          <w:sz w:val="23"/>
          <w:szCs w:val="23"/>
        </w:rPr>
        <w:t>Shpallur me dekretin nr.6429, datë 16.2.2010 të Presidentit të Republikës së Shqipërisë, Bamir Topi</w:t>
      </w:r>
    </w:p>
    <w:sectPr w:rsidR="000B4027" w:rsidSect="000B4027">
      <w:footerReference w:type="even" r:id="rId7"/>
      <w:footerReference w:type="default" r:id="rId8"/>
      <w:pgSz w:w="11907" w:h="16840" w:code="9"/>
      <w:pgMar w:top="1418" w:right="1418" w:bottom="1418" w:left="1418" w:header="1304" w:footer="1134" w:gutter="0"/>
      <w:pgNumType w:start="4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2B86">
      <w:r>
        <w:separator/>
      </w:r>
    </w:p>
  </w:endnote>
  <w:endnote w:type="continuationSeparator" w:id="0">
    <w:p w:rsidR="00000000" w:rsidRDefault="0074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027" w:rsidRDefault="000B4027" w:rsidP="000B40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4027" w:rsidRDefault="000B4027" w:rsidP="000B40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027" w:rsidRPr="00B62C06" w:rsidRDefault="000B4027" w:rsidP="000B4027">
    <w:pPr>
      <w:pStyle w:val="Footer"/>
      <w:framePr w:wrap="around" w:vAnchor="text" w:hAnchor="margin" w:xAlign="outside" w:y="1"/>
      <w:rPr>
        <w:rStyle w:val="PageNumber"/>
        <w:rFonts w:ascii="CG Times" w:hAnsi="CG Times"/>
        <w:sz w:val="22"/>
        <w:szCs w:val="22"/>
      </w:rPr>
    </w:pPr>
    <w:r w:rsidRPr="00B62C06">
      <w:rPr>
        <w:rStyle w:val="PageNumber"/>
        <w:rFonts w:ascii="CG Times" w:hAnsi="CG Times"/>
        <w:sz w:val="22"/>
        <w:szCs w:val="22"/>
      </w:rPr>
      <w:fldChar w:fldCharType="begin"/>
    </w:r>
    <w:r w:rsidRPr="00B62C06">
      <w:rPr>
        <w:rStyle w:val="PageNumber"/>
        <w:rFonts w:ascii="CG Times" w:hAnsi="CG Times"/>
        <w:sz w:val="22"/>
        <w:szCs w:val="22"/>
      </w:rPr>
      <w:instrText xml:space="preserve">PAGE  </w:instrText>
    </w:r>
    <w:r w:rsidRPr="00B62C06">
      <w:rPr>
        <w:rStyle w:val="PageNumber"/>
        <w:rFonts w:ascii="CG Times" w:hAnsi="CG Times"/>
        <w:sz w:val="22"/>
        <w:szCs w:val="22"/>
      </w:rPr>
      <w:fldChar w:fldCharType="separate"/>
    </w:r>
    <w:r w:rsidR="00742B86">
      <w:rPr>
        <w:rStyle w:val="PageNumber"/>
        <w:rFonts w:ascii="CG Times" w:hAnsi="CG Times"/>
        <w:noProof/>
        <w:sz w:val="22"/>
        <w:szCs w:val="22"/>
      </w:rPr>
      <w:t>410</w:t>
    </w:r>
    <w:r w:rsidRPr="00B62C06">
      <w:rPr>
        <w:rStyle w:val="PageNumber"/>
        <w:rFonts w:ascii="CG Times" w:hAnsi="CG Times"/>
        <w:sz w:val="22"/>
        <w:szCs w:val="22"/>
      </w:rPr>
      <w:fldChar w:fldCharType="end"/>
    </w:r>
  </w:p>
  <w:p w:rsidR="000B4027" w:rsidRDefault="000B4027" w:rsidP="000B40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2B86">
      <w:r>
        <w:separator/>
      </w:r>
    </w:p>
  </w:footnote>
  <w:footnote w:type="continuationSeparator" w:id="0">
    <w:p w:rsidR="00000000" w:rsidRDefault="00742B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4027"/>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4027"/>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2B86"/>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1C2D48-9FEF-4766-923E-926F2F36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027"/>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rsid w:val="000B4027"/>
    <w:pPr>
      <w:tabs>
        <w:tab w:val="center" w:pos="4680"/>
        <w:tab w:val="right" w:pos="9360"/>
      </w:tabs>
    </w:pPr>
    <w:rPr>
      <w:sz w:val="24"/>
    </w:rPr>
  </w:style>
  <w:style w:type="character" w:customStyle="1" w:styleId="FooterChar">
    <w:name w:val="Footer Char"/>
    <w:basedOn w:val="DefaultParagraphFont"/>
    <w:link w:val="Footer"/>
    <w:rsid w:val="000B4027"/>
    <w:rPr>
      <w:sz w:val="24"/>
      <w:szCs w:val="24"/>
      <w:lang w:val="sq-AL" w:eastAsia="en-US" w:bidi="ar-SA"/>
    </w:rPr>
  </w:style>
  <w:style w:type="character" w:styleId="PageNumber">
    <w:name w:val="page number"/>
    <w:basedOn w:val="DefaultParagraphFont"/>
    <w:rsid w:val="000B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n.fagu</dc:creator>
  <cp:keywords/>
  <dc:description/>
  <cp:lastModifiedBy>QBZ Admin</cp:lastModifiedBy>
  <cp:revision>2</cp:revision>
  <dcterms:created xsi:type="dcterms:W3CDTF">2019-03-22T09:58:00Z</dcterms:created>
  <dcterms:modified xsi:type="dcterms:W3CDTF">2019-03-22T09:58:00Z</dcterms:modified>
</cp:coreProperties>
</file>