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B3D" w:rsidRPr="00BA5F24" w:rsidRDefault="00413B3D" w:rsidP="00413B3D">
      <w:pPr>
        <w:pStyle w:val="Akti"/>
        <w:keepNext w:val="0"/>
        <w:rPr>
          <w:lang w:val="sq-AL"/>
        </w:rPr>
      </w:pPr>
      <w:bookmarkStart w:id="0" w:name="_GoBack"/>
      <w:bookmarkEnd w:id="0"/>
      <w:r w:rsidRPr="00BA5F24">
        <w:rPr>
          <w:lang w:val="sq-AL"/>
        </w:rPr>
        <w:t>LIGJ</w:t>
      </w:r>
    </w:p>
    <w:p w:rsidR="00413B3D" w:rsidRPr="00BA5F24" w:rsidRDefault="00413B3D" w:rsidP="00413B3D">
      <w:pPr>
        <w:pStyle w:val="NumriData"/>
        <w:keepNext w:val="0"/>
        <w:rPr>
          <w:lang w:val="sq-AL"/>
        </w:rPr>
      </w:pPr>
      <w:r w:rsidRPr="00BA5F24">
        <w:rPr>
          <w:lang w:val="sq-AL"/>
        </w:rPr>
        <w:t>Nr.10 293, datë 1.7.2010</w:t>
      </w:r>
    </w:p>
    <w:p w:rsidR="00413B3D" w:rsidRPr="00BA5F24" w:rsidRDefault="00413B3D" w:rsidP="00413B3D">
      <w:pPr>
        <w:pStyle w:val="Paragrafi0"/>
        <w:rPr>
          <w:b/>
          <w:bCs/>
          <w:caps/>
          <w:u w:val="single"/>
          <w:lang w:val="sq-AL"/>
        </w:rPr>
      </w:pPr>
    </w:p>
    <w:p w:rsidR="00413B3D" w:rsidRPr="00BA5F24" w:rsidRDefault="00413B3D" w:rsidP="00413B3D">
      <w:pPr>
        <w:pStyle w:val="Titulli0"/>
        <w:keepNext w:val="0"/>
        <w:rPr>
          <w:lang w:val="sq-AL"/>
        </w:rPr>
      </w:pPr>
      <w:r w:rsidRPr="00BA5F24">
        <w:rPr>
          <w:lang w:val="sq-AL"/>
        </w:rPr>
        <w:t>PËR DISA SHTESA DHE NDRYSHIME NË LIGJIN NR. 10 017, DATË 13.11.2008 “pËR PËRCAKTIMIN e POLIGONEVE TË ASGJËSIMIT TË MUNICIONEVE TË FORCAVE TË ARMATOSURA TË REPUBLIKËS SË SHQIPëRISË”</w:t>
      </w:r>
    </w:p>
    <w:p w:rsidR="00413B3D" w:rsidRPr="00BA5F24" w:rsidRDefault="00413B3D" w:rsidP="00413B3D">
      <w:pPr>
        <w:pStyle w:val="Paragrafi0"/>
        <w:rPr>
          <w:b/>
          <w:bCs/>
          <w:lang w:val="sq-AL"/>
        </w:rPr>
      </w:pPr>
    </w:p>
    <w:p w:rsidR="00413B3D" w:rsidRPr="00BA5F24" w:rsidRDefault="00413B3D" w:rsidP="00413B3D">
      <w:pPr>
        <w:pStyle w:val="Paragrafi0"/>
        <w:rPr>
          <w:bCs/>
          <w:lang w:val="sq-AL"/>
        </w:rPr>
      </w:pPr>
      <w:r w:rsidRPr="00BA5F24">
        <w:rPr>
          <w:bCs/>
          <w:lang w:val="sq-AL"/>
        </w:rPr>
        <w:t>Në mbështetje të neneve 78 dhe 83 pika 1 të Kushtetutës,</w:t>
      </w:r>
      <w:r w:rsidRPr="00BA5F24">
        <w:rPr>
          <w:lang w:val="sq-AL"/>
        </w:rPr>
        <w:t xml:space="preserve"> </w:t>
      </w:r>
      <w:r w:rsidRPr="00BA5F24">
        <w:rPr>
          <w:bCs/>
          <w:lang w:val="sq-AL"/>
        </w:rPr>
        <w:t xml:space="preserve">me propozimin e Këshillit të Ministrave, </w:t>
      </w:r>
    </w:p>
    <w:p w:rsidR="00413B3D" w:rsidRPr="00BA5F24" w:rsidRDefault="00413B3D" w:rsidP="00413B3D">
      <w:pPr>
        <w:pStyle w:val="Paragrafi0"/>
        <w:ind w:firstLine="0"/>
        <w:rPr>
          <w:lang w:val="sq-AL"/>
        </w:rPr>
      </w:pPr>
    </w:p>
    <w:p w:rsidR="00413B3D" w:rsidRPr="00413B3D" w:rsidRDefault="00413B3D" w:rsidP="00413B3D">
      <w:pPr>
        <w:pStyle w:val="Institucioni"/>
        <w:keepNext w:val="0"/>
        <w:rPr>
          <w:lang w:val="it-IT"/>
        </w:rPr>
      </w:pPr>
      <w:r w:rsidRPr="00413B3D">
        <w:rPr>
          <w:lang w:val="it-IT"/>
        </w:rPr>
        <w:t>KUVENDI</w:t>
      </w:r>
    </w:p>
    <w:p w:rsidR="00413B3D" w:rsidRPr="00413B3D" w:rsidRDefault="00413B3D" w:rsidP="00413B3D">
      <w:pPr>
        <w:pStyle w:val="Institucioni"/>
        <w:keepNext w:val="0"/>
        <w:rPr>
          <w:lang w:val="it-IT"/>
        </w:rPr>
      </w:pPr>
      <w:r w:rsidRPr="00413B3D">
        <w:rPr>
          <w:lang w:val="it-IT"/>
        </w:rPr>
        <w:t>I REPUBLIKËS SË SHQIPËRISË</w:t>
      </w:r>
    </w:p>
    <w:p w:rsidR="00413B3D" w:rsidRPr="00BA5F24" w:rsidRDefault="00413B3D" w:rsidP="00413B3D">
      <w:pPr>
        <w:pStyle w:val="Paragrafi0"/>
        <w:rPr>
          <w:b/>
          <w:lang w:val="sq-AL"/>
        </w:rPr>
      </w:pPr>
    </w:p>
    <w:p w:rsidR="00413B3D" w:rsidRPr="00413B3D" w:rsidRDefault="00413B3D" w:rsidP="00413B3D">
      <w:pPr>
        <w:pStyle w:val="VENDOSI0"/>
        <w:keepNext w:val="0"/>
        <w:rPr>
          <w:lang w:val="it-IT"/>
        </w:rPr>
      </w:pPr>
      <w:r w:rsidRPr="00413B3D">
        <w:rPr>
          <w:lang w:val="it-IT"/>
        </w:rPr>
        <w:t>VENDOSI: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Në ligjin nr. 10 017, datë 13.11.2008 “Për përcaktimin e poligoneve të asgjësimit të municioneve të Forcave të Armatosura të Republikës së Shqipërisë”, bëhen këto shtesa dhe ndryshime:</w:t>
      </w:r>
    </w:p>
    <w:p w:rsidR="00413B3D" w:rsidRPr="00787F6F" w:rsidRDefault="00413B3D" w:rsidP="00413B3D">
      <w:pPr>
        <w:pStyle w:val="Paragrafi0"/>
        <w:rPr>
          <w:sz w:val="18"/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sq-AL"/>
        </w:rPr>
      </w:pPr>
      <w:r w:rsidRPr="00413B3D">
        <w:rPr>
          <w:lang w:val="sq-AL"/>
        </w:rPr>
        <w:t>Neni 1</w:t>
      </w:r>
    </w:p>
    <w:p w:rsidR="00413B3D" w:rsidRPr="00787F6F" w:rsidRDefault="00413B3D" w:rsidP="00413B3D">
      <w:pPr>
        <w:pStyle w:val="Paragrafi0"/>
        <w:rPr>
          <w:sz w:val="18"/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Në nenin 4 pika 1, pas shkronjës “ë” shtohen shkronjat “f”, “g”, “gj” dhe “h” me këtë përmbajtje: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“f) poligoni Kepi i Skënderbeut, Mat;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g) poligoni Zharrë, Tepelenë;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gj) poligoni Mali i Tërpanit, Berat;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h) poligoni Qafa e Barit, Labinot Mal.”.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sq-AL"/>
        </w:rPr>
      </w:pPr>
      <w:r w:rsidRPr="00413B3D">
        <w:rPr>
          <w:lang w:val="sq-AL"/>
        </w:rPr>
        <w:t>Neni 2</w:t>
      </w:r>
    </w:p>
    <w:p w:rsidR="00413B3D" w:rsidRPr="00787F6F" w:rsidRDefault="00413B3D" w:rsidP="00413B3D">
      <w:pPr>
        <w:pStyle w:val="Paragrafi0"/>
        <w:rPr>
          <w:sz w:val="18"/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Pas nenit 4 shtohet neni 4/1 me këtë përmbajtje:</w:t>
      </w:r>
    </w:p>
    <w:p w:rsidR="00413B3D" w:rsidRPr="00787F6F" w:rsidRDefault="00413B3D" w:rsidP="00413B3D">
      <w:pPr>
        <w:pStyle w:val="Paragrafi0"/>
        <w:rPr>
          <w:sz w:val="18"/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it-IT"/>
        </w:rPr>
      </w:pPr>
      <w:r w:rsidRPr="00413B3D">
        <w:rPr>
          <w:lang w:val="it-IT"/>
        </w:rPr>
        <w:t>“Neni 4/1</w:t>
      </w:r>
    </w:p>
    <w:p w:rsidR="00413B3D" w:rsidRPr="00413B3D" w:rsidRDefault="00413B3D" w:rsidP="00413B3D">
      <w:pPr>
        <w:pStyle w:val="NeniTitull"/>
        <w:keepNext w:val="0"/>
        <w:rPr>
          <w:lang w:val="it-IT"/>
        </w:rPr>
      </w:pPr>
      <w:r w:rsidRPr="00413B3D">
        <w:rPr>
          <w:lang w:val="it-IT"/>
        </w:rPr>
        <w:t>Poligonet për asgjësimin e barutit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1. Poligonet për asgjësimin e barutit të Forcave të Armatosura janë: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a) poligoni Xibrakë, Elbasan;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b) poligoni Lumi i Oltës, Gramsh.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2.  Koordinatat e poligoneve të asgjësimit të barutit të Forcave të Armatosura janë të përcaktuara në genplanet, që i bashkëlidhen këtij ligji.”.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it-IT"/>
        </w:rPr>
      </w:pPr>
      <w:r w:rsidRPr="00413B3D">
        <w:rPr>
          <w:lang w:val="it-IT"/>
        </w:rPr>
        <w:t>Neni 3</w:t>
      </w:r>
    </w:p>
    <w:p w:rsidR="00413B3D" w:rsidRPr="00787F6F" w:rsidRDefault="00413B3D" w:rsidP="00413B3D">
      <w:pPr>
        <w:pStyle w:val="Paragrafi0"/>
        <w:rPr>
          <w:sz w:val="18"/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Neni 10 ndryshohet si më poshtë:</w:t>
      </w:r>
    </w:p>
    <w:p w:rsidR="00413B3D" w:rsidRPr="00787F6F" w:rsidRDefault="00413B3D" w:rsidP="00413B3D">
      <w:pPr>
        <w:pStyle w:val="Paragrafi0"/>
        <w:rPr>
          <w:sz w:val="18"/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sq-AL"/>
        </w:rPr>
      </w:pPr>
      <w:r w:rsidRPr="00413B3D">
        <w:rPr>
          <w:lang w:val="sq-AL"/>
        </w:rPr>
        <w:t>“Neni 10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1. Ndalohet realizimi i asgjësimit të municioneve në det dhe jashtë kufirit shtetëror.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 xml:space="preserve">2. Distancat e sigurisë nga instalimet e shpimit dhe të shfrytëzimit të naftës, qendrat e banuara, rezervuarët, digat dhe vendet me rezerva të burimeve nënujore, monumentet e  natyrës, zonat e mbrojtura, monumentet e kulturës të kategorisë I e II e zonat e tyre të mbrojtura dhe korridoret e hyrjes e të daljes së aviacionit civil në  hapësirën ajrore të vendit do të jenë sipas </w:t>
      </w:r>
      <w:r w:rsidRPr="00BA5F24">
        <w:rPr>
          <w:lang w:val="sq-AL"/>
        </w:rPr>
        <w:lastRenderedPageBreak/>
        <w:t>përcaktimeve të bëra nga Ministria e Mbrojtjes, në përputhje me standardet e asgjësimit të municioneve.</w:t>
      </w: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3. Për përcaktimin e këtyre distancave merret mendimi i Agjencisë së Shërbimit Arkeologjik, ndërsa për distancat e sigurisë nga digat e rezervuarëve të bujqësisë merret mendimi  i Komitetit Kombëtar të Digave të Mëdha.”.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sq-AL"/>
        </w:rPr>
      </w:pPr>
      <w:r w:rsidRPr="00413B3D">
        <w:rPr>
          <w:lang w:val="sq-AL"/>
        </w:rPr>
        <w:t>Neni 4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Genplaneve të përmendura në nenin 4, bashkëlidhur ligjit, i shtohen genplanet që i bashkëlidhen këtij ligji.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413B3D" w:rsidRDefault="00413B3D" w:rsidP="00413B3D">
      <w:pPr>
        <w:pStyle w:val="NeniNr"/>
        <w:keepNext w:val="0"/>
        <w:rPr>
          <w:lang w:val="sq-AL"/>
        </w:rPr>
      </w:pPr>
      <w:r w:rsidRPr="00413B3D">
        <w:rPr>
          <w:lang w:val="sq-AL"/>
        </w:rPr>
        <w:t>Neni 5</w:t>
      </w:r>
    </w:p>
    <w:p w:rsidR="00413B3D" w:rsidRPr="00BA5F24" w:rsidRDefault="00413B3D" w:rsidP="00413B3D">
      <w:pPr>
        <w:pStyle w:val="Paragrafi0"/>
        <w:rPr>
          <w:lang w:val="sq-AL"/>
        </w:rPr>
      </w:pPr>
    </w:p>
    <w:p w:rsidR="00413B3D" w:rsidRPr="00BA5F24" w:rsidRDefault="00413B3D" w:rsidP="00413B3D">
      <w:pPr>
        <w:pStyle w:val="Paragrafi0"/>
        <w:rPr>
          <w:lang w:val="sq-AL"/>
        </w:rPr>
      </w:pPr>
      <w:r w:rsidRPr="00BA5F24">
        <w:rPr>
          <w:lang w:val="sq-AL"/>
        </w:rPr>
        <w:t>Ky ligj hyn në fuqi 15 ditë pas botimit në Fletoren Zyrtare.</w:t>
      </w:r>
    </w:p>
    <w:p w:rsidR="00413B3D" w:rsidRPr="00BA5F24" w:rsidRDefault="00413B3D" w:rsidP="00413B3D">
      <w:pPr>
        <w:pStyle w:val="Paragrafi0"/>
        <w:ind w:firstLine="0"/>
        <w:rPr>
          <w:lang w:val="sq-AL"/>
        </w:rPr>
      </w:pPr>
    </w:p>
    <w:p w:rsidR="00413B3D" w:rsidRPr="00BA5F24" w:rsidRDefault="00413B3D" w:rsidP="00413B3D">
      <w:pPr>
        <w:pStyle w:val="Paragrafi0"/>
        <w:ind w:firstLine="0"/>
        <w:rPr>
          <w:sz w:val="23"/>
          <w:szCs w:val="23"/>
          <w:lang w:val="sq-AL"/>
        </w:rPr>
      </w:pPr>
      <w:r w:rsidRPr="00BA5F24">
        <w:rPr>
          <w:b/>
          <w:bCs/>
          <w:sz w:val="23"/>
          <w:szCs w:val="23"/>
          <w:lang w:val="sq-AL"/>
        </w:rPr>
        <w:t>Shpallur me dekretin nr.6643, datë 15.7.2010 të Presidentit të Republikës së Shqipërisë, Bamir Topi</w:t>
      </w:r>
    </w:p>
    <w:p w:rsidR="00413B3D" w:rsidRPr="00BA5F24" w:rsidRDefault="00413B3D" w:rsidP="00413B3D">
      <w:pPr>
        <w:pStyle w:val="Akti"/>
        <w:keepNext w:val="0"/>
        <w:rPr>
          <w:lang w:val="sq-AL"/>
        </w:rPr>
      </w:pPr>
    </w:p>
    <w:p w:rsidR="00413B3D" w:rsidRPr="00BA5F24" w:rsidRDefault="00413B3D" w:rsidP="00413B3D">
      <w:pPr>
        <w:pStyle w:val="Akti"/>
        <w:keepNext w:val="0"/>
        <w:jc w:val="left"/>
        <w:rPr>
          <w:lang w:val="sq-AL"/>
        </w:rPr>
      </w:pPr>
    </w:p>
    <w:p w:rsidR="00413B3D" w:rsidRDefault="00413B3D" w:rsidP="000104BC">
      <w:pPr>
        <w:pStyle w:val="Paragrafi0"/>
        <w:rPr>
          <w:noProof/>
        </w:rPr>
      </w:pPr>
    </w:p>
    <w:p w:rsidR="00413B3D" w:rsidRDefault="00DF3EC3" w:rsidP="00413B3D">
      <w:pPr>
        <w:pStyle w:val="Figure"/>
      </w:pPr>
      <w:r w:rsidRPr="000028AA">
        <w:rPr>
          <w:noProof/>
        </w:rPr>
        <w:lastRenderedPageBreak/>
        <w:drawing>
          <wp:inline distT="0" distB="0" distL="0" distR="0">
            <wp:extent cx="8115300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115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3D" w:rsidRDefault="00DF3EC3" w:rsidP="00413B3D">
      <w:pPr>
        <w:pStyle w:val="Figure"/>
      </w:pPr>
      <w:r w:rsidRPr="000028AA">
        <w:rPr>
          <w:noProof/>
        </w:rPr>
        <w:lastRenderedPageBreak/>
        <w:drawing>
          <wp:inline distT="0" distB="0" distL="0" distR="0">
            <wp:extent cx="8048625" cy="4819650"/>
            <wp:effectExtent l="0" t="4762" r="4762" b="4763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0486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3D" w:rsidRDefault="00413B3D" w:rsidP="000104BC">
      <w:pPr>
        <w:pStyle w:val="Paragrafi0"/>
      </w:pPr>
    </w:p>
    <w:p w:rsidR="00413B3D" w:rsidRDefault="00DF3EC3" w:rsidP="00413B3D">
      <w:pPr>
        <w:pStyle w:val="Figure"/>
      </w:pPr>
      <w:r w:rsidRPr="000028AA">
        <w:rPr>
          <w:noProof/>
        </w:rPr>
        <w:lastRenderedPageBreak/>
        <w:drawing>
          <wp:inline distT="0" distB="0" distL="0" distR="0">
            <wp:extent cx="7305675" cy="4705350"/>
            <wp:effectExtent l="4763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3056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DF3EC3" w:rsidP="00413B3D">
      <w:pPr>
        <w:pStyle w:val="Figure"/>
      </w:pPr>
      <w:r w:rsidRPr="000028AA">
        <w:rPr>
          <w:noProof/>
        </w:rPr>
        <w:drawing>
          <wp:inline distT="0" distB="0" distL="0" distR="0">
            <wp:extent cx="7181850" cy="4695825"/>
            <wp:effectExtent l="4762" t="0" r="4763" b="4762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1818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DF3EC3" w:rsidP="00413B3D">
      <w:pPr>
        <w:pStyle w:val="Figure"/>
      </w:pPr>
      <w:r w:rsidRPr="000028AA">
        <w:rPr>
          <w:noProof/>
        </w:rPr>
        <w:drawing>
          <wp:inline distT="0" distB="0" distL="0" distR="0">
            <wp:extent cx="7600950" cy="4705350"/>
            <wp:effectExtent l="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6009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3D" w:rsidRDefault="00413B3D" w:rsidP="000104BC">
      <w:pPr>
        <w:pStyle w:val="Paragrafi0"/>
      </w:pPr>
    </w:p>
    <w:p w:rsidR="00413B3D" w:rsidRDefault="00413B3D" w:rsidP="000104BC">
      <w:pPr>
        <w:pStyle w:val="Paragrafi0"/>
      </w:pPr>
    </w:p>
    <w:p w:rsidR="00413B3D" w:rsidRDefault="00DF3EC3" w:rsidP="00413B3D">
      <w:pPr>
        <w:pStyle w:val="Figure"/>
      </w:pPr>
      <w:r w:rsidRPr="000028AA">
        <w:rPr>
          <w:noProof/>
        </w:rPr>
        <w:drawing>
          <wp:inline distT="0" distB="0" distL="0" distR="0">
            <wp:extent cx="7877175" cy="4705350"/>
            <wp:effectExtent l="4763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8771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B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13B3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4BC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3B3D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EF2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220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D84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0D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3EC3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AF7A15-6B2B-43CC-967B-940F034F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B3D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hAnsi="Bookman Old Style"/>
      <w:szCs w:val="20"/>
      <w:lang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</w:style>
  <w:style w:type="paragraph" w:customStyle="1" w:styleId="MainParagraph">
    <w:name w:val="Main Paragraph"/>
    <w:basedOn w:val="Normal"/>
    <w:rsid w:val="00A003B4"/>
    <w:pPr>
      <w:jc w:val="both"/>
    </w:pPr>
    <w:rPr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413B3D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413B3D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2019-03-22T10:22:00Z</dcterms:created>
  <dcterms:modified xsi:type="dcterms:W3CDTF">2019-03-22T10:22:00Z</dcterms:modified>
</cp:coreProperties>
</file>