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736" w:rsidRPr="00ED7D22" w:rsidRDefault="00B23736" w:rsidP="00B23736">
      <w:pPr>
        <w:pStyle w:val="Akti"/>
        <w:rPr>
          <w:lang w:val="sq-AL"/>
        </w:rPr>
      </w:pPr>
      <w:bookmarkStart w:id="0" w:name="_GoBack"/>
      <w:bookmarkEnd w:id="0"/>
      <w:r w:rsidRPr="00ED7D22">
        <w:rPr>
          <w:lang w:val="sq-AL"/>
        </w:rPr>
        <w:t>LIGJ</w:t>
      </w:r>
    </w:p>
    <w:p w:rsidR="00B23736" w:rsidRPr="00ED7D22" w:rsidRDefault="00B23736" w:rsidP="00B23736">
      <w:pPr>
        <w:pStyle w:val="NumriData"/>
        <w:rPr>
          <w:szCs w:val="22"/>
          <w:lang w:val="sq-AL"/>
        </w:rPr>
      </w:pPr>
      <w:r w:rsidRPr="00ED7D22">
        <w:rPr>
          <w:szCs w:val="22"/>
          <w:lang w:val="sq-AL"/>
        </w:rPr>
        <w:t>Nr.10 321, datë 23.9.2010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Titulli0"/>
        <w:rPr>
          <w:lang w:val="sq-AL"/>
        </w:rPr>
      </w:pPr>
      <w:r w:rsidRPr="00ED7D22">
        <w:rPr>
          <w:lang w:val="sq-AL"/>
        </w:rPr>
        <w:t>PËR RATIFIKIMIN E INSTRUMENTEVE QË NDRYSHOJNË KUSHTETUTËN DHE KONVENTËN E BASHKIMIT NDËRKOMBËTAR TË TELEKOMUNIKACIONEVE (GJENEVË, 1992), TË NDRYSHUAR NGA KONFERENCA FUQIPLOTË (ANTALYA, 2006)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Në mbështetje të neneve 78, 83 pika 1 dhe 121 të Kushtetutës, me propozimin e Këshillit të Ministrave,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Institucioni"/>
        <w:rPr>
          <w:lang w:val="sq-AL"/>
        </w:rPr>
      </w:pPr>
      <w:r w:rsidRPr="00ED7D22">
        <w:rPr>
          <w:lang w:val="sq-AL"/>
        </w:rPr>
        <w:t>KUVENDI</w:t>
      </w:r>
    </w:p>
    <w:p w:rsidR="00B23736" w:rsidRPr="00ED7D22" w:rsidRDefault="00B23736" w:rsidP="00B23736">
      <w:pPr>
        <w:pStyle w:val="Institucioni"/>
        <w:rPr>
          <w:lang w:val="sq-AL"/>
        </w:rPr>
      </w:pPr>
      <w:r w:rsidRPr="00ED7D22">
        <w:rPr>
          <w:lang w:val="sq-AL"/>
        </w:rPr>
        <w:t>I REPUBLIKËS SË SHQIPËRISË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VENDOSI0"/>
        <w:rPr>
          <w:lang w:val="sq-AL"/>
        </w:rPr>
      </w:pPr>
      <w:r w:rsidRPr="00ED7D22">
        <w:rPr>
          <w:lang w:val="sq-AL"/>
        </w:rPr>
        <w:t>VENDOSI: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NeniNr"/>
        <w:rPr>
          <w:szCs w:val="22"/>
          <w:lang w:val="sq-AL"/>
        </w:rPr>
      </w:pPr>
      <w:r w:rsidRPr="00ED7D22">
        <w:rPr>
          <w:szCs w:val="22"/>
          <w:lang w:val="sq-AL"/>
        </w:rPr>
        <w:t>Neni 1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Ratifikohen instrumentet që ndryshojnë Kushtetutën dhe Konventën e Bashkimit Ndërkombëtar të Telekomunikacioneve (Gjenevë, 1992), të ndryshuar nga Konferenca Fuqiplotë (Antalya, 2006).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NeniNr"/>
        <w:rPr>
          <w:szCs w:val="22"/>
          <w:lang w:val="sq-AL"/>
        </w:rPr>
      </w:pPr>
      <w:r w:rsidRPr="00ED7D22">
        <w:rPr>
          <w:szCs w:val="22"/>
          <w:lang w:val="sq-AL"/>
        </w:rPr>
        <w:t>Neni 2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Ky ligj hyn në fuqi 15 ditë pas botimit në Fletoren Zyrtare.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Shpallja"/>
        <w:rPr>
          <w:sz w:val="23"/>
          <w:szCs w:val="23"/>
        </w:rPr>
      </w:pPr>
      <w:r w:rsidRPr="00ED7D22">
        <w:rPr>
          <w:sz w:val="23"/>
          <w:szCs w:val="23"/>
        </w:rPr>
        <w:t>Shpallur me dekretin nr.6705, datë 6.10.2010 të Presidentit të Republikës së Shqipërisë, Bamir Topi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TitulliTitull"/>
        <w:rPr>
          <w:b/>
          <w:lang w:val="sq-AL"/>
        </w:rPr>
      </w:pPr>
      <w:r w:rsidRPr="00ED7D22">
        <w:rPr>
          <w:b/>
          <w:lang w:val="sq-AL"/>
        </w:rPr>
        <w:t xml:space="preserve">Instrumenti </w:t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që ndryshon Kushtetutën e Unionit Ndërkombëtar të Telekomunikacionit (Gjenevë, 1992) sipas miratimeve të Konferencës Fuqiplotë (Kjoto, 1994), Konferencës Fuqiplotë (Minneapolis, 1998) dhe Konferencës Fuqiplotë (Marrakesh, 2002)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(Ndryshime të miratuara nga Konferenca Fuqiplotë) (Antalia, 2006)</w:t>
      </w:r>
    </w:p>
    <w:p w:rsidR="00B23736" w:rsidRPr="00ED7D22" w:rsidRDefault="00B23736" w:rsidP="00B23736">
      <w:pPr>
        <w:pStyle w:val="Paragrafi0"/>
        <w:ind w:left="7200"/>
        <w:rPr>
          <w:lang w:val="sq-AL"/>
        </w:rPr>
      </w:pPr>
    </w:p>
    <w:p w:rsidR="00B23736" w:rsidRPr="00ED7D22" w:rsidRDefault="00B23736" w:rsidP="00B23736">
      <w:pPr>
        <w:pStyle w:val="Paragrafi0"/>
        <w:ind w:left="7200"/>
        <w:rPr>
          <w:szCs w:val="22"/>
          <w:lang w:val="sq-AL"/>
        </w:rPr>
      </w:pPr>
      <w:r w:rsidRPr="00ED7D22">
        <w:rPr>
          <w:lang w:val="sq-AL"/>
        </w:rPr>
        <w:t>Faqe</w:t>
      </w:r>
    </w:p>
    <w:p w:rsidR="00B23736" w:rsidRPr="00ED7D22" w:rsidRDefault="00B23736" w:rsidP="00B23736">
      <w:pPr>
        <w:pStyle w:val="Paragrafi0"/>
        <w:rPr>
          <w:lang w:val="sq-AL"/>
        </w:rPr>
      </w:pPr>
      <w:r w:rsidRPr="00ED7D22">
        <w:rPr>
          <w:lang w:val="sq-AL"/>
        </w:rPr>
        <w:t>Pjesa I – Parathënie</w:t>
      </w:r>
      <w:r w:rsidRPr="00ED7D22">
        <w:rPr>
          <w:lang w:val="sq-AL"/>
        </w:rPr>
        <w:tab/>
      </w:r>
      <w:r w:rsidRPr="00ED7D22">
        <w:rPr>
          <w:lang w:val="sq-AL"/>
        </w:rPr>
        <w:tab/>
      </w:r>
      <w:r w:rsidRPr="00ED7D22">
        <w:rPr>
          <w:lang w:val="sq-AL"/>
        </w:rPr>
        <w:tab/>
      </w:r>
      <w:r w:rsidRPr="00ED7D22">
        <w:rPr>
          <w:lang w:val="sq-AL"/>
        </w:rPr>
        <w:tab/>
      </w:r>
      <w:r w:rsidRPr="00ED7D22">
        <w:rPr>
          <w:lang w:val="sq-AL"/>
        </w:rPr>
        <w:tab/>
      </w:r>
      <w:r w:rsidRPr="00ED7D22">
        <w:rPr>
          <w:lang w:val="sq-AL"/>
        </w:rPr>
        <w:tab/>
      </w:r>
      <w:r w:rsidRPr="00ED7D22">
        <w:rPr>
          <w:lang w:val="sq-AL"/>
        </w:rPr>
        <w:tab/>
      </w:r>
      <w:r w:rsidRPr="00ED7D22">
        <w:rPr>
          <w:lang w:val="sq-AL"/>
        </w:rPr>
        <w:tab/>
      </w:r>
      <w:r w:rsidRPr="00ED7D22">
        <w:rPr>
          <w:szCs w:val="22"/>
          <w:lang w:val="sq-AL"/>
        </w:rPr>
        <w:t>17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Kapitulli I – Funksionimi i Unionit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Neni 2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Zgjedhjet dhe çështjet që lidhen me to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18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4 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 xml:space="preserve">Këshilli 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19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5 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Sekretariati i Përgjithshëm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20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6 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Komiteti koordinues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21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12 </w:t>
      </w:r>
      <w:r w:rsidRPr="00ED7D22">
        <w:rPr>
          <w:szCs w:val="22"/>
          <w:lang w:val="sq-AL"/>
        </w:rPr>
        <w:tab/>
        <w:t>Zyra e radiokomunikimit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21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Neni 15</w:t>
      </w:r>
      <w:r w:rsidRPr="00ED7D22">
        <w:rPr>
          <w:szCs w:val="22"/>
          <w:lang w:val="sq-AL"/>
        </w:rPr>
        <w:tab/>
        <w:t xml:space="preserve"> </w:t>
      </w:r>
      <w:r w:rsidRPr="00ED7D22">
        <w:rPr>
          <w:szCs w:val="22"/>
          <w:lang w:val="sq-AL"/>
        </w:rPr>
        <w:tab/>
        <w:t>Zyra e standardizimit të telekomunikacionit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22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16 </w:t>
      </w:r>
      <w:r w:rsidRPr="00ED7D22">
        <w:rPr>
          <w:szCs w:val="22"/>
          <w:lang w:val="sq-AL"/>
        </w:rPr>
        <w:tab/>
        <w:t>Konferencat e zhvillimit të telekomunikacionit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22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17A </w:t>
      </w:r>
      <w:r w:rsidRPr="00ED7D22">
        <w:rPr>
          <w:szCs w:val="22"/>
          <w:lang w:val="sq-AL"/>
        </w:rPr>
        <w:tab/>
        <w:t>Grupi këshillues i zhvillimit të telekomunikacionit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23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18 </w:t>
      </w:r>
      <w:r w:rsidRPr="00ED7D22">
        <w:rPr>
          <w:szCs w:val="22"/>
          <w:lang w:val="sq-AL"/>
        </w:rPr>
        <w:tab/>
        <w:t>Zyra e zhvillimit të telekomunikacionit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23</w:t>
      </w:r>
    </w:p>
    <w:p w:rsidR="00B23736" w:rsidRPr="00ED7D22" w:rsidRDefault="00B23736" w:rsidP="00B23736">
      <w:pPr>
        <w:pStyle w:val="Paragrafi0"/>
        <w:ind w:left="2160" w:hanging="144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19 </w:t>
      </w:r>
      <w:r w:rsidRPr="00ED7D22">
        <w:rPr>
          <w:szCs w:val="22"/>
          <w:lang w:val="sq-AL"/>
        </w:rPr>
        <w:tab/>
        <w:t xml:space="preserve">Pjesëmarrja e enteve dhe organizatave përveç atyre </w:t>
      </w:r>
    </w:p>
    <w:p w:rsidR="00B23736" w:rsidRPr="00ED7D22" w:rsidRDefault="00B23736" w:rsidP="00B23736">
      <w:pPr>
        <w:pStyle w:val="Paragrafi0"/>
        <w:ind w:left="2160" w:firstLine="0"/>
        <w:rPr>
          <w:szCs w:val="22"/>
          <w:lang w:val="sq-AL"/>
        </w:rPr>
      </w:pPr>
      <w:r w:rsidRPr="00ED7D22">
        <w:rPr>
          <w:szCs w:val="22"/>
          <w:lang w:val="sq-AL"/>
        </w:rPr>
        <w:lastRenderedPageBreak/>
        <w:t>të administrimit në aktivitetet e Unionit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23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21 </w:t>
      </w:r>
      <w:r w:rsidRPr="00ED7D22">
        <w:rPr>
          <w:szCs w:val="22"/>
          <w:lang w:val="sq-AL"/>
        </w:rPr>
        <w:tab/>
        <w:t>Rekomandime nga një konferencë për tjetrën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24</w:t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 xml:space="preserve">Kapitulli II – </w:t>
      </w:r>
      <w:r w:rsidRPr="00ED7D22">
        <w:rPr>
          <w:lang w:val="sq-AL"/>
        </w:rPr>
        <w:tab/>
        <w:t>Dispozita të veçanta lidhur me konferencat dhe asambletë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23 </w:t>
      </w:r>
      <w:r w:rsidRPr="00ED7D22">
        <w:rPr>
          <w:szCs w:val="22"/>
          <w:lang w:val="sq-AL"/>
        </w:rPr>
        <w:tab/>
        <w:t>Pranimi në konferencat fuqiplota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25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24 </w:t>
      </w:r>
      <w:r w:rsidRPr="00ED7D22">
        <w:rPr>
          <w:szCs w:val="22"/>
          <w:lang w:val="sq-AL"/>
        </w:rPr>
        <w:tab/>
        <w:t xml:space="preserve">Pranimi në konferencat e radiokomunikimit 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25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25 </w:t>
      </w:r>
      <w:r w:rsidRPr="00ED7D22">
        <w:rPr>
          <w:szCs w:val="22"/>
          <w:lang w:val="sq-AL"/>
        </w:rPr>
        <w:tab/>
        <w:t xml:space="preserve">Pranimi në asambletë e radiokomunikimit, asambletë e </w:t>
      </w:r>
    </w:p>
    <w:p w:rsidR="00B23736" w:rsidRPr="00ED7D22" w:rsidRDefault="00B23736" w:rsidP="00B23736">
      <w:pPr>
        <w:pStyle w:val="Paragrafi0"/>
        <w:ind w:left="1440"/>
        <w:rPr>
          <w:szCs w:val="22"/>
          <w:lang w:val="sq-AL"/>
        </w:rPr>
      </w:pPr>
      <w:r w:rsidRPr="00ED7D22">
        <w:rPr>
          <w:szCs w:val="22"/>
          <w:lang w:val="sq-AL"/>
        </w:rPr>
        <w:t>standardizimit të telekomunikacionit botëror dhe</w:t>
      </w:r>
    </w:p>
    <w:p w:rsidR="00B23736" w:rsidRPr="00ED7D22" w:rsidRDefault="00B23736" w:rsidP="00B23736">
      <w:pPr>
        <w:pStyle w:val="Paragrafi0"/>
        <w:ind w:left="1440"/>
        <w:rPr>
          <w:szCs w:val="22"/>
          <w:lang w:val="sq-AL"/>
        </w:rPr>
      </w:pPr>
      <w:r w:rsidRPr="00ED7D22">
        <w:rPr>
          <w:szCs w:val="22"/>
          <w:lang w:val="sq-AL"/>
        </w:rPr>
        <w:t>konferencat e zhvillimit të telekomunikacionit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26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Kapitulli IV – Dispozita të tjera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Neni 33 </w:t>
      </w:r>
      <w:r w:rsidRPr="00ED7D22">
        <w:rPr>
          <w:szCs w:val="22"/>
          <w:lang w:val="sq-AL"/>
        </w:rPr>
        <w:tab/>
        <w:t>Financat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27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Pjesa II – Data e hyrjes në fuqi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29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Formula përfundimtare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29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Nënshkrimet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 xml:space="preserve">  8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 xml:space="preserve">Deklaratat dhe vërejtjet </w:t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</w:r>
      <w:r w:rsidRPr="00ED7D22">
        <w:rPr>
          <w:szCs w:val="22"/>
          <w:lang w:val="sq-AL"/>
        </w:rPr>
        <w:tab/>
        <w:t>31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Algjeria (Republika Demokratike Popullore e) (59)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Gjermania (Republika Federale e) (40, 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Andora (Principata e) (73)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Arabia Saudite (Mbretëria e) (32, 59, 62)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Republika e Argjentinës (18)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Armenia (Republika e) (66)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Australia (72)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Austria (51,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Republika e Azerbajxhanit (66, 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Bahrain (Mbretëria e ) (19, 59)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Barbados (100)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Bjellorusia (Republika e) (66, 67)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Belgjika (36, 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Botsvana (Republika e) (46)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Brazili (Republika Federale e) (27)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Bullgaria (Republika e) (51, 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Burgina Faso (102)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Burundi (Republika e) (3)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Kameruni )Republika e) (540)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Kanada (71, 94,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Kili (63)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Kina (Republika Popullore e) (64)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Qipro (Republika e) (51, 73,81,98)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Shteti Qytet i Vatikanit (8, 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Kolumbia (Republika e) (58)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Bregu i Fildishtë )Republika e) (24)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Kroacia (Republika (73, 74,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Kuba (80)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Danimarka (51, 73, 98,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Egjipti (Republika Arabe e) (62, 69)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Salvadori (Republika Arabe e) (20)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lastRenderedPageBreak/>
        <w:t>Emiratet e Bashkuara Arabe (59)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Ekuadori (55)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Spanja (41, 56)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Estonia (Republika e ) (51, 61,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Shtetet e Bashkuara të Amerikës (70, 104,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Etiopia (Republika Demokratike Federale) (99)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Federata Ruse (66)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Finlanda (51,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Franca (30, 51, 73, 98,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Republika Gaboneze (16)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Gana (65)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Greqia (51, 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Guinea (Republika e) (13)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Guinea Ekuatoriale (Republika e) (85)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Honduras (Republika e) (9)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Hungaria (Republika e), (51,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India (Republika e)  (43)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Indonezia (Republika e) (17)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Iran (Republika Islamike e) (59, 78, 79)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Irak (Republika e) (35)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Irlanda (51,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Islanda (33,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Izraeli (Shteti i) (41, 90)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Italia (51, 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Xhamajka (97)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Japonia (77, 98,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Jordania (Mbretëria Hashemite e) (21)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Kenia (Republika e) (96)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Korea (Republika e) (88)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Kuvajti (Shteti i) (59, 62, 87)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Letonia (Republika e) (51, 61, 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Libani (59, 62)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Lihtenshtajni (Principata e) (33,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Lituania (Republika e) (51, 61, 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Luksemburgu (51, 73, 98,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Malejzia (10, 59)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Malavi (44)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Maldivet (Republika e) (22)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Mali (Republika e) (39)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Malta (51,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Maroku (Mbretëria e) (59, 62)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Ishujt Marshall (Republika e) (107)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Mauritania (Republika Islamike e) (103)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Meksika (34)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Mikronezia (Shtetet e Federuara të) (37)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Moldavia (Republika e) (66, 73)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Monako (Principata e) (86)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Mongolia (89)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Mali i Zi (Republika e)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Myanmar (Unioni i) (12)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Nepali (28)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lastRenderedPageBreak/>
        <w:t>Nikaragua (42)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Nigeria (Republika e) (4)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Nigeria (Republika Federale e) (15)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Norvegjia (33,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Zelanda e Re (83,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Uzbekistani (Republika e) (66)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Pakistani (Republika Islamike e) (48, 59)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Papua Guinea e Re (82)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Paraguai (Republika e) (53)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Holanda (Mbretëria e), (51, 73, 98,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Filipinet (Republika e) (20)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Polonia (Republika e)  (23, 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Portugalia (38, 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Republika Arabe Siriane (57, 59)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Republika Kirgize (66)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Republika Sllovake (50, 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Republika Çeke (45, 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Rumania (51,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Mbretëria e Bashkuar e Britanisë së Madhe dhe Irlandës së Veriut (51, 73, 98,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Ruanda  (Republika e) (91)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San Marino (Republika e) (7)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Samoa (Shteti i Pavarur i) (92)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Senegali (Republika e) (52)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Serbia (Republika e) (68, 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Singapori (Republika e) (31)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Sllovenia (Republika e) (51, 95, 98,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Sudani (Republika e) (59, 76)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Afrika e Jugut (Republika e) (47)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Suedia (51,73, 98, 106)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Zvicra (Konfederata e) (73,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Surinami (Republika e) (5)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Zvaziland (Mbretëria e) (89)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Tanzania (Republika e Bashkuar e) (101)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Çadi (Republika e) (84)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Tajlanda (6)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Republika Togoleze (26)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Trinidadi dhe Tobago (105)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Tunizia (29, 59)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Turqia (60, 73, 93, 98)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Ukraina (66)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Uruguai (Republika lindore e) (1)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Venezuela (Republika Bolivare e) (25)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Vietnami (Republika Socialiste e ) (25)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Zimbabve (Republika e) (14)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tbl>
      <w:tblPr>
        <w:tblW w:w="9828" w:type="dxa"/>
        <w:tblInd w:w="-72" w:type="dxa"/>
        <w:tblLook w:val="04A0" w:firstRow="1" w:lastRow="0" w:firstColumn="1" w:lastColumn="0" w:noHBand="0" w:noVBand="1"/>
      </w:tblPr>
      <w:tblGrid>
        <w:gridCol w:w="3085"/>
        <w:gridCol w:w="6018"/>
        <w:gridCol w:w="77"/>
        <w:gridCol w:w="648"/>
      </w:tblGrid>
      <w:tr w:rsidR="00B23736" w:rsidRPr="00ED7D22" w:rsidTr="005E63B7">
        <w:tc>
          <w:tcPr>
            <w:tcW w:w="9103" w:type="dxa"/>
            <w:gridSpan w:val="2"/>
          </w:tcPr>
          <w:p w:rsidR="00B23736" w:rsidRPr="00ED7D22" w:rsidRDefault="00B23736" w:rsidP="005E63B7">
            <w:pPr>
              <w:pStyle w:val="TitulliTitull"/>
              <w:rPr>
                <w:lang w:val="sq-AL"/>
              </w:rPr>
            </w:pPr>
            <w:r w:rsidRPr="00ED7D22">
              <w:rPr>
                <w:lang w:val="sq-AL"/>
              </w:rPr>
              <w:t>Rregulloret e Përgjithshme të Konferencave, Asambleve dhe Mbledhjeve të Unionit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95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Kapitulli I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Dispozita të përgjithshme lidhur me konferencat dhe asambletë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Ftesë për në konferencat e radiokomunikimit kur ekziston një qeveri fituese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8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Afatet kohore dhe kushtet për paraqitjen e propozimeve dhe raporteve në konferenca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Kapitulli II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Rregulloret e procedurës së konferencave, asambleve dhe mbledhjeve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98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Përbërja e komisioneve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98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Kapitulli III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Procedurat e zgjedhjes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100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31 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Rregulla të përgjithshme mbi procedurat e zgjedhjeve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100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33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Rregullore të veçanta të procedurës për zgjedhjen e anëtarëve të zyrës së rregulloreve të radios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100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Vendimet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5 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Të ardhurat dhe shpenzimet e unionit për periudhën 2008-2011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103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 (Antalia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Forumi i katërt i politikës botërore të telekomunikacionit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112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10 (Antalia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Implementimi i masave shtesë korrigjuese lidhur me mbulimin e kostos së regjistrimit të rrjetit satelitor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115</w:t>
            </w:r>
          </w:p>
        </w:tc>
      </w:tr>
      <w:tr w:rsidR="00B23736" w:rsidRPr="00ED7D22" w:rsidTr="005E63B7">
        <w:tc>
          <w:tcPr>
            <w:tcW w:w="9828" w:type="dxa"/>
            <w:gridSpan w:val="4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Lista e vendimeve të shfuqizuara nga Konferenca Fuqiplotë (Antalia, 2006)                                   117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Rezolutat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11 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Informacioni/telekomunikacioni botëror dhe rajonal, dhe forumet dhe ekspozitat e teknologjisë së komunikimt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118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Njohja e të drejtave dhe detyrimeve të të gjithë anëtarëve të sektorit të Unionit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123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21(Rishikuar,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Masat specifike lidhur me gjetjen e alternativës së procedurave mbi rrjetet e telekomunikacionit ndërkombëtar 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125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22(Rishikuar,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Ndarja  e të ardhurave për sigurimin e shërbimeve ndërkombëtare të telekomunikacionit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129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25(Rishikuar,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Forcimi i prezencës rajonale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133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30(Rishikuar,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Masat specifike për vendet më pak të zhvilluara dhe vendet e vogla ishullore në zhvillim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144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34(Rishikuar,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Asistencë dhe mbështetje për vendet në nevojë të veçantë për rindërtimin e sektorit të tyre të telekomunikacionit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146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36(Rishikuar,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Informacion/telekomunikacione dhe teknologji komunikimi në shërbim të ndihmës humanitare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151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41(Rishikuar,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Mospagimi në kohën e caktuar dhe llogaritja e tij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154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48(Rishikuar,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Menaxhimi dhe zhvillimi i burimeve njerëzore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64(Rishikuar,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Akses/e drejtë jodiskriminuese kundrejt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informacionit/telekomunikacionit modern dhe pajisjeve e shërbimeve të teknologjisë së komunikacionit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163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68(Rishikuar,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Dita Botërore e Shoqërisë së Informacionit dhe Telekomunikacionit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166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70(Rishikuar,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Tendenca gjinore në ITU/International Telecommunication Union dhe promovimi i barazisë gjinore kundrejt shoqërive gjithëpërfshirëse të informacionit 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168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71(Rishikuar,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Plani strategjik për unionin për 2008-2011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173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72(Rishikuar,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Lidhja e planifikimit strategjik, financiar dhe operacional në ITU/International Telecommunication Union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199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77(Rishikuar,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Konferencat, asambletë dhe forumet e Unionit në të ardhmen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202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91(Rishikuar, Antalia 2006)</w:t>
            </w:r>
          </w:p>
        </w:tc>
        <w:tc>
          <w:tcPr>
            <w:tcW w:w="6018" w:type="dxa"/>
          </w:tcPr>
          <w:p w:rsidR="00B23736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Mbulimi i kostos për disa produkte dhe shërbime të ITU/International Telecommunication union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204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94(Rishikuar, Antalia 2006) 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Auditimi i llogarive të Unionit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209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99(Rishikuar,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Statusi i Palestinës në ITU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210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101(Rishikuar,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Rrjeti i internetit bazuar në protokoll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214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102(Rishikuar,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Roli i ITU lidhur me çështjet e politikës publike ndërkombëtare, përsa i përket internetit dhe menaxhimit të burimeve të tij, përfshirë emrat dhe adresat e fushave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219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111(Rishikuar,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Planifikimi i konferencave dhe asambleve të ITU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226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119(Rishikuar,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Metodat për përmirësimin e efiçencës dhe efikasitetit të zyrës së rregulloreve të radios 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227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122(Rishikuar,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Roli zhvillues i asamblesë botërore të standardizimit të telekomunikacionit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230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123(Rishikuar,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Lidhja e hendekut të standardizimit ndërmjet vendeve të zhvilluara dhe në zhvillim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235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124(Rishikuar,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Mbështetja për partneritetin e ri për zhvillimin e Afrikës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239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126(Rishikuar,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Asistencë dhe mbështetje për Republikën e Serbisë për rindërtimin e sistemit të saj publik të transmetimit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244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128(Rishikuar,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Mbështetje për programin lidhës në Amerikat dhe planin e veprimit Quito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247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130(Rishikuar,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Forcimi i rolit të ITU në ndërtimin e besimit dhe sigurisë në përdorimin e informacionit dhe teknologjive të komunikimit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251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131(Rishikuar,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Indeksi i teknologjisë së informacionit dhe komunikimit dhe treguesit lidhës komunitarë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257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133(Rishikuar, Antalia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Roli i administratave të vendeve anëtare në menaxhimin e emrave të fushave (shumë gjuhëshe) të ndërkombëtarizuara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262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134 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Numri i shteteve anëtare të Këshillit 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267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135 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Roli i ITU/International Telecommunication Union në zhvillimin e teknologjive të informacionit/telekomunikacionit dhe komunikimit në sigurimin e asistencës dhe këshillimit kundrejt vendeve në zhvillim dhe në implementimin e projekteve përkatëse kombëtare, rajonale  dhe ndërrajonale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269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136(Antalia,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Përdorimi i teknologjive të informacionit/telekomunikacionit dhe komunikimit për monitorimin dhe menaxhimin në situata emergjence dhe fatkeqësi për paralajmërim, parandalim, lehtësim paraprak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272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137(Antalia,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Shpërndarja e rrjetit të prodhimit pasues në vendet në zhvillim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277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138(Antalia,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Simpoziumi Global i Rregulloreve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281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139(Antalia,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Teknologjitë e informacionit/telekomunikacionit dhe komunikimit për të lidhur hendekun dixhital dhe ndërtuar një shoqëri gjithëpërfshirëse të informacionit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283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140(Antalia,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Roli i ITU/International Telecommunication Union në implementimin e rezultateve të Samitit Botëror mbi Shoqërinë e Informacionit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290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141(Antalia,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Studimi mbi pjesëmarrjen e të gjithë aksionarëve përkatës në aktivitetet e Unionit, lidhur me Samitin Botëror mbi Shoqërinë e Informacionit 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297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142(Antalia,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Rishikimi i teknologjisë së përdorur në Kushtetutën dhe Konventën e ITU/International Telecommunication Union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302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143(Antalia,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Zgjerimi i dispozitave në dokumentacionin e ITU, lidhur me vendet në zhvillim për t’u aplikuar nga vendet me ekonomi në tranzicion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304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144(Antalia, 2006)</w:t>
            </w:r>
          </w:p>
        </w:tc>
        <w:tc>
          <w:tcPr>
            <w:tcW w:w="6018" w:type="dxa"/>
          </w:tcPr>
          <w:p w:rsidR="00B23736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Vënia në dispozicion para kohe e modeleve të vendit pritës për konferencat dhe asambletë e Unionit që nuk mbahen në Gjenevë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306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145(Antalia,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Pjesëmarrja e vëzhguesve në konferencat, asambletë dhe mbledhjet e Unionit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310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146(Antalia,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Rishikimi i rregulloreve të telekomunikacionit ndërkombëtar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320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147(Antalia,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Studim mbi menaxhimin dhe funksionimin e Unionit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323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148(Antalia,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Detyrat dhe funksionet e zëvendëssekretarit të përgjithshëm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327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149(Antalia,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Studimi i përcaktimeve dhe terminologjisë, lidhur me krijimin e besimit dhe sigurisë në përdorimin e teknologjisë së informacionit dhe komunikimit 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329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150(Antalia,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Miratimi i llogarive të Unionit për vitet 2002-2005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331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151(Antalia,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Implementimi në ITU/International Telecommunication Union i menaxhimit bazuar në rezultate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332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152(Antalia,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Përmirësimi i menaxhimit dhe rishqyrtimi i mbulimit të shpenzimeve të ITU/International Telecommunication Union nga ana e anëtarëve të sektorit dhe partnerëve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334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153(Antalia,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Programimi i sesioneve të këshillit dhe konferencave fuqiplotë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337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154(Antalia,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Përdorimi i të gjashtë gjuhëve zyrtare të Unionit në pozita të barabarta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339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155(Antalia,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Krijimi i një grupi menaxhimi dhe buxheti të këshillit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343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156(Antalia,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Programimi i konferencave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345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157(Antalia,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Forcimi i funksionit të ekzekutimit të projektit në UNT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347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158(Antalia,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Çështje financiare për t’u marrë në konsideratë nga këshilli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350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159(Antalia,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Asistencë dhe mbështetje Libanit për rindërtimin e rrjetit të tij të telekomunikacionit (fiks dhe të lëvizshëm)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352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160(Antalia,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Asistencë për Somalinë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354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161(Antalia, 2006)</w:t>
            </w:r>
          </w:p>
        </w:tc>
        <w:tc>
          <w:tcPr>
            <w:tcW w:w="601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Asistencë dhe mbështetje për Republikën Demokratike të Kongos për rindërtimin e rrjetit të telekomunikacionit</w:t>
            </w:r>
          </w:p>
        </w:tc>
        <w:tc>
          <w:tcPr>
            <w:tcW w:w="72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357</w:t>
            </w:r>
          </w:p>
        </w:tc>
      </w:tr>
      <w:tr w:rsidR="00B23736" w:rsidRPr="00ED7D22" w:rsidTr="005E63B7">
        <w:tc>
          <w:tcPr>
            <w:tcW w:w="9828" w:type="dxa"/>
            <w:gridSpan w:val="4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Lista e rezolutave të shfuqizuara nga Konferenca Fuqiplotë</w:t>
            </w:r>
          </w:p>
        </w:tc>
      </w:tr>
      <w:tr w:rsidR="00B23736" w:rsidRPr="00ED7D22" w:rsidTr="005E63B7">
        <w:tc>
          <w:tcPr>
            <w:tcW w:w="3085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(Antalia, 2006)</w:t>
            </w:r>
          </w:p>
        </w:tc>
        <w:tc>
          <w:tcPr>
            <w:tcW w:w="6095" w:type="dxa"/>
            <w:gridSpan w:val="2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64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359</w:t>
            </w:r>
          </w:p>
        </w:tc>
      </w:tr>
    </w:tbl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Default="00B23736" w:rsidP="00B23736">
      <w:pPr>
        <w:pStyle w:val="Paragrafi0"/>
        <w:rPr>
          <w:szCs w:val="22"/>
          <w:lang w:val="sq-AL"/>
        </w:rPr>
      </w:pPr>
    </w:p>
    <w:p w:rsidR="00B23736" w:rsidRDefault="00B23736" w:rsidP="00B23736">
      <w:pPr>
        <w:pStyle w:val="Paragrafi0"/>
        <w:rPr>
          <w:szCs w:val="22"/>
          <w:lang w:val="sq-AL"/>
        </w:rPr>
      </w:pPr>
    </w:p>
    <w:p w:rsidR="00B23736" w:rsidRDefault="00B23736" w:rsidP="00B23736">
      <w:pPr>
        <w:pStyle w:val="Paragrafi0"/>
        <w:rPr>
          <w:szCs w:val="22"/>
          <w:lang w:val="sq-AL"/>
        </w:rPr>
      </w:pPr>
    </w:p>
    <w:p w:rsidR="00B23736" w:rsidRDefault="00B23736" w:rsidP="00B23736">
      <w:pPr>
        <w:pStyle w:val="Paragrafi0"/>
        <w:rPr>
          <w:szCs w:val="22"/>
          <w:lang w:val="sq-AL"/>
        </w:rPr>
      </w:pPr>
    </w:p>
    <w:p w:rsidR="00B23736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Instrumentet që përmirësojnë</w:t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Kushtetutën dhe konventën e Unionit Ndërkombëtar të Telekomunikacionit</w:t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(Gjenevë, 1992)</w:t>
      </w:r>
    </w:p>
    <w:p w:rsidR="00B23736" w:rsidRPr="00ED7D22" w:rsidRDefault="00B23736" w:rsidP="00B23736">
      <w:pPr>
        <w:pStyle w:val="Paragrafi0"/>
        <w:ind w:firstLine="0"/>
        <w:jc w:val="center"/>
        <w:rPr>
          <w:szCs w:val="22"/>
          <w:lang w:val="sq-AL"/>
        </w:rPr>
      </w:pPr>
      <w:r w:rsidRPr="00ED7D22">
        <w:rPr>
          <w:szCs w:val="22"/>
          <w:lang w:val="sq-AL"/>
        </w:rPr>
        <w:t>Të amenduara nga</w:t>
      </w:r>
    </w:p>
    <w:p w:rsidR="00B23736" w:rsidRPr="00ED7D22" w:rsidRDefault="00B23736" w:rsidP="00B23736">
      <w:pPr>
        <w:pStyle w:val="Paragrafi0"/>
        <w:ind w:firstLine="0"/>
        <w:jc w:val="center"/>
        <w:rPr>
          <w:szCs w:val="22"/>
          <w:lang w:val="sq-AL"/>
        </w:rPr>
      </w:pPr>
      <w:r w:rsidRPr="00ED7D22">
        <w:rPr>
          <w:szCs w:val="22"/>
          <w:lang w:val="sq-AL"/>
        </w:rPr>
        <w:t>Konferenca Fuqiplotë (Kyoto, 1994),</w:t>
      </w:r>
    </w:p>
    <w:p w:rsidR="00B23736" w:rsidRPr="00ED7D22" w:rsidRDefault="00B23736" w:rsidP="00B23736">
      <w:pPr>
        <w:pStyle w:val="Paragrafi0"/>
        <w:ind w:firstLine="0"/>
        <w:jc w:val="center"/>
        <w:rPr>
          <w:szCs w:val="22"/>
          <w:lang w:val="sq-AL"/>
        </w:rPr>
      </w:pPr>
      <w:r w:rsidRPr="00ED7D22">
        <w:rPr>
          <w:szCs w:val="22"/>
          <w:lang w:val="sq-AL"/>
        </w:rPr>
        <w:t>Konferenca Fuqiplotë (Minneapolis, 1998)</w:t>
      </w:r>
    </w:p>
    <w:p w:rsidR="00B23736" w:rsidRPr="00ED7D22" w:rsidRDefault="00B23736" w:rsidP="00B23736">
      <w:pPr>
        <w:pStyle w:val="Paragrafi0"/>
        <w:ind w:firstLine="0"/>
        <w:jc w:val="center"/>
        <w:rPr>
          <w:szCs w:val="22"/>
          <w:lang w:val="sq-AL"/>
        </w:rPr>
      </w:pPr>
      <w:r w:rsidRPr="00ED7D22">
        <w:rPr>
          <w:szCs w:val="22"/>
          <w:lang w:val="sq-AL"/>
        </w:rPr>
        <w:t>dhe nga Konferenca Fuqiplotë (Marrakesh, 2002)</w:t>
      </w:r>
    </w:p>
    <w:p w:rsidR="00B23736" w:rsidRPr="00ED7D22" w:rsidRDefault="00B23736" w:rsidP="00B23736">
      <w:pPr>
        <w:pStyle w:val="Paragrafi0"/>
        <w:ind w:firstLine="0"/>
        <w:jc w:val="center"/>
        <w:rPr>
          <w:sz w:val="10"/>
          <w:szCs w:val="22"/>
          <w:lang w:val="sq-AL"/>
        </w:rPr>
      </w:pPr>
    </w:p>
    <w:p w:rsidR="00B23736" w:rsidRPr="00ED7D22" w:rsidRDefault="00B23736" w:rsidP="00B23736">
      <w:pPr>
        <w:pStyle w:val="Paragrafi0"/>
        <w:ind w:firstLine="0"/>
        <w:jc w:val="center"/>
        <w:rPr>
          <w:szCs w:val="22"/>
          <w:lang w:val="sq-AL"/>
        </w:rPr>
      </w:pPr>
      <w:r w:rsidRPr="00ED7D22">
        <w:rPr>
          <w:szCs w:val="22"/>
          <w:lang w:val="sq-AL"/>
        </w:rPr>
        <w:t>(Amendamente të miratuara nga Konferenca Fuqiplotë (Antalia, 2006)</w:t>
      </w:r>
    </w:p>
    <w:p w:rsidR="00B23736" w:rsidRPr="00ED7D22" w:rsidRDefault="00B23736" w:rsidP="00B23736">
      <w:pPr>
        <w:pStyle w:val="Paragrafi0"/>
        <w:rPr>
          <w:sz w:val="12"/>
          <w:szCs w:val="22"/>
          <w:lang w:val="sq-AL"/>
        </w:rPr>
      </w:pP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Kushtetuta E UNIONIT NDëRKOMBËTAR TË TELEKOMUNIKACIONIT</w:t>
      </w:r>
      <w:r w:rsidRPr="00ED7D22">
        <w:rPr>
          <w:rStyle w:val="FootnoteReference"/>
          <w:lang w:val="sq-AL"/>
        </w:rPr>
        <w:footnoteReference w:id="1"/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(GJENEVË, 1992)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 xml:space="preserve">PJESA I </w:t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Parathënie</w:t>
      </w:r>
    </w:p>
    <w:p w:rsidR="00B23736" w:rsidRPr="00ED7D22" w:rsidRDefault="00B23736" w:rsidP="00B23736">
      <w:pPr>
        <w:pStyle w:val="Paragrafi0"/>
        <w:rPr>
          <w:sz w:val="12"/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Mbështetur në përmirësimin e dispozitave të Konventës së Unionit Ndërkombëtar të Telekomunikacionit (Gjenevë, 1992), sipas amendamenteve të Konferencës Fuqiplotë (Kyoto, 1994), Konferencës Fuqiplotë (Minneapolis, 1998) dhe Konferencës Fuqiplotë (Marrakesh, 2002), veçanërisht amendamentet e nenit 42 të saj, Konferenca Fuqiplotë e Unionit Ndërkombëtar të Telekomunikacionit (Antalia, 2006) ka miratuar amendamentet e mëposhtme përsa i përket Konventës në fjalë:</w:t>
      </w:r>
    </w:p>
    <w:p w:rsidR="00B23736" w:rsidRPr="00ED7D22" w:rsidRDefault="00B23736" w:rsidP="00B23736">
      <w:pPr>
        <w:pStyle w:val="Paragrafi0"/>
        <w:rPr>
          <w:sz w:val="10"/>
          <w:szCs w:val="22"/>
          <w:lang w:val="sq-AL"/>
        </w:rPr>
      </w:pP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CS/</w:t>
      </w:r>
      <w:r w:rsidRPr="00ED7D22">
        <w:rPr>
          <w:caps w:val="0"/>
          <w:lang w:val="sq-AL"/>
        </w:rPr>
        <w:t>Neni 11</w:t>
      </w:r>
    </w:p>
    <w:p w:rsidR="00B23736" w:rsidRPr="00ED7D22" w:rsidRDefault="00B23736" w:rsidP="00B23736">
      <w:pPr>
        <w:pStyle w:val="TitulliTitull"/>
        <w:rPr>
          <w:lang w:val="sq-AL"/>
        </w:rPr>
      </w:pP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KAPITULLI I</w:t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Dispozita themelore</w:t>
      </w:r>
    </w:p>
    <w:p w:rsidR="00B23736" w:rsidRPr="00ED7D22" w:rsidRDefault="00B23736" w:rsidP="00B23736">
      <w:pPr>
        <w:pStyle w:val="TitulliTitull"/>
        <w:rPr>
          <w:sz w:val="12"/>
          <w:lang w:val="sq-AL"/>
        </w:rPr>
      </w:pPr>
    </w:p>
    <w:p w:rsidR="00B23736" w:rsidRPr="00ED7D22" w:rsidRDefault="00B23736" w:rsidP="00B23736">
      <w:pPr>
        <w:pStyle w:val="NeniNr"/>
        <w:rPr>
          <w:szCs w:val="22"/>
          <w:lang w:val="sq-AL"/>
        </w:rPr>
      </w:pPr>
      <w:r w:rsidRPr="00ED7D22">
        <w:rPr>
          <w:szCs w:val="22"/>
          <w:lang w:val="sq-AL"/>
        </w:rPr>
        <w:t>Neni 11</w:t>
      </w:r>
    </w:p>
    <w:p w:rsidR="00B23736" w:rsidRPr="00ED7D22" w:rsidRDefault="00B23736" w:rsidP="00B23736">
      <w:pPr>
        <w:pStyle w:val="Paragrafi0"/>
        <w:ind w:firstLine="0"/>
        <w:jc w:val="center"/>
        <w:rPr>
          <w:szCs w:val="22"/>
          <w:lang w:val="sq-AL"/>
        </w:rPr>
      </w:pPr>
      <w:r w:rsidRPr="00ED7D22">
        <w:rPr>
          <w:szCs w:val="22"/>
          <w:lang w:val="sq-AL"/>
        </w:rPr>
        <w:t>Sekretariati i Përgjithshëm</w:t>
      </w:r>
    </w:p>
    <w:p w:rsidR="00B23736" w:rsidRPr="00ED7D22" w:rsidRDefault="00B23736" w:rsidP="00B23736">
      <w:pPr>
        <w:pStyle w:val="Paragrafi0"/>
        <w:rPr>
          <w:sz w:val="12"/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ADD* 73bis  Sekretariati i Përgjithshëm do të veprojë si përfaqësues ligjor i Unionit.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SUP* 76</w:t>
      </w:r>
    </w:p>
    <w:p w:rsidR="00B23736" w:rsidRPr="00ED7D22" w:rsidRDefault="00B23736" w:rsidP="00B23736">
      <w:pPr>
        <w:pStyle w:val="TitulliTitull"/>
        <w:rPr>
          <w:caps w:val="0"/>
          <w:lang w:val="sq-AL"/>
        </w:rPr>
      </w:pPr>
      <w:r w:rsidRPr="00ED7D22">
        <w:rPr>
          <w:lang w:val="sq-AL"/>
        </w:rPr>
        <w:t>CS/</w:t>
      </w:r>
      <w:r w:rsidRPr="00ED7D22">
        <w:rPr>
          <w:caps w:val="0"/>
          <w:lang w:val="sq-AL"/>
        </w:rPr>
        <w:t>Neni 13</w:t>
      </w:r>
    </w:p>
    <w:p w:rsidR="00B23736" w:rsidRPr="00ED7D22" w:rsidRDefault="00B23736" w:rsidP="00B23736">
      <w:pPr>
        <w:pStyle w:val="TitulliTitull"/>
        <w:rPr>
          <w:caps w:val="0"/>
          <w:lang w:val="sq-AL"/>
        </w:rPr>
      </w:pP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Kapitulli II</w:t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Sektori I Radiokomunikimit</w:t>
      </w:r>
    </w:p>
    <w:p w:rsidR="00B23736" w:rsidRPr="00ED7D22" w:rsidRDefault="00B23736" w:rsidP="00B23736">
      <w:pPr>
        <w:pStyle w:val="TitulliTitull"/>
        <w:rPr>
          <w:lang w:val="sq-AL"/>
        </w:rPr>
      </w:pPr>
    </w:p>
    <w:p w:rsidR="00B23736" w:rsidRPr="00ED7D22" w:rsidRDefault="00B23736" w:rsidP="00B23736">
      <w:pPr>
        <w:pStyle w:val="TitulliTitull"/>
        <w:rPr>
          <w:caps w:val="0"/>
          <w:lang w:val="sq-AL"/>
        </w:rPr>
      </w:pPr>
      <w:r w:rsidRPr="00ED7D22">
        <w:rPr>
          <w:caps w:val="0"/>
          <w:lang w:val="sq-AL"/>
        </w:rPr>
        <w:t>Neni 13</w:t>
      </w:r>
    </w:p>
    <w:p w:rsidR="00B23736" w:rsidRPr="00ED7D22" w:rsidRDefault="00B23736" w:rsidP="00B23736">
      <w:pPr>
        <w:pStyle w:val="NeniTitull"/>
        <w:rPr>
          <w:szCs w:val="22"/>
          <w:lang w:val="sq-AL"/>
        </w:rPr>
      </w:pPr>
      <w:r w:rsidRPr="00ED7D22">
        <w:rPr>
          <w:szCs w:val="22"/>
          <w:lang w:val="sq-AL"/>
        </w:rPr>
        <w:t>Konferencat e radiokomunikimit dhe asambletë e radiokomunikimit</w:t>
      </w:r>
    </w:p>
    <w:p w:rsidR="00B23736" w:rsidRPr="00ED7D22" w:rsidRDefault="00B23736" w:rsidP="00B23736">
      <w:pPr>
        <w:pStyle w:val="TitulliTitull"/>
        <w:rPr>
          <w:caps w:val="0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40"/>
        <w:gridCol w:w="7516"/>
      </w:tblGrid>
      <w:tr w:rsidR="00B23736" w:rsidRPr="00ED7D22" w:rsidTr="005E63B7">
        <w:tc>
          <w:tcPr>
            <w:tcW w:w="1384" w:type="dxa"/>
          </w:tcPr>
          <w:p w:rsidR="00B23736" w:rsidRPr="00ED7D22" w:rsidRDefault="00B23736" w:rsidP="005E63B7">
            <w:pPr>
              <w:pStyle w:val="TitulliTitull"/>
              <w:rPr>
                <w:sz w:val="20"/>
                <w:szCs w:val="20"/>
                <w:lang w:val="sq-AL"/>
              </w:rPr>
            </w:pPr>
            <w:r w:rsidRPr="00ED7D22">
              <w:rPr>
                <w:sz w:val="20"/>
                <w:szCs w:val="20"/>
                <w:lang w:val="sq-AL"/>
              </w:rPr>
              <w:t xml:space="preserve">MOD 90 </w:t>
            </w:r>
          </w:p>
          <w:p w:rsidR="00B23736" w:rsidRPr="00ED7D22" w:rsidRDefault="00B23736" w:rsidP="005E63B7">
            <w:pPr>
              <w:pStyle w:val="TitulliTitull"/>
              <w:rPr>
                <w:caps w:val="0"/>
                <w:sz w:val="20"/>
                <w:szCs w:val="20"/>
                <w:lang w:val="sq-AL"/>
              </w:rPr>
            </w:pPr>
            <w:r w:rsidRPr="00ED7D22">
              <w:rPr>
                <w:sz w:val="20"/>
                <w:szCs w:val="20"/>
                <w:lang w:val="sq-AL"/>
              </w:rPr>
              <w:t xml:space="preserve">PP-98  </w:t>
            </w:r>
          </w:p>
        </w:tc>
        <w:tc>
          <w:tcPr>
            <w:tcW w:w="790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2. Konferencat botërore të radiokomunikimit do të zhvillohen normalisht çdo tre –katër vjet; megjithatë, pas aplikimit të dispozitave përkatëse të Konventës, nuk nevojitet të zhvillohet një konferencë e tillë ose mund të zhvillohet një konferencë shtesë.</w:t>
            </w:r>
          </w:p>
        </w:tc>
      </w:tr>
      <w:tr w:rsidR="00B23736" w:rsidRPr="00ED7D22" w:rsidTr="005E63B7">
        <w:tc>
          <w:tcPr>
            <w:tcW w:w="1384" w:type="dxa"/>
          </w:tcPr>
          <w:p w:rsidR="00B23736" w:rsidRPr="00ED7D22" w:rsidRDefault="00B23736" w:rsidP="005E63B7">
            <w:pPr>
              <w:pStyle w:val="TitulliTitull"/>
              <w:rPr>
                <w:sz w:val="20"/>
                <w:szCs w:val="20"/>
                <w:lang w:val="sq-AL"/>
              </w:rPr>
            </w:pPr>
            <w:r w:rsidRPr="00ED7D22">
              <w:rPr>
                <w:sz w:val="20"/>
                <w:szCs w:val="20"/>
                <w:lang w:val="sq-AL"/>
              </w:rPr>
              <w:t xml:space="preserve">MOD 91 </w:t>
            </w:r>
          </w:p>
          <w:p w:rsidR="00B23736" w:rsidRPr="00ED7D22" w:rsidRDefault="00B23736" w:rsidP="005E63B7">
            <w:pPr>
              <w:pStyle w:val="TitulliTitull"/>
              <w:rPr>
                <w:caps w:val="0"/>
                <w:sz w:val="20"/>
                <w:szCs w:val="20"/>
                <w:lang w:val="sq-AL"/>
              </w:rPr>
            </w:pPr>
            <w:r w:rsidRPr="00ED7D22">
              <w:rPr>
                <w:sz w:val="20"/>
                <w:szCs w:val="20"/>
                <w:lang w:val="sq-AL"/>
              </w:rPr>
              <w:t>PP-98</w:t>
            </w:r>
          </w:p>
        </w:tc>
        <w:tc>
          <w:tcPr>
            <w:tcW w:w="790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3. Asambletë e radiokomunikimit do të mblidhen normalisht çdo tre-katër vjet dhe duhet të shoqërohen në vendin dhe kohën e konferencave botërore të radiokomunikimit, në mënyrë që të përmirësojnë efiçencën dhe efektivitetin e sektorit të radiokomunikimit. Asambletë e radiokomunikimit duhet të sigurojnë bazën e nevojshme teknike për punën e konferencave botërore të radiokomunikimit dhe t’u përgjigjen të gjitha kërkesave të konferencave botërore të radiokomunikimit. Detyrat e asambleve të radiokomunikimit specifikohen në Konventë.</w:t>
            </w:r>
          </w:p>
        </w:tc>
      </w:tr>
    </w:tbl>
    <w:p w:rsidR="00B23736" w:rsidRPr="00ED7D22" w:rsidRDefault="00B23736" w:rsidP="00B23736">
      <w:pPr>
        <w:pStyle w:val="NeniNr"/>
        <w:keepNext w:val="0"/>
        <w:rPr>
          <w:szCs w:val="22"/>
          <w:lang w:val="sq-AL"/>
        </w:rPr>
      </w:pPr>
    </w:p>
    <w:p w:rsidR="00B23736" w:rsidRPr="00ED7D22" w:rsidRDefault="00B23736" w:rsidP="00B23736">
      <w:pPr>
        <w:pStyle w:val="NeniNr"/>
        <w:keepNext w:val="0"/>
        <w:rPr>
          <w:szCs w:val="22"/>
          <w:lang w:val="sq-AL"/>
        </w:rPr>
      </w:pPr>
    </w:p>
    <w:p w:rsidR="00B23736" w:rsidRPr="00ED7D22" w:rsidRDefault="00B23736" w:rsidP="00B23736">
      <w:pPr>
        <w:pStyle w:val="NeniNr"/>
        <w:keepNext w:val="0"/>
        <w:rPr>
          <w:szCs w:val="22"/>
          <w:lang w:val="sq-AL"/>
        </w:rPr>
      </w:pPr>
      <w:r w:rsidRPr="00ED7D22">
        <w:rPr>
          <w:szCs w:val="22"/>
          <w:lang w:val="sq-AL"/>
        </w:rPr>
        <w:t>CS/Neni 28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Kapitulli V</w:t>
      </w:r>
    </w:p>
    <w:p w:rsidR="00B23736" w:rsidRPr="00ED7D22" w:rsidRDefault="00B23736" w:rsidP="00B23736">
      <w:pPr>
        <w:pStyle w:val="TitulliTitull"/>
        <w:rPr>
          <w:lang w:val="sq-AL"/>
        </w:rPr>
      </w:pPr>
      <w:r w:rsidRPr="00ED7D22">
        <w:rPr>
          <w:lang w:val="sq-AL"/>
        </w:rPr>
        <w:t>Dispozita të tjera në lidhje me funksionimin e Unionit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</w:p>
    <w:p w:rsidR="00B23736" w:rsidRPr="00ED7D22" w:rsidRDefault="00B23736" w:rsidP="00B23736">
      <w:pPr>
        <w:pStyle w:val="NeniNr"/>
        <w:rPr>
          <w:szCs w:val="22"/>
          <w:lang w:val="sq-AL"/>
        </w:rPr>
      </w:pPr>
      <w:r w:rsidRPr="00ED7D22">
        <w:rPr>
          <w:szCs w:val="22"/>
          <w:lang w:val="sq-AL"/>
        </w:rPr>
        <w:t>Neni 28</w:t>
      </w:r>
    </w:p>
    <w:p w:rsidR="00B23736" w:rsidRPr="00ED7D22" w:rsidRDefault="00B23736" w:rsidP="00B23736">
      <w:pPr>
        <w:pStyle w:val="NeniTitull"/>
        <w:rPr>
          <w:szCs w:val="22"/>
          <w:lang w:val="sq-AL"/>
        </w:rPr>
      </w:pPr>
      <w:r w:rsidRPr="00ED7D22">
        <w:rPr>
          <w:szCs w:val="22"/>
          <w:lang w:val="sq-AL"/>
        </w:rPr>
        <w:t>Financat e Unionit</w:t>
      </w:r>
    </w:p>
    <w:p w:rsidR="00B23736" w:rsidRPr="00ED7D22" w:rsidRDefault="00B23736" w:rsidP="00B23736">
      <w:pPr>
        <w:pStyle w:val="Paragrafi0"/>
        <w:ind w:firstLine="0"/>
        <w:rPr>
          <w:szCs w:val="22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43"/>
        <w:gridCol w:w="7513"/>
      </w:tblGrid>
      <w:tr w:rsidR="00B23736" w:rsidRPr="00ED7D22" w:rsidTr="005E63B7">
        <w:tc>
          <w:tcPr>
            <w:tcW w:w="138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MOD 161C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PP-98</w:t>
            </w:r>
          </w:p>
        </w:tc>
        <w:tc>
          <w:tcPr>
            <w:tcW w:w="790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2. Sekretariati i Përgjithshëm informon shtetet anëtare dhe anëtarët e sektorit për shumën e parashikuar të njësisë kontribuese, siç është përcaktuar në nr.161B më sipër dhe fton shtetet anëtare që të njoftojnë jo më vonë se katër javë para datës së caktuar për hapjen e Konferencës Fuqiplotë, kategorinë e kontributit që ata kanë zgjedhur paraprakisht.</w:t>
            </w:r>
          </w:p>
        </w:tc>
      </w:tr>
      <w:tr w:rsidR="00B23736" w:rsidRPr="00ED7D22" w:rsidTr="005E63B7">
        <w:tc>
          <w:tcPr>
            <w:tcW w:w="138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MOD 161E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PP-98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PP-02</w:t>
            </w:r>
          </w:p>
        </w:tc>
        <w:tc>
          <w:tcPr>
            <w:tcW w:w="790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20"/>
                <w:lang w:val="sq-AL"/>
              </w:rPr>
            </w:pPr>
            <w:r w:rsidRPr="00ED7D22">
              <w:rPr>
                <w:sz w:val="20"/>
                <w:lang w:val="sq-AL"/>
              </w:rPr>
              <w:t>4. Mbështetur në draftin e planit financiar të rishikuar, sa më shpejt që të jetë e mundur, konferenca fuqiplotë përcakton kufirin më të lartë të shumës për njësinë kontribuese dhe cakton datën e cila duhet të jetë maksimumi dita e hënë e javës së fundit të punimeve të Konferencës Fuqiplotë, në të cilën shtetet anëtare, në bazë të ftesës së bërë nga Sekretariati i Përgjithshëm, duhet të njoftojnë zgjedhjen e tyre përfundimtare të kategorisë së kontribuimit.</w:t>
            </w:r>
          </w:p>
        </w:tc>
      </w:tr>
    </w:tbl>
    <w:p w:rsidR="00B23736" w:rsidRPr="00ED7D22" w:rsidRDefault="00B23736" w:rsidP="00B23736">
      <w:pPr>
        <w:pStyle w:val="Paragrafi0"/>
        <w:ind w:firstLine="0"/>
        <w:rPr>
          <w:szCs w:val="22"/>
          <w:lang w:val="sq-AL"/>
        </w:rPr>
      </w:pPr>
    </w:p>
    <w:p w:rsidR="00B23736" w:rsidRPr="00ED7D22" w:rsidRDefault="00B23736" w:rsidP="00B23736">
      <w:pPr>
        <w:pStyle w:val="NeniNr"/>
        <w:rPr>
          <w:szCs w:val="22"/>
          <w:lang w:val="sq-AL"/>
        </w:rPr>
      </w:pPr>
      <w:r w:rsidRPr="00ED7D22">
        <w:rPr>
          <w:szCs w:val="22"/>
          <w:lang w:val="sq-AL"/>
        </w:rPr>
        <w:t>Neni 29</w:t>
      </w:r>
    </w:p>
    <w:p w:rsidR="00B23736" w:rsidRPr="00ED7D22" w:rsidRDefault="00B23736" w:rsidP="00B23736">
      <w:pPr>
        <w:pStyle w:val="NeniTitull"/>
        <w:rPr>
          <w:szCs w:val="22"/>
          <w:lang w:val="sq-AL"/>
        </w:rPr>
      </w:pPr>
      <w:r w:rsidRPr="00ED7D22">
        <w:rPr>
          <w:szCs w:val="22"/>
          <w:lang w:val="sq-AL"/>
        </w:rPr>
        <w:t>Gjuhët</w:t>
      </w:r>
    </w:p>
    <w:p w:rsidR="00B23736" w:rsidRPr="00ED7D22" w:rsidRDefault="00B23736" w:rsidP="00B23736">
      <w:pPr>
        <w:pStyle w:val="Paragrafi0"/>
        <w:ind w:firstLine="0"/>
        <w:rPr>
          <w:szCs w:val="22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01"/>
        <w:gridCol w:w="7355"/>
      </w:tblGrid>
      <w:tr w:rsidR="00B23736" w:rsidRPr="00ED7D22" w:rsidTr="005E63B7">
        <w:tc>
          <w:tcPr>
            <w:tcW w:w="1548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MOD 171   1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7739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1. Gjuhët zyrtare të unionit do të jenë arabisht, gjuha kineze, anglisht, frëngjisht, rusisht dhe spanjisht.</w:t>
            </w:r>
          </w:p>
        </w:tc>
      </w:tr>
    </w:tbl>
    <w:p w:rsidR="00B23736" w:rsidRPr="00ED7D22" w:rsidRDefault="00B23736" w:rsidP="00B23736">
      <w:pPr>
        <w:pStyle w:val="Paragrafi0"/>
        <w:ind w:firstLine="0"/>
        <w:rPr>
          <w:szCs w:val="22"/>
          <w:lang w:val="sq-AL"/>
        </w:rPr>
      </w:pPr>
    </w:p>
    <w:p w:rsidR="00B23736" w:rsidRPr="00ED7D22" w:rsidRDefault="00B23736" w:rsidP="00B23736">
      <w:pPr>
        <w:pStyle w:val="PjesaTitull"/>
        <w:rPr>
          <w:lang w:val="sq-AL"/>
        </w:rPr>
      </w:pPr>
      <w:r w:rsidRPr="00ED7D22">
        <w:rPr>
          <w:lang w:val="sq-AL"/>
        </w:rPr>
        <w:t>Pjesa II</w:t>
      </w:r>
    </w:p>
    <w:p w:rsidR="00B23736" w:rsidRPr="00ED7D22" w:rsidRDefault="00B23736" w:rsidP="00B23736">
      <w:pPr>
        <w:pStyle w:val="PjesaTitull"/>
        <w:rPr>
          <w:lang w:val="sq-AL"/>
        </w:rPr>
      </w:pPr>
      <w:r w:rsidRPr="00ED7D22">
        <w:rPr>
          <w:lang w:val="sq-AL"/>
        </w:rPr>
        <w:t>Data e hyrjes në fuqi</w:t>
      </w:r>
    </w:p>
    <w:p w:rsidR="00B23736" w:rsidRPr="00ED7D22" w:rsidRDefault="00B23736" w:rsidP="00B23736">
      <w:pPr>
        <w:pStyle w:val="Paragrafi0"/>
        <w:ind w:firstLine="0"/>
        <w:rPr>
          <w:sz w:val="14"/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Amendamentet e përfshira në këtë instrument duhet të hyjnë në fuqi më 1 janar 2008 mes shteteve anëtare, të cilat do të jenë në atë periudhë pjesë e Kushtetutës dhe Konventës së Unionit Ndërkombëtar të Telekomunikacionit (Gjenevë, 1992), dhe duke depozituar para asaj date instrumentin e tyre të ratifikimit, pranimit apo miratimit ose aderimit në instrumentin aktual amendues.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Në dëshmi sa më sipër, të plotfuqishmit përkatës kanë nënshkruar origjinalin e këtij instrumenti që përmirëson Kushtetutën e Unionit Ndërkombëtar të Telekomunikacionit (Gjenevë, 1992), të amenduar nga Konferenca Fuqiplotë (Kyoto, 1994), Konferenca Fuqiplotë (Minneapolis, 1998) dhe nga Konferenca Fuqiplotë (Marrakesh, 2002).</w:t>
      </w:r>
    </w:p>
    <w:p w:rsidR="00B23736" w:rsidRPr="00ED7D22" w:rsidRDefault="00B23736" w:rsidP="00B23736">
      <w:pPr>
        <w:pStyle w:val="Paragrafi0"/>
        <w:rPr>
          <w:szCs w:val="22"/>
          <w:lang w:val="sq-AL"/>
        </w:rPr>
      </w:pPr>
      <w:r w:rsidRPr="00ED7D22">
        <w:rPr>
          <w:szCs w:val="22"/>
          <w:lang w:val="sq-AL"/>
        </w:rPr>
        <w:t>Bërë në Antalia, më 24 nëntor 2006.</w:t>
      </w:r>
    </w:p>
    <w:p w:rsidR="00B23736" w:rsidRPr="00ED7D22" w:rsidRDefault="00B23736" w:rsidP="00B23736">
      <w:pPr>
        <w:pStyle w:val="Paragrafi0"/>
        <w:rPr>
          <w:sz w:val="14"/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 w:val="14"/>
          <w:szCs w:val="22"/>
          <w:lang w:val="sq-AL"/>
        </w:rPr>
      </w:pPr>
    </w:p>
    <w:p w:rsidR="00B23736" w:rsidRPr="00ED7D22" w:rsidRDefault="00B23736" w:rsidP="00B23736">
      <w:pPr>
        <w:pStyle w:val="Paragrafi0"/>
        <w:rPr>
          <w:sz w:val="14"/>
          <w:szCs w:val="22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22"/>
        <w:gridCol w:w="4434"/>
      </w:tblGrid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Për Afganistanin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BARYALAI HASSAM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AJMAL AYAN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Argjentinase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SERGIO SCARABINO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ANTONIO ERMESTE CRISTIANI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JUAN FACUNDO FERNANDES BEGNI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Shqipërinë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ARIAN SINOIMERI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Armenisë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ALBERT NALBANDIAN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Demokratike Popullore të Algjerisë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SMAIL ALLAOUA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Australinë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COLIN LAWRENCE OLIVER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JASON CAMPBELL ASHURST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Federale të Gjermanisë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WILHELM ESCHWEILER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Austrinë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CHRISTIAN SINGER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SUSANA WOLFER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Andorën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JAUME SALVAT FONT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Azerbajxhanit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ALI ABBASOV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AYAZ BAYRAMOV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Angolën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VIRGILIO MARQUES DE FARIA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Mbretërinë e Bahreinit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S.M.BIN KHALIFA AL-KHALIFA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Për Mbretërinë e Arabisë Saudite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MOHAMMED JAMIL A. MULLA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FAREED Y. KHASHOGGI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SAMI AL-BASHEER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HAREEB K.AL SHANKITI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Popullore të Bangladeshit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REZAKUL HAIDER</w:t>
            </w:r>
          </w:p>
        </w:tc>
      </w:tr>
      <w:tr w:rsidR="00B23736" w:rsidRPr="00ED7D22" w:rsidTr="005E63B7">
        <w:trPr>
          <w:trHeight w:val="239"/>
        </w:trPr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Barbadosin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NATALIE BURKE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Kanadanë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BRUCE A.GRACIE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WILIAM R.GRAHAM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Bjellorusisë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IVAN RAK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Kepit të Gjelbër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DAVID GOMEZ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Belgjikën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GUIDO POUILLON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Për Republikën e Afrikës Qendrore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VALERI SAI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JUSTIN GOURNA-ZACKO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Beninit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GHABI BOUBAKAR O.ABOUBAKAR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Kilin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GONZALO NAVARRO CABRERA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Për Mbretërinë e Butanit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TENZIN CHHOEDA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Popullore të Kinës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YONGHONG ZHAO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Për Bosnjë dhe Hercegovinën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ZELJKO KNEZEVIC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Qipros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GEORGIOS KOMODROMOS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ANTONIS ANTONIADES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Botsvanës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CUTHBERT M. LEKAUKAU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PHOENG OABITSA TAMASIGA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TEBOGO TAU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TSHOGANETSO KEPALETSWE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AARON T. NYELESI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Qytet-Shtetin e Vatikanit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SANDRO PIER VENANZI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6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6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Federative të Brazilit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PLINIO de AGUIAR JUNIOR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JOAU CARLOS FAGUNDES ALBERNAZ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Kolumbisë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JOAQUIN GABRIEL RESTREPO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FRANKLIN MERCHAN CALDERON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Brunei Darusalam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HAIRUL MOHD DAUD ABDUL KARIM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Unionin e Komoros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ALI MOHAMED ABDALLAH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AHMED ABDOU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Bullgarisë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DIMITAR STANCHEV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PETKO KANTCHEV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Kongos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AKOUALA AKOUALA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Burkina Fason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JACQUES A.LOUARI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Koresë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SEONG-CHUL KANG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Për Republikën e Burundit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MARIE GORETH NIZIGAMA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Kosta Rikën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PEDRO PABLO UQIROS CORTES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Për Mbretërinë e Kamboxhias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NARATH LAR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Bregut të Fildishtë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JEAN BAPTISTE YAO KOUAKOU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ALEXIS KOFFI KOUMAN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FELIX NANIHIO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Kamerunit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ISMAILA MOUCHILI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JEAN PIERRE BIYIT BI ESSAM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Federale Demokratike të Etiopisë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MULATO TESHOME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Kroacisë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DRAZEN BREGLEC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KRESO ANTONOVIC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Federatën Ruse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LEONID D.REMAIN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Kubën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RAMON LINARES TORRES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KARLOS MARTINEZ ALBUERNE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ADGAR ERMOS CRESPO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Finlandën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OLLI MATTILA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Danimarkën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HENRIK KJAER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KIRSTEN BAK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LASSE HOM GROENNING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Francën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GILLES CHOURAQUI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Domenikane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CLAUDIA ACRA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Gaboneze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CLOTAIRE ELANGMANE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WILLIAM MOUNGALA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STANISLAS OKOUMA LEKHOUYI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JACQUES EDANE NIKWELE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FABIEN MBENG EKHOGA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ROGER YVES GRANDET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JEAN-JACQUES MASSIMA-LANDJI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Arabe të Egjiptit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AMRA HASHEM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Gambias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YUSUPHA DIBBA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YANKUBA TOURE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OMAR P.NDOU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PHODAY SISAY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EBOY CEESAY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EBRIMA BANDEH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Salvadorit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MIGUEL ANGEL ALCAINE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SAUL VASQUEZ GONZALES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Gjeorgjinë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DAVID TSIKLAURI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MIKHEIL GOTOSHIA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Emiratet e Bashkuara Arabe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TARIQ AL AWADHI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ABDULRIDA ASKER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ABDULAZIZ BAWAZEER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Ganën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BENJAMIN AGGERY NTIM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Ekuadorin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JOSE VIVANCO ARIAS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GERMAN CELLERI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Greqinë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NISSIM BENMAYOR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VASSILIS CASSAPOGLOU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Spanjën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LUIS SANZ GADEA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BLANCA GONZALES GONZALES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MANUEL ZARAGOZA MIFSUD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Guatemalës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OSCAR CHINCILLA GUZMAN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IBRAHIMA KENDA SOUARE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HABIB TALL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Estonisë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TONU NIRK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Xhamajkën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J. PAUL MORGAN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Shtetet e Bashkuara të Amerikës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DAVID A.GROSS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RICHARD C.BEAIRD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Japoninë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TOMOYUKI ABE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Guinesë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ALPHA OUMAR BALDE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MAMADOU DIOULDE SOU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MOHAMED SYLLA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ABDOULAYE KEBE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Mbretërinë Hashemite të Jordanisë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AFRAM JAMAL-DENIAN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Guinesë Ekuatoriale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MELCHOR EFUA MOKUIY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Kenias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BITANGE NDEMO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FELIX MUGABE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JOHN OMO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Islandën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ARI JOHANNSSON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shtetin e Kuvaitit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HAMEED ALQATTAN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HEND AL MASOUD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SALEH KHALAF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Hondurasit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JOSE MIGUEL PAZ IZAGUIRRE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Popullore Demokratike të Laosit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PHOMMATANSY PALAMI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Hungarisë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FERENC NORVATH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PETER VARI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Mbretërinë e Lesotos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TSELISO MOKELA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TLALI MANOSA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Indisë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P.K.GARG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ASHOK CHANDRA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R.N.JHA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Letonisë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RAIMONDS BERGMANIS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Indonezisë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IKHSAN BAIDIRUS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jc w:val="left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Jamahirija Arabe Popullore Socialiste të Libisë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MARWAN HAMADE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ABDUL-MUNHEM YOUSSEF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MAURICE GHAZAL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Islamike të Iranit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AHMAD POURANGINIA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Principatën e Lihtenshtejnit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 KURT BUHLER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Irakut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MOHAMMED SALMAN AL HAMADANY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WEQAR ALI ZEIN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Lituanisë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SALAUSKAS VALDEMRAS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Irlandën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CAOIMHIN SMITH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Luksemburgun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ANNE BLAU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Madagaskarit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MARCEL AIME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Moldavisë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PAVEL BUCEATCHI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6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6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Malajzinë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AMARJIT S.K.SINGH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Principatën e Monakos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ROBERT FILLON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2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2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Malavin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MIKE KUNTIYA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BERSON LIJENDA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FUMBANI SICHINGA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NELLIE NSEULA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Mongolinë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SAIKHANBILEG CHIMED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Maldiveve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MOHAMED AMIR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ILYAS AHMED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Malit të Zi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JOVANOVIC DEJAN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Malit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ADAMA KONATE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IDRISSA SAMAKE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DIADIE TOURE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COULIBALY FATIMATA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Mozambikut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LUIS JOSE REGO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JULIO BOUQUE DE MIRANDA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Maltën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IVAN BUGESA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Unionin e Mjanmarit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TIN HTWE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KHIN MAUNG THET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Mbretërinë e Marokut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HASSAN LEBBADI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Namibisë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HENRI KASSEN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e Ishujve Marshall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DAVID A.GROSS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Nepalin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ANANDA RAJ KHANAL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4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shtetin e Izraelit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MOSHE GALILI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LIAT GLAZER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 xml:space="preserve">Për Nikaraguan 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PABLO DE LA ROCA</w:t>
            </w: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Italinë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CARMELO BASSO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Republikën Islamike të Mauritanisë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MOHAMED ELKORY OULD CHEINE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2"/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 w:val="12"/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Meksikën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REINALDO GONZALES BUSTAMANTE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LEONEL LOPEZ CELAYA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  <w:tr w:rsidR="00B23736" w:rsidRPr="00ED7D22" w:rsidTr="005E63B7">
        <w:tc>
          <w:tcPr>
            <w:tcW w:w="4643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Për Shtetet e Federuara të Mikronezisë</w:t>
            </w:r>
          </w:p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  <w:r w:rsidRPr="00ED7D22">
              <w:rPr>
                <w:szCs w:val="22"/>
                <w:lang w:val="sq-AL"/>
              </w:rPr>
              <w:t>SHARON D.JAHN</w:t>
            </w:r>
          </w:p>
        </w:tc>
        <w:tc>
          <w:tcPr>
            <w:tcW w:w="4644" w:type="dxa"/>
          </w:tcPr>
          <w:p w:rsidR="00B23736" w:rsidRPr="00ED7D22" w:rsidRDefault="00B23736" w:rsidP="005E63B7">
            <w:pPr>
              <w:pStyle w:val="Paragrafi0"/>
              <w:ind w:firstLine="0"/>
              <w:rPr>
                <w:szCs w:val="22"/>
                <w:lang w:val="sq-AL"/>
              </w:rPr>
            </w:pPr>
          </w:p>
        </w:tc>
      </w:tr>
    </w:tbl>
    <w:p w:rsidR="00B23736" w:rsidRPr="00ED7D22" w:rsidRDefault="00B23736" w:rsidP="00B23736">
      <w:pPr>
        <w:pStyle w:val="Akti"/>
        <w:keepNext w:val="0"/>
        <w:rPr>
          <w:lang w:val="sq-AL"/>
        </w:rPr>
      </w:pPr>
    </w:p>
    <w:sectPr w:rsidR="00B23736" w:rsidRPr="00ED7D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3B7" w:rsidRDefault="005E63B7">
      <w:r>
        <w:separator/>
      </w:r>
    </w:p>
  </w:endnote>
  <w:endnote w:type="continuationSeparator" w:id="0">
    <w:p w:rsidR="005E63B7" w:rsidRDefault="005E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3B7" w:rsidRDefault="005E63B7">
      <w:r>
        <w:separator/>
      </w:r>
    </w:p>
  </w:footnote>
  <w:footnote w:type="continuationSeparator" w:id="0">
    <w:p w:rsidR="005E63B7" w:rsidRDefault="005E63B7">
      <w:r>
        <w:continuationSeparator/>
      </w:r>
    </w:p>
  </w:footnote>
  <w:footnote w:id="1">
    <w:p w:rsidR="00B23736" w:rsidRDefault="00B23736" w:rsidP="00B23736">
      <w:pPr>
        <w:pStyle w:val="FootnoteText"/>
        <w:rPr>
          <w:rStyle w:val="ParagrafiChar"/>
        </w:rPr>
      </w:pPr>
      <w:r>
        <w:rPr>
          <w:rStyle w:val="FootnoteReference"/>
        </w:rPr>
        <w:footnoteRef/>
      </w:r>
      <w:r w:rsidRPr="000D2B60">
        <w:rPr>
          <w:lang w:val="it-IT"/>
        </w:rPr>
        <w:t xml:space="preserve"> </w:t>
      </w:r>
      <w:r w:rsidRPr="00E26EA4">
        <w:rPr>
          <w:rStyle w:val="ParagrafiChar"/>
        </w:rPr>
        <w:t>Gjuha e p</w:t>
      </w:r>
      <w:r>
        <w:rPr>
          <w:rStyle w:val="ParagrafiChar"/>
        </w:rPr>
        <w:t>ë</w:t>
      </w:r>
      <w:r w:rsidRPr="00E26EA4">
        <w:rPr>
          <w:rStyle w:val="ParagrafiChar"/>
        </w:rPr>
        <w:t>rdorur n</w:t>
      </w:r>
      <w:r>
        <w:rPr>
          <w:rStyle w:val="ParagrafiChar"/>
        </w:rPr>
        <w:t>ë</w:t>
      </w:r>
      <w:r w:rsidRPr="00E26EA4">
        <w:rPr>
          <w:rStyle w:val="ParagrafiChar"/>
        </w:rPr>
        <w:t xml:space="preserve"> instrumentet baz</w:t>
      </w:r>
      <w:r>
        <w:rPr>
          <w:rStyle w:val="ParagrafiChar"/>
        </w:rPr>
        <w:t>ë</w:t>
      </w:r>
      <w:r w:rsidRPr="00E26EA4">
        <w:rPr>
          <w:rStyle w:val="ParagrafiChar"/>
        </w:rPr>
        <w:t xml:space="preserve"> t</w:t>
      </w:r>
      <w:r>
        <w:rPr>
          <w:rStyle w:val="ParagrafiChar"/>
        </w:rPr>
        <w:t>ë</w:t>
      </w:r>
      <w:r w:rsidRPr="00E26EA4">
        <w:rPr>
          <w:rStyle w:val="ParagrafiChar"/>
        </w:rPr>
        <w:t xml:space="preserve"> Unionit (Kushtetuta dhe Konventa) do t</w:t>
      </w:r>
      <w:r>
        <w:rPr>
          <w:rStyle w:val="ParagrafiChar"/>
        </w:rPr>
        <w:t>ë konsiderohet</w:t>
      </w:r>
    </w:p>
    <w:p w:rsidR="00B23736" w:rsidRPr="00CE5FF6" w:rsidRDefault="00B23736" w:rsidP="00B23736">
      <w:pPr>
        <w:pStyle w:val="FootnoteText"/>
        <w:rPr>
          <w:lang w:val="en-US"/>
        </w:rPr>
      </w:pPr>
      <w:r w:rsidRPr="00E26EA4">
        <w:rPr>
          <w:rStyle w:val="ParagrafiChar"/>
        </w:rPr>
        <w:t>asnjan</w:t>
      </w:r>
      <w:r>
        <w:rPr>
          <w:rStyle w:val="ParagrafiChar"/>
        </w:rPr>
        <w:t>ë</w:t>
      </w:r>
      <w:r w:rsidRPr="00E26EA4">
        <w:rPr>
          <w:rStyle w:val="ParagrafiChar"/>
        </w:rPr>
        <w:t>se p</w:t>
      </w:r>
      <w:r>
        <w:rPr>
          <w:rStyle w:val="ParagrafiChar"/>
        </w:rPr>
        <w:t>ë</w:t>
      </w:r>
      <w:r w:rsidRPr="00E26EA4">
        <w:rPr>
          <w:rStyle w:val="ParagrafiChar"/>
        </w:rPr>
        <w:t>rsa i p</w:t>
      </w:r>
      <w:r>
        <w:rPr>
          <w:rStyle w:val="ParagrafiChar"/>
        </w:rPr>
        <w:t>ë</w:t>
      </w:r>
      <w:r w:rsidRPr="00E26EA4">
        <w:rPr>
          <w:rStyle w:val="ParagrafiChar"/>
        </w:rPr>
        <w:t>rket gjinis</w:t>
      </w:r>
      <w:r>
        <w:rPr>
          <w:rStyle w:val="ParagrafiChar"/>
        </w:rPr>
        <w:t>ë.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373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43B6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5FC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5F84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166A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433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3B7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346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3736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C09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5C6600-C4B9-4092-A7BB-EE99097B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736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lang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eastAsia="MS Mincho"/>
      <w:noProof/>
      <w:sz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eastAsia="MS Mincho"/>
      <w:sz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eastAsia="MS Mincho"/>
      <w:noProof/>
      <w:sz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eastAsia="MS Mincho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eastAsia="Times" w:cs="Arial"/>
      <w:sz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character" w:customStyle="1" w:styleId="FootnoteTextChar">
    <w:name w:val="Footnote Text Char"/>
    <w:aliases w:val="Fußnote Char,Footnote Text Char Char Char Char"/>
    <w:basedOn w:val="DefaultParagraphFont"/>
    <w:link w:val="FootnoteText"/>
    <w:semiHidden/>
    <w:locked/>
    <w:rsid w:val="00B23736"/>
    <w:rPr>
      <w:lang w:val="en-GB" w:eastAsia="en-GB" w:bidi="ar-SA"/>
    </w:rPr>
  </w:style>
  <w:style w:type="paragraph" w:styleId="FootnoteText">
    <w:name w:val="footnote text"/>
    <w:aliases w:val="Fußnote,Footnote Text Char Char Char"/>
    <w:basedOn w:val="Normal"/>
    <w:link w:val="FootnoteTextChar"/>
    <w:semiHidden/>
    <w:unhideWhenUsed/>
    <w:rsid w:val="00B23736"/>
    <w:pPr>
      <w:ind w:left="720" w:hanging="720"/>
      <w:jc w:val="both"/>
    </w:pPr>
    <w:rPr>
      <w:rFonts w:ascii="Times New Roman" w:hAnsi="Times New Roman"/>
      <w:sz w:val="20"/>
      <w:lang w:eastAsia="en-GB"/>
    </w:rPr>
  </w:style>
  <w:style w:type="character" w:styleId="FootnoteReference">
    <w:name w:val="footnote reference"/>
    <w:basedOn w:val="DefaultParagraphFont"/>
    <w:semiHidden/>
    <w:rsid w:val="00B23736"/>
    <w:rPr>
      <w:vertAlign w:val="superscript"/>
    </w:rPr>
  </w:style>
  <w:style w:type="character" w:customStyle="1" w:styleId="ParagrafiChar">
    <w:name w:val="Paragrafi Char"/>
    <w:basedOn w:val="DefaultParagraphFont"/>
    <w:link w:val="Paragrafi0"/>
    <w:rsid w:val="00B23736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B2373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2373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3575</Words>
  <Characters>20382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23910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2019-03-17T17:38:00Z</dcterms:created>
  <dcterms:modified xsi:type="dcterms:W3CDTF">2019-03-17T17:38:00Z</dcterms:modified>
</cp:coreProperties>
</file>