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213" w:rsidRPr="00435F7B" w:rsidRDefault="009C0213" w:rsidP="009C021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35F7B">
        <w:rPr>
          <w:sz w:val="21"/>
          <w:szCs w:val="21"/>
        </w:rPr>
        <w:t>LIGJ</w:t>
      </w:r>
    </w:p>
    <w:p w:rsidR="009C0213" w:rsidRPr="00435F7B" w:rsidRDefault="009C0213" w:rsidP="009C0213">
      <w:pPr>
        <w:pStyle w:val="NumriData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Nr.10 341, datë 28.10.2010</w:t>
      </w:r>
    </w:p>
    <w:p w:rsidR="009C0213" w:rsidRPr="00435F7B" w:rsidRDefault="009C0213" w:rsidP="009C0213">
      <w:pPr>
        <w:pStyle w:val="Paragrafi"/>
        <w:rPr>
          <w:sz w:val="21"/>
          <w:szCs w:val="21"/>
        </w:rPr>
      </w:pPr>
    </w:p>
    <w:p w:rsidR="009C0213" w:rsidRPr="00435F7B" w:rsidRDefault="009C0213" w:rsidP="009C0213">
      <w:pPr>
        <w:pStyle w:val="Titulli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 xml:space="preserve">PËR STANDARDIZIMIN USHTARAK NË FORCAT E ARMATOSURA </w:t>
      </w:r>
    </w:p>
    <w:p w:rsidR="009C0213" w:rsidRPr="00435F7B" w:rsidRDefault="009C0213" w:rsidP="009C0213">
      <w:pPr>
        <w:pStyle w:val="Titulli"/>
        <w:keepNext w:val="0"/>
        <w:rPr>
          <w:sz w:val="21"/>
          <w:szCs w:val="21"/>
        </w:rPr>
      </w:pPr>
      <w:r w:rsidRPr="00435F7B">
        <w:rPr>
          <w:sz w:val="21"/>
          <w:szCs w:val="21"/>
        </w:rPr>
        <w:t>TË REPUBLIKËS SË SHQIPËRISË</w:t>
      </w:r>
    </w:p>
    <w:p w:rsidR="009C0213" w:rsidRPr="00435F7B" w:rsidRDefault="009C0213" w:rsidP="009C0213">
      <w:pPr>
        <w:pStyle w:val="Paragrafi"/>
        <w:ind w:firstLine="0"/>
        <w:rPr>
          <w:sz w:val="21"/>
          <w:szCs w:val="21"/>
        </w:rPr>
      </w:pPr>
    </w:p>
    <w:p w:rsidR="009C0213" w:rsidRPr="00435F7B" w:rsidRDefault="009C0213" w:rsidP="009C0213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9C0213" w:rsidRPr="001F1EE6" w:rsidRDefault="009C0213" w:rsidP="009C0213">
      <w:pPr>
        <w:pStyle w:val="Institucioni"/>
        <w:keepNext w:val="0"/>
        <w:rPr>
          <w:sz w:val="16"/>
          <w:szCs w:val="21"/>
        </w:rPr>
      </w:pPr>
    </w:p>
    <w:p w:rsidR="009C0213" w:rsidRPr="009C0213" w:rsidRDefault="009C0213" w:rsidP="009C0213">
      <w:pPr>
        <w:pStyle w:val="Institucioni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KUVENDI</w:t>
      </w:r>
    </w:p>
    <w:p w:rsidR="009C0213" w:rsidRPr="009C0213" w:rsidRDefault="009C0213" w:rsidP="009C0213">
      <w:pPr>
        <w:pStyle w:val="Institucioni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I REPUBLIKËS SË SHQIPËRISË</w:t>
      </w:r>
    </w:p>
    <w:p w:rsidR="009C0213" w:rsidRPr="009C0213" w:rsidRDefault="009C0213" w:rsidP="009C0213">
      <w:pPr>
        <w:pStyle w:val="Paragrafi"/>
        <w:rPr>
          <w:color w:val="000000"/>
          <w:sz w:val="21"/>
          <w:szCs w:val="21"/>
          <w:lang w:val="it-IT"/>
        </w:rPr>
      </w:pPr>
    </w:p>
    <w:p w:rsidR="009C0213" w:rsidRPr="009C0213" w:rsidRDefault="009C0213" w:rsidP="009C0213">
      <w:pPr>
        <w:pStyle w:val="VENDOSI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VENDOSI: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NeniNr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Neni 1</w:t>
      </w:r>
    </w:p>
    <w:p w:rsidR="009C0213" w:rsidRPr="009C0213" w:rsidRDefault="009C0213" w:rsidP="009C0213">
      <w:pPr>
        <w:pStyle w:val="NeniTitull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Objekti 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Objekt i këtij ligji është përcaktimi i rregullave për: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a) organizimin dhe funksionimin e sistemit të standardizimit ushtarak në Forcat e Armatosura të Republikës së Shqipërisë; 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b)  përcaktimin e strukturave dhe të përgjegjësive të tyre;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c) dhënien e fuqisë autoritetit</w:t>
      </w:r>
      <w:r w:rsidRPr="009C0213">
        <w:rPr>
          <w:i/>
          <w:sz w:val="21"/>
          <w:szCs w:val="21"/>
          <w:lang w:val="it-IT"/>
        </w:rPr>
        <w:t xml:space="preserve"> </w:t>
      </w:r>
      <w:r w:rsidRPr="009C0213">
        <w:rPr>
          <w:sz w:val="21"/>
          <w:szCs w:val="21"/>
          <w:lang w:val="it-IT"/>
        </w:rPr>
        <w:t>më të lartë për pranimin e marrëveshjeve të standardizimit STANAG/AP të NATO-s dhe të standardeve</w:t>
      </w:r>
      <w:r w:rsidRPr="009C0213">
        <w:rPr>
          <w:color w:val="FF0000"/>
          <w:sz w:val="21"/>
          <w:szCs w:val="21"/>
          <w:lang w:val="it-IT"/>
        </w:rPr>
        <w:t xml:space="preserve"> </w:t>
      </w:r>
      <w:r w:rsidRPr="009C0213">
        <w:rPr>
          <w:color w:val="000000"/>
          <w:sz w:val="21"/>
          <w:szCs w:val="21"/>
          <w:lang w:val="it-IT"/>
        </w:rPr>
        <w:t>për përdorim</w:t>
      </w:r>
      <w:r w:rsidRPr="009C0213">
        <w:rPr>
          <w:sz w:val="21"/>
          <w:szCs w:val="21"/>
          <w:lang w:val="it-IT"/>
        </w:rPr>
        <w:t xml:space="preserve"> nga njësitë e Forcave të Armatosura në fushën operacionale, materiale e administrative. </w:t>
      </w:r>
    </w:p>
    <w:p w:rsidR="009C0213" w:rsidRPr="009C0213" w:rsidRDefault="009C0213" w:rsidP="009C0213">
      <w:pPr>
        <w:pStyle w:val="NeniNr"/>
        <w:keepNext w:val="0"/>
        <w:rPr>
          <w:sz w:val="14"/>
          <w:szCs w:val="21"/>
          <w:lang w:val="it-IT"/>
        </w:rPr>
      </w:pPr>
    </w:p>
    <w:p w:rsidR="009C0213" w:rsidRPr="009C0213" w:rsidRDefault="009C0213" w:rsidP="009C0213">
      <w:pPr>
        <w:pStyle w:val="NeniNr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Neni 2</w:t>
      </w:r>
    </w:p>
    <w:p w:rsidR="009C0213" w:rsidRPr="009C0213" w:rsidRDefault="009C0213" w:rsidP="009C0213">
      <w:pPr>
        <w:pStyle w:val="NeniTitull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Qëllimi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Qëllimi i këtij ligji është krijimi i kuadrit ligjor për standardizimin ushtarak në Forcat e Armatosura të Republikës së Shqipërisë, përfshirë  procedurat e nevojshme për përzgjedhjen, pranimin, publikimin e zbatimin e marrëveshjeve të standardizimit STANAG/AP-ve të NATO-s dhe të standardeve civile për përdorim nga njësitë e Forcave të Armatosura.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NeniNr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Neni 3</w:t>
      </w:r>
    </w:p>
    <w:p w:rsidR="009C0213" w:rsidRPr="009C0213" w:rsidRDefault="009C0213" w:rsidP="009C0213">
      <w:pPr>
        <w:pStyle w:val="NeniTitull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Përkufizime</w:t>
      </w:r>
    </w:p>
    <w:p w:rsidR="009C0213" w:rsidRPr="001F1EE6" w:rsidRDefault="009C0213" w:rsidP="009C0213">
      <w:pPr>
        <w:pStyle w:val="Paragrafi"/>
        <w:rPr>
          <w:sz w:val="18"/>
          <w:szCs w:val="21"/>
          <w:lang w:val="sq-AL"/>
        </w:rPr>
      </w:pP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Në këtë ligj termat e mëposhtëm kanë këto kuptime:</w:t>
      </w:r>
    </w:p>
    <w:p w:rsidR="009C0213" w:rsidRPr="00435F7B" w:rsidRDefault="009C0213" w:rsidP="009C0213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1. “Standardizim” është zhvillimi dhe zbatimi i koncepteve, i procedurave dhe i rregullave të përbashkëta, me synimin për të zhvilluar e për të mbajtur kapacitetet e duhura operacionale në tri nivelet e standardizimit në fushën ushtarake; të përafrueshmërisë, të ndërkëmbyeshmërisë, të përputhshmërisë, në fushat e operacioneve, të procedurave, të materialeve, si dhe ato teknike e administrative, për të arritur ndërveprimin optimal të tyre.</w:t>
      </w:r>
    </w:p>
    <w:p w:rsidR="009C0213" w:rsidRPr="00435F7B" w:rsidRDefault="009C0213" w:rsidP="009C0213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2.“Marrëveshje standardizimi (STANAG)” është arritja e një marrëveshjeje ndërmjet disa shteteve ose të gjitha shteteve anëtare të Aleancës, për të adoptuar përdorimin e pajisjeve ushtarake të njëjta ose të përafërta, përfshirë municione, materiale furnizimi dhe rezerva, si dhe të procedurave operacionale, logjistike dhe administrative të njëjta. Pranimi nga vendet pjesëmarrëse i një  publikimi të Aleancës nga Agjencia e NATO-s për Standardizimin emërtohet si një marrëveshje standardizimi.</w:t>
      </w:r>
    </w:p>
    <w:p w:rsidR="009C0213" w:rsidRPr="00435F7B" w:rsidRDefault="009C0213" w:rsidP="009C0213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3. “Përafrueshmëria” është ngjashmëria e produkteve, proceseve ose e shërbimeve që ofrohen për përdorim të përbashkët, nga vendet e Aleancës, në kushte të caktuara, për të përmbushur kërkesa të paracaktuara, pa shkaktuar efekte të padëshiruara.</w:t>
      </w:r>
    </w:p>
    <w:p w:rsidR="009C0213" w:rsidRPr="00435F7B" w:rsidRDefault="009C0213" w:rsidP="009C0213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4. “Ndërkëmbyeshmëria” është aftësia e një produkti, e një procesi ose e një shërbimi, për t’u përdorur në mënyrë të shkëmbyeshme në vend të një produkti, procesi a shërbimi tjetër që përmbush kërkesa të njëjta.</w:t>
      </w:r>
    </w:p>
    <w:p w:rsidR="009C0213" w:rsidRPr="00435F7B" w:rsidRDefault="009C0213" w:rsidP="009C0213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 xml:space="preserve">5. “Përputhshmëria” është gjendja fundore e arritur kur vendet përdorin doktrina, procedura </w:t>
      </w:r>
      <w:r w:rsidRPr="00435F7B">
        <w:rPr>
          <w:sz w:val="21"/>
          <w:szCs w:val="21"/>
        </w:rPr>
        <w:lastRenderedPageBreak/>
        <w:t xml:space="preserve">ose pajisje të njëjta. </w:t>
      </w:r>
    </w:p>
    <w:p w:rsidR="009C0213" w:rsidRPr="00435F7B" w:rsidRDefault="009C0213" w:rsidP="009C0213">
      <w:pPr>
        <w:pStyle w:val="Paragrafi"/>
        <w:rPr>
          <w:sz w:val="21"/>
          <w:szCs w:val="21"/>
        </w:rPr>
      </w:pPr>
      <w:r w:rsidRPr="00435F7B">
        <w:rPr>
          <w:sz w:val="21"/>
          <w:szCs w:val="21"/>
        </w:rPr>
        <w:t>6. “Publikimi i Aleancës (AP)” është dokumenti zyrtar i standardizimit në NATO, për të cilin disa ose të gjitha vendet e NATO-s bien dakord ta përdorin, si një dokument autoritar të zbatimit të përbashkët, dhe që u jepet për zbatim të gjithë përdoruesve të të  gjitha niveleve.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7.“Autoriteti propozues i STANAG-ut” është komanda/drejtoria/institucioni që propozon fillimin e procesit të ratifikimit të një STANAG-u. 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8. “Autoriteti kujdestar” është komanda/drejtoria/institucioni që nis procesin e ratifikimit të një STANAG-u/AP-je.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9. “Grupi i ekspertëve” është një organizëm ose një grup pune në varësi të një autoriteti kujdestar, të cilit i jepet detyrë nga ky i fundit për zhvillimin e projekteve të dokumenteve normative të standardizimit.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10. “Personi përgjegjës i standardizimit” është personi mbikëqyrës dhe që shërben si pikë kontakti për zhvillimin e projekteve të dokumenteve normative të standardizimit. Ai është, në përgjithësi, kryetari i grupit të ekspertëve për vlerësimin, zbatimin dhe rishikimin e tyre.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11. “Raporti i vlerësimit” është një raport i hollësishëm i vlerësimit për secilin STANAG/AP, që shpreh implikimet e mundshme strukturore e infrastrukturore të pajisjeve e të sistemeve, të trajnimit e të arsimimit, të koncepteve e doktrinave, si dhe ato financiare për zbatimin e tij në një periudhë kohore të caktuar.  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12. “Propozimi” është faza e fillimit për përpunimin e një STANAG-u. Propozimet e standardizimit i paraqiten, nga vendet dhe organizmat e NATO-s, autoritetit përgjegjës të detyrës, duke përdorur një formular të standardizuar.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13. “Pranimi” është deklarimi, me anë të cilit një vend i NATO-s pranon zyrtarisht, me ose pa rezerva, përmbajtjen e një marrëveshjeje standardizimi të NATO-s (STANAG). 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14. “Shpallja” është një deklarim zyrtar nga autoriteti kompetent, i cili i jep STANAG-ut një efekt zbatimi në të gjitha vendet e NATO-s. Shpallja bëhet nga Drejtori i Agjencisë së NATO-s për Standardizimin (NSA) kur plotësohen kushtet e tij.</w:t>
      </w:r>
    </w:p>
    <w:p w:rsidR="009C0213" w:rsidRPr="00435F7B" w:rsidRDefault="009C0213" w:rsidP="009C0213">
      <w:pPr>
        <w:pStyle w:val="Paragrafi"/>
        <w:rPr>
          <w:sz w:val="21"/>
          <w:szCs w:val="21"/>
          <w:lang w:val="sq-AL"/>
        </w:rPr>
      </w:pPr>
    </w:p>
    <w:p w:rsidR="009C0213" w:rsidRPr="009C0213" w:rsidRDefault="009C0213" w:rsidP="009C0213">
      <w:pPr>
        <w:pStyle w:val="NeniNr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Neni 4</w:t>
      </w:r>
    </w:p>
    <w:p w:rsidR="009C0213" w:rsidRPr="009C0213" w:rsidRDefault="009C0213" w:rsidP="009C0213">
      <w:pPr>
        <w:pStyle w:val="NeniTitull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Qëllimi i veprimtarisë së standardizimit ushtarak në Forcat e Armatosura</w:t>
      </w:r>
    </w:p>
    <w:p w:rsidR="009C0213" w:rsidRPr="00435F7B" w:rsidRDefault="009C0213" w:rsidP="009C0213">
      <w:pPr>
        <w:pStyle w:val="Paragrafi"/>
        <w:rPr>
          <w:sz w:val="21"/>
          <w:szCs w:val="21"/>
          <w:lang w:val="sq-AL"/>
        </w:rPr>
      </w:pPr>
    </w:p>
    <w:p w:rsidR="009C0213" w:rsidRPr="00435F7B" w:rsidRDefault="009C0213" w:rsidP="009C0213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 xml:space="preserve">Qëllimi i standardizimit ushtarak është pranimi dhe zbatimi nga Forcat e Armatosura të Republikës së Shqipërisë i standardeve të NATO-s dhe i standardeve civile për përdorim nga njësitë e Forcave të Armatosura, për të siguruar rritjen e ndërveprimit ndërmjet llojeve të forcave e të shërbimeve brenda Forcave të Armatosura të Republikës së Shqipërisë dhe vendeve të Aleancës.   </w:t>
      </w:r>
    </w:p>
    <w:p w:rsidR="009C0213" w:rsidRPr="00435F7B" w:rsidRDefault="009C0213" w:rsidP="009C0213">
      <w:pPr>
        <w:pStyle w:val="Paragrafi"/>
        <w:rPr>
          <w:sz w:val="21"/>
          <w:szCs w:val="21"/>
          <w:lang w:val="sq-AL"/>
        </w:rPr>
      </w:pPr>
    </w:p>
    <w:p w:rsidR="009C0213" w:rsidRPr="009C0213" w:rsidRDefault="009C0213" w:rsidP="009C0213">
      <w:pPr>
        <w:pStyle w:val="NeniNr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Neni 5</w:t>
      </w:r>
    </w:p>
    <w:p w:rsidR="009C0213" w:rsidRPr="009C0213" w:rsidRDefault="009C0213" w:rsidP="009C0213">
      <w:pPr>
        <w:pStyle w:val="NeniTitull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Autoritetet, organizmat e standardizimit ushtarak në Forcat e Armatosura </w:t>
      </w:r>
    </w:p>
    <w:p w:rsidR="009C0213" w:rsidRPr="009C0213" w:rsidRDefault="009C0213" w:rsidP="009C0213">
      <w:pPr>
        <w:pStyle w:val="NeniTitull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dhe përgjegjësitë kryesore të tyre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1. Ministri i Mbrojtjes është autoriteti më i lartë civil në sistemin e standardizimit në Forcat e Armatosura. Ai përgjigjet, në emër të Republikës së Shqipërisë, për miratimin e politikave të zhvillimit të  standardizimit në Forcat e Armatosura dhe  pranimin  e  STANAG-ut/AP-ve të NATO-s. 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2. Shefi i Shtabit të Përgjithshëm të Forcave të Armatosura është autoriteti më i lartë ushtarak, që përgjigjet për funksionimin e sistemit të standardizimit në Forcat e Armatosura.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3. Bordi i standardizimit në Ministrinë e Mbrojtjes është organ i posaçëm (</w:t>
      </w:r>
      <w:r w:rsidRPr="009C0213">
        <w:rPr>
          <w:i/>
          <w:sz w:val="21"/>
          <w:szCs w:val="21"/>
          <w:lang w:val="it-IT"/>
        </w:rPr>
        <w:t>ad hoc</w:t>
      </w:r>
      <w:r w:rsidRPr="009C0213">
        <w:rPr>
          <w:sz w:val="21"/>
          <w:szCs w:val="21"/>
          <w:lang w:val="it-IT"/>
        </w:rPr>
        <w:t xml:space="preserve">), i cili shqyrton, për t’u miratuar nga Ministri i Mbrojtjes, planet për pranimin e standardeve të NATO-s, të standardeve civile për përdorim nga njësitë e Forcave të Armatosura, si dhe praktikat dokumentare të paraqitura nga organizmat e përcaktuar në sistemin e standardizimit në Forcat e Armatosura. Planet për pranimin e STANAG-ut/AP-ve i propozohen Ministrit të Mbrojtjes nëpërmjet Shefit të Shtabit të Përgjithshëm. Mënyra e organizimit dhe e funksionimit të bordit të standardizimit përcaktohet me urdhër të Ministrit të Mbrojtjes. </w:t>
      </w:r>
    </w:p>
    <w:p w:rsidR="009C0213" w:rsidRPr="009C0213" w:rsidRDefault="009C0213" w:rsidP="009C0213">
      <w:pPr>
        <w:pStyle w:val="NeniNr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Neni 6</w:t>
      </w:r>
    </w:p>
    <w:p w:rsidR="009C0213" w:rsidRPr="009C0213" w:rsidRDefault="009C0213" w:rsidP="009C0213">
      <w:pPr>
        <w:pStyle w:val="NeniTitull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Planifikimi i standardizimit ushtarak në Forcat e Armatosura</w:t>
      </w:r>
    </w:p>
    <w:p w:rsidR="009C0213" w:rsidRPr="009C0213" w:rsidRDefault="009C0213" w:rsidP="009C0213">
      <w:pPr>
        <w:pStyle w:val="Paragrafi"/>
        <w:rPr>
          <w:sz w:val="16"/>
          <w:szCs w:val="21"/>
          <w:lang w:val="it-IT"/>
        </w:rPr>
      </w:pP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1. Standardizimi është përgjegjësi e strukturave dhe e komandave të të gjitha niveleve, për të përmbushur misionin tyre, i cili bazohet në objektivat parësorë të zhvillimit të forcës përkatëse.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2. Bordi i standardizimit ia dërgon për miratim Ministrit të Mbrojtjes planin e standardizimit në Forcat e Armatosura, ku përcaktohen: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a)   autoriteti kujdestar; 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b) afatet e përfundimit të raportit të vlerësimit të STANAG-ut/AP-ve;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c)  gjuha, sipas së cilës zbatohet STANAG-u/AP-ja.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NeniNr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Neni 7</w:t>
      </w:r>
    </w:p>
    <w:p w:rsidR="009C0213" w:rsidRPr="009C0213" w:rsidRDefault="009C0213" w:rsidP="009C0213">
      <w:pPr>
        <w:pStyle w:val="NeniTitull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Pranimi i STANAG-ut/AP-së të NATO-s dhe standardeve civile për përdorim </w:t>
      </w:r>
    </w:p>
    <w:p w:rsidR="009C0213" w:rsidRPr="009C0213" w:rsidRDefault="009C0213" w:rsidP="009C0213">
      <w:pPr>
        <w:pStyle w:val="NeniTitull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nga njësitë e Forcave të Armatosura</w:t>
      </w:r>
    </w:p>
    <w:p w:rsidR="009C0213" w:rsidRPr="009C0213" w:rsidRDefault="009C0213" w:rsidP="009C0213">
      <w:pPr>
        <w:pStyle w:val="Paragrafi"/>
        <w:rPr>
          <w:sz w:val="18"/>
          <w:szCs w:val="21"/>
          <w:lang w:val="it-IT"/>
        </w:rPr>
      </w:pP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1. Autoriteti kujdestar, në bazë të planit të standardizimit të Forcave të Armatosura, nis punën për studimin e pranimin e STANAG-ut/AP-së, sipas procedurave dhe dokumentacionit përkatës të NATO-s.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2. Autoriteti kujdestar i STANAG-ut/AP-së cakton grupe ekspertësh për vlerësimin dhe për përcaktimin e statusit të pranimit të tij. Kryetari i grupit të ekspertëve është personi përgjegjës i STANAG-ut/AP-së dhe njihet në NATO si pikë kontakti e vendit për këtë marrëveshje standardizimi.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3. Grupet e ekspertëve hartojnë raportin e vlerësimit të STANAG-ut/AP-së, i cili, sipas procedurave të përcaktuara nga Ministria e Mbrojtjes, diskutohet në bordin e standardizimit dhe pranohet nga Ministri i Mbrojtjes.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4. Në rastet kur gjykohet e nevojshme nga personi përgjegjës i standardizimit dhe autoriteti kujdestar, raporti i vlerësimit të STANAG-ut/AP-së dërgohet për mendim në ministritë dhe zyrat e tjera administrative,</w:t>
      </w:r>
      <w:r w:rsidRPr="009C0213">
        <w:rPr>
          <w:color w:val="FFFF00"/>
          <w:sz w:val="21"/>
          <w:szCs w:val="21"/>
          <w:lang w:val="it-IT"/>
        </w:rPr>
        <w:t xml:space="preserve"> </w:t>
      </w:r>
      <w:r w:rsidRPr="009C0213">
        <w:rPr>
          <w:sz w:val="21"/>
          <w:szCs w:val="21"/>
          <w:lang w:val="it-IT"/>
        </w:rPr>
        <w:t>të cilat</w:t>
      </w:r>
      <w:r w:rsidRPr="009C0213">
        <w:rPr>
          <w:i/>
          <w:color w:val="FFFF00"/>
          <w:sz w:val="21"/>
          <w:szCs w:val="21"/>
          <w:lang w:val="it-IT"/>
        </w:rPr>
        <w:t xml:space="preserve"> </w:t>
      </w:r>
      <w:r w:rsidRPr="009C0213">
        <w:rPr>
          <w:sz w:val="21"/>
          <w:szCs w:val="21"/>
          <w:lang w:val="it-IT"/>
        </w:rPr>
        <w:t>janë të detyruara t’ia dërgojnë opinionin e tyre  përdoruesit brenda afateve ligjore. Nëse ky opinion nuk është dërguar nga ministritë dhe zyrat e tjera administrative brenda afatit, do të vlerësohet se ato janë dakord me standardin e propozuar.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5. Formati i pranimit të STANAG-ut/AP-së duhet të përmbajë: 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a) titullin dhe shënimin e STANAG-ut/AP-së (numri; botimi-muaji-viti; titulli, në anglisht);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b) përkthimin e titullit të origjinalit; 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c) vendimin e miratimit në bordin e standardizimit; 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ç) shenjën e referencës S.U.SH. STANAG/AP </w:t>
      </w:r>
      <w:r w:rsidRPr="009C0213">
        <w:rPr>
          <w:sz w:val="21"/>
          <w:szCs w:val="21"/>
          <w:u w:val="single"/>
          <w:lang w:val="it-IT"/>
        </w:rPr>
        <w:t>XXXX</w:t>
      </w:r>
      <w:r w:rsidRPr="009C0213">
        <w:rPr>
          <w:sz w:val="21"/>
          <w:szCs w:val="21"/>
          <w:lang w:val="it-IT"/>
        </w:rPr>
        <w:t xml:space="preserve"> (S.U.SH - Standard Ushtarak Shqiptar).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NeniNr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Neni 8</w:t>
      </w:r>
    </w:p>
    <w:p w:rsidR="009C0213" w:rsidRPr="009C0213" w:rsidRDefault="009C0213" w:rsidP="009C0213">
      <w:pPr>
        <w:pStyle w:val="NeniTitull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Shpallja e STANAG-ut/AP-së të pranuar</w:t>
      </w:r>
    </w:p>
    <w:p w:rsidR="009C0213" w:rsidRPr="009C0213" w:rsidRDefault="009C0213" w:rsidP="009C0213">
      <w:pPr>
        <w:pStyle w:val="Paragrafi"/>
        <w:rPr>
          <w:sz w:val="18"/>
          <w:szCs w:val="21"/>
          <w:lang w:val="it-IT"/>
        </w:rPr>
      </w:pP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1. Miratimi nga Ministri i Mbrojtjes i dokumentacionit dhe i vendimit të bordit të standardizimit është pranimi zyrtar i STANAG-ut/AP-së nga Forcat tona të Armatosura. Shpallja e STANAG-ut/AP-së të pranuar bëhet: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a)  në NATO, nga Përfaqësia Ushtarake e Republikës së Shqipërisë;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b) në Forcat tona të Armatosura, nga Shefi i Shtabit të Përgjithshëm, nëpërmjet planit të veprimit për zbatimin e STANAG-ut/AP-së, i cili duhet të përmbajë detyrimet për angazhimet e mundshme, kohën e zbatimit, strukturat përgjegjëse dhe ato bashkëpunuese.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2. Për STANAG-un/AP-në e pranuar, Shefi i Shtabit të Përgjithshëm të Forcave të Armatosura përcakton rregullat dhe strukturën përgjegjëse për regjistrimin dhe arkivimin e tyre.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NeniNr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Neni 9</w:t>
      </w:r>
    </w:p>
    <w:p w:rsidR="009C0213" w:rsidRPr="009C0213" w:rsidRDefault="009C0213" w:rsidP="009C0213">
      <w:pPr>
        <w:pStyle w:val="NeniTitull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Konfirmimi për zbatimin e STANAG-ut/AP-së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Autoriteti kujdestar i STANAG-ut/AP-së dhe personi përgjegjës i standardizimit ndjekin punën për zbatimin e tij, sipas afateve të përcaktuara. Konfirmimi për datën e zbatimit të STANAG-ut/AP-së bëhet në NATO nga Ministria e Mbrojtjes (pas raportimit të personit përgjegjës dhe autoritetit kujdestar) në gjuhën angleze, sipas modeleve të përcaktuara për këtë qëllim.  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NeniNr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Neni 10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 xml:space="preserve">Shpenzimet e procesit të zbatimit të STANAG-ut/AP-së mbulohen nga propozuesi, nëpërmjet sistemit të planifikimit dhe zhvillimit të forcës.      </w:t>
      </w:r>
    </w:p>
    <w:p w:rsidR="009C0213" w:rsidRPr="009C0213" w:rsidRDefault="009C0213" w:rsidP="009C0213">
      <w:pPr>
        <w:pStyle w:val="NeniNr"/>
        <w:keepNext w:val="0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NeniNr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Neni 11</w:t>
      </w:r>
    </w:p>
    <w:p w:rsidR="009C0213" w:rsidRPr="009C0213" w:rsidRDefault="009C0213" w:rsidP="009C0213">
      <w:pPr>
        <w:pStyle w:val="NeniTitull"/>
        <w:keepNext w:val="0"/>
        <w:rPr>
          <w:sz w:val="21"/>
          <w:szCs w:val="21"/>
          <w:lang w:val="it-IT"/>
        </w:rPr>
      </w:pPr>
      <w:r w:rsidRPr="009C0213">
        <w:rPr>
          <w:sz w:val="21"/>
          <w:szCs w:val="21"/>
          <w:lang w:val="it-IT"/>
        </w:rPr>
        <w:t>Hyrja në fuqi</w:t>
      </w:r>
    </w:p>
    <w:p w:rsidR="009C0213" w:rsidRPr="00435F7B" w:rsidRDefault="009C0213" w:rsidP="009C0213">
      <w:pPr>
        <w:pStyle w:val="Paragrafi"/>
        <w:rPr>
          <w:sz w:val="21"/>
          <w:szCs w:val="21"/>
          <w:lang w:val="sq-AL"/>
        </w:rPr>
      </w:pPr>
    </w:p>
    <w:p w:rsidR="009C0213" w:rsidRPr="00435F7B" w:rsidRDefault="009C0213" w:rsidP="009C0213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Ky ligj hyn në fuqi 15 ditë pas botimit në Fletoren Zyrtare.</w:t>
      </w:r>
    </w:p>
    <w:p w:rsidR="009C0213" w:rsidRPr="009C0213" w:rsidRDefault="009C0213" w:rsidP="009C0213">
      <w:pPr>
        <w:pStyle w:val="Paragrafi"/>
        <w:rPr>
          <w:sz w:val="21"/>
          <w:szCs w:val="21"/>
          <w:lang w:val="it-IT"/>
        </w:rPr>
      </w:pPr>
    </w:p>
    <w:p w:rsidR="009C0213" w:rsidRPr="009C0213" w:rsidRDefault="009C0213" w:rsidP="009C0213">
      <w:pPr>
        <w:pStyle w:val="Paragrafi"/>
        <w:ind w:firstLine="0"/>
        <w:rPr>
          <w:b/>
          <w:szCs w:val="22"/>
          <w:lang w:val="it-IT"/>
        </w:rPr>
      </w:pPr>
      <w:r w:rsidRPr="009C0213">
        <w:rPr>
          <w:b/>
          <w:szCs w:val="22"/>
          <w:lang w:val="it-IT"/>
        </w:rPr>
        <w:t>Shpallur me dekretin nr.6762, datë 10.11.2010 të Presidentit të Republikës së Shqipërisë, Bamir Topi</w:t>
      </w:r>
    </w:p>
    <w:sectPr w:rsidR="009C0213" w:rsidRPr="009C02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0213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55F58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213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0AE133-D092-4E17-BC50-8E3E8465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9C021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10028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2019-03-17T17:59:00Z</dcterms:created>
  <dcterms:modified xsi:type="dcterms:W3CDTF">2019-03-17T17:59:00Z</dcterms:modified>
</cp:coreProperties>
</file>