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F6F" w:rsidRPr="0048288C" w:rsidRDefault="00CA3F6F" w:rsidP="00CA3F6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8288C">
        <w:rPr>
          <w:sz w:val="21"/>
          <w:szCs w:val="21"/>
        </w:rPr>
        <w:t>LIGJ</w:t>
      </w:r>
    </w:p>
    <w:p w:rsidR="00CA3F6F" w:rsidRPr="0048288C" w:rsidRDefault="00CA3F6F" w:rsidP="00CA3F6F">
      <w:pPr>
        <w:pStyle w:val="NumriData"/>
        <w:keepNext w:val="0"/>
        <w:rPr>
          <w:sz w:val="21"/>
          <w:szCs w:val="21"/>
        </w:rPr>
      </w:pPr>
      <w:r w:rsidRPr="0048288C">
        <w:rPr>
          <w:sz w:val="21"/>
          <w:szCs w:val="21"/>
        </w:rPr>
        <w:t>Nr.10 350, datë 11.11.2010</w:t>
      </w:r>
    </w:p>
    <w:p w:rsidR="00CA3F6F" w:rsidRPr="0048288C" w:rsidRDefault="00CA3F6F" w:rsidP="00CA3F6F">
      <w:pPr>
        <w:pStyle w:val="Paragrafi"/>
        <w:rPr>
          <w:sz w:val="21"/>
          <w:szCs w:val="21"/>
        </w:rPr>
      </w:pPr>
    </w:p>
    <w:p w:rsidR="00CA3F6F" w:rsidRPr="0048288C" w:rsidRDefault="00CA3F6F" w:rsidP="00CA3F6F">
      <w:pPr>
        <w:pStyle w:val="Titulli"/>
        <w:keepNext w:val="0"/>
        <w:rPr>
          <w:sz w:val="21"/>
          <w:szCs w:val="21"/>
        </w:rPr>
      </w:pPr>
      <w:r w:rsidRPr="0048288C">
        <w:rPr>
          <w:sz w:val="21"/>
          <w:szCs w:val="21"/>
        </w:rPr>
        <w:t>PËR DISA SHTESA DHE NDRYSHIME NË LIGJIN NR. 9323, DATË 25.11.2004 “PËR BARNAT DHE SHËRBIMIN FARMACEUTIK”, TË NDRYSHUAR</w:t>
      </w:r>
    </w:p>
    <w:p w:rsidR="00CA3F6F" w:rsidRPr="0048288C" w:rsidRDefault="00CA3F6F" w:rsidP="00CA3F6F">
      <w:pPr>
        <w:pStyle w:val="Paragrafi"/>
        <w:ind w:firstLine="0"/>
        <w:rPr>
          <w:sz w:val="21"/>
          <w:szCs w:val="21"/>
        </w:rPr>
      </w:pPr>
    </w:p>
    <w:p w:rsidR="00CA3F6F" w:rsidRPr="0048288C" w:rsidRDefault="00CA3F6F" w:rsidP="00CA3F6F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Në mbështetje të neneve 78 dhe 83 pika 1 të Kushtetutës, me propozimin e Këshillit të Ministrave,</w:t>
      </w:r>
    </w:p>
    <w:p w:rsidR="00CA3F6F" w:rsidRPr="0048288C" w:rsidRDefault="00CA3F6F" w:rsidP="00CA3F6F">
      <w:pPr>
        <w:pStyle w:val="Paragrafi"/>
        <w:rPr>
          <w:sz w:val="21"/>
          <w:szCs w:val="21"/>
        </w:rPr>
      </w:pPr>
    </w:p>
    <w:p w:rsidR="00CA3F6F" w:rsidRPr="00CA3F6F" w:rsidRDefault="00CA3F6F" w:rsidP="00CA3F6F">
      <w:pPr>
        <w:pStyle w:val="Institucioni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KUVENDI</w:t>
      </w:r>
    </w:p>
    <w:p w:rsidR="00CA3F6F" w:rsidRPr="00CA3F6F" w:rsidRDefault="00CA3F6F" w:rsidP="00CA3F6F">
      <w:pPr>
        <w:pStyle w:val="Institucioni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I REPUBLIKËS SË SHQIPËRISË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VENDOSI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VENDOSI: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Në ligjin nr. 9323, datë 25.11.2004 “Për barnat dhe shërbimin farmaceutik”, të ndryshuar, bëhen këto shtesa dhe ndryshime: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 xml:space="preserve"> </w:t>
      </w:r>
    </w:p>
    <w:p w:rsidR="00CA3F6F" w:rsidRPr="00CA3F6F" w:rsidRDefault="00CA3F6F" w:rsidP="00CA3F6F">
      <w:pPr>
        <w:pStyle w:val="NeniNr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Neni 1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Në nenin 3 “Përkufizime” shtohen pikat 30 dhe 31 me këtë përmbajtje: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“30.“Farmakovigjilenca” është shkenca dhe veprimtaria që merret me zbulimin, evidentimin dhe vlerësimin e efekteve të padëshiruara dhe/ose të dëmshme të barnave, për parandalimin e mundshëm  të tyre, si dhe çdo problem që lidhet me sigurinë dhe efikasitetin e barnave.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31.“Mbajtësi i autorizimit të tregtimit” është personi juridik, në emër të të cilit është lëshuar certifikata e regjistrimit të barit të gatshëm për përdorim. Ky subjekt është përgjegjës për cilësinë, sigurinë dhe efikasitetin e barit të gatshëm për përdorim, në përputhje me informacionin e deklaruar për regjistrim.”.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NeniNr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Neni 2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Në nenin 13, pika 1 ndryshohet si më poshtë: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“1. Aplikimi dhe praktika e regjistrimit të barnave bëhet në QKKB nga prodhuesit vendas, të licencuar, dhe nga mbajtësi i autorizimit për tregtim, edhe kur ky nuk është prodhues i barit, sipas rregullave të përcaktuara me urdhër të Ministrit të Shëndetësisë.”.</w:t>
      </w:r>
    </w:p>
    <w:p w:rsidR="00CA3F6F" w:rsidRPr="00CA3F6F" w:rsidRDefault="00CA3F6F" w:rsidP="00CA3F6F">
      <w:pPr>
        <w:pStyle w:val="Paragrafi"/>
        <w:ind w:firstLine="0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NeniNr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Neni 3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 xml:space="preserve">Pas kreut IV shtohet kreu IV/1 me  këtë përmbajtje:   </w:t>
      </w:r>
    </w:p>
    <w:p w:rsidR="00CA3F6F" w:rsidRPr="00CA3F6F" w:rsidRDefault="00CA3F6F" w:rsidP="00CA3F6F">
      <w:pPr>
        <w:pStyle w:val="KreuTitull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 xml:space="preserve"> “KREU IV/1</w:t>
      </w:r>
    </w:p>
    <w:p w:rsidR="00CA3F6F" w:rsidRPr="00CA3F6F" w:rsidRDefault="00CA3F6F" w:rsidP="00CA3F6F">
      <w:pPr>
        <w:pStyle w:val="KreuTitull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FARMAKOVIGJILENCA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NeniNr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Neni 21/1</w:t>
      </w:r>
    </w:p>
    <w:p w:rsidR="00CA3F6F" w:rsidRPr="00CA3F6F" w:rsidRDefault="00CA3F6F" w:rsidP="00CA3F6F">
      <w:pPr>
        <w:pStyle w:val="NeniTitull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Mënyra e organizimit të farmakovigjilencës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 xml:space="preserve">1. Qendra e Farmakovigjilencës (QF) është përgjegjëse për  zbulimin, mbledhjen, evidentimin dhe vlerësimin e efekteve të padëshiruara dhe/ose të dëmshme të barnave për përdorim në njerëz. 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2. Profesionistët e shëndetësisë (mjekë, stomatologë, farmacistë dhe infermierë) dhe përdoruesit e barnave raportojnë për çdo efekt të padëshiruar, që lidhet me barnat, pranë Qendrës së Farmakovigjilencës.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3. Të gjitha efektet e padëshiruara dhe/ose të dëmshme, të vërejtura gjatë studimeve klinike me barnat, raportohen në QF.</w:t>
      </w:r>
    </w:p>
    <w:p w:rsidR="00CA3F6F" w:rsidRPr="00E237ED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 xml:space="preserve">4. Informacioni për efektet e padëshiruara të barnave është konfidencial. </w:t>
      </w:r>
      <w:r w:rsidRPr="00E237ED">
        <w:rPr>
          <w:sz w:val="21"/>
          <w:szCs w:val="21"/>
          <w:lang w:val="it-IT"/>
        </w:rPr>
        <w:t xml:space="preserve">Publikimi ose dhënia e tij lejohet vetëm me miratim të QF-së. Në këtë rast ai duhet të jetë objektiv e të mos shkaktojë </w:t>
      </w:r>
      <w:r w:rsidRPr="00E237ED">
        <w:rPr>
          <w:sz w:val="21"/>
          <w:szCs w:val="21"/>
          <w:lang w:val="it-IT"/>
        </w:rPr>
        <w:lastRenderedPageBreak/>
        <w:t>keqkuptime.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 xml:space="preserve">5. Mënyra e raportimit, e mbledhjes dhe e vlerësimit të efekteve të padëshiruara dhe/ose të dëmshme të barit përcaktohet me rregullore, të miratuar me urdhër të Ministrit të Shëndetësisë.  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6. Organizimi dhe funksionimi i QF-së përcaktohet me vendim të Këshillit të Ministrave.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NeniNr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Neni 21/2</w:t>
      </w:r>
    </w:p>
    <w:p w:rsidR="00CA3F6F" w:rsidRPr="00CA3F6F" w:rsidRDefault="00CA3F6F" w:rsidP="00CA3F6F">
      <w:pPr>
        <w:pStyle w:val="NeniTitull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Përgjegjësitë e mbajtësit të autorizimit për tregtim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Mbajtësit e autorizimit për tregtim janë përgjegjës për: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1. Mbajtjen e të dhënave të detajuara për të gjitha efektet e padëshiruara dhe/ose të dëmshme, të dyshuara, në Republikën e Shqipërisë dhe në vendet e tjera ku tregtohet bari.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2. Raportimin e menjëhershëm të të gjitha dyshimeve për efektet e padëshiruara dhe/ose të dëmshme, serioze, të raportuara tek ai nga profesionistët e shëndetit.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3. Raportimin e të gjitha efekteve të padëshiruara dhe/ose të dëmshme, të papritura dhe serioze, të ndodhura në vende të tjera ku qarkullon bari.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4. Emërimin e një personi përgjegjës (mjek, farmacist, stomatolog) për farmakovigjilencën, i cili deklarohet zyrtarisht që në çastin e aplikimit për regjistrim të barit.</w:t>
      </w:r>
    </w:p>
    <w:p w:rsidR="00CA3F6F" w:rsidRPr="00E237ED" w:rsidRDefault="00CA3F6F" w:rsidP="00CA3F6F">
      <w:pPr>
        <w:pStyle w:val="Paragrafi"/>
        <w:rPr>
          <w:sz w:val="21"/>
          <w:szCs w:val="21"/>
          <w:lang w:val="it-IT"/>
        </w:rPr>
      </w:pPr>
      <w:r w:rsidRPr="00E237ED">
        <w:rPr>
          <w:sz w:val="21"/>
          <w:szCs w:val="21"/>
          <w:lang w:val="it-IT"/>
        </w:rPr>
        <w:t>5. Dorëzimin e raporteve periodike për sigurinë e barit  pranë QF-së.”.</w:t>
      </w:r>
    </w:p>
    <w:p w:rsidR="00CA3F6F" w:rsidRPr="00E237ED" w:rsidRDefault="00CA3F6F" w:rsidP="00CA3F6F">
      <w:pPr>
        <w:pStyle w:val="Paragrafi"/>
        <w:ind w:firstLine="0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NeniNr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Neni 4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Në nenin  30, pika 2 shfuqizohet.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NeniNr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Neni 5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Në nenet 18 dhe 47 pika 1, fjalët  “mbajtës të licencës së tregtimit” zëvendësohen me fjalët “mbajtës i autorizimit të tregtimit”.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NeniNr"/>
        <w:keepNext w:val="0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Neni 6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  <w:r w:rsidRPr="00CA3F6F">
        <w:rPr>
          <w:sz w:val="21"/>
          <w:szCs w:val="21"/>
          <w:lang w:val="it-IT"/>
        </w:rPr>
        <w:t>Ky ligj hyn në fuqi 15 ditë pas botimit në Fletoren Zyrtare.</w:t>
      </w:r>
    </w:p>
    <w:p w:rsidR="00CA3F6F" w:rsidRPr="00CA3F6F" w:rsidRDefault="00CA3F6F" w:rsidP="00CA3F6F">
      <w:pPr>
        <w:pStyle w:val="Paragrafi"/>
        <w:rPr>
          <w:sz w:val="21"/>
          <w:szCs w:val="21"/>
          <w:lang w:val="it-IT"/>
        </w:rPr>
      </w:pPr>
    </w:p>
    <w:p w:rsidR="00CA3F6F" w:rsidRPr="004904D6" w:rsidRDefault="00CA3F6F" w:rsidP="00CA3F6F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nr.6782</w:t>
      </w:r>
      <w:r w:rsidRPr="004904D6">
        <w:rPr>
          <w:sz w:val="23"/>
          <w:szCs w:val="23"/>
        </w:rPr>
        <w:t>, datë 21.10.2010 të Presidentit të Republikës së Shqipërisë, Bamir Topi</w:t>
      </w:r>
    </w:p>
    <w:sectPr w:rsidR="00CA3F6F" w:rsidRPr="004904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3F6F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536A3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B6C2E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3F6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B4321C-840C-4925-ABF5-34E8C7FF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CA3F6F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A3F6F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A3F6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3749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2019-03-17T17:58:00Z</dcterms:created>
  <dcterms:modified xsi:type="dcterms:W3CDTF">2019-03-17T17:58:00Z</dcterms:modified>
</cp:coreProperties>
</file>