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941" w:rsidRPr="00FD3E26" w:rsidRDefault="00B66941" w:rsidP="00B66941">
      <w:pPr>
        <w:pStyle w:val="Akti"/>
        <w:keepNext w:val="0"/>
      </w:pPr>
      <w:bookmarkStart w:id="0" w:name="_GoBack"/>
      <w:bookmarkEnd w:id="0"/>
      <w:r w:rsidRPr="00FD3E26">
        <w:t>LIGJ</w:t>
      </w:r>
    </w:p>
    <w:p w:rsidR="00B66941" w:rsidRPr="00FD3E26" w:rsidRDefault="00B66941" w:rsidP="00B66941">
      <w:pPr>
        <w:pStyle w:val="NumriData"/>
        <w:keepNext w:val="0"/>
      </w:pPr>
      <w:r w:rsidRPr="00FD3E26">
        <w:t>Nr.10 424, datë 2.6.2011</w:t>
      </w:r>
    </w:p>
    <w:p w:rsidR="00B66941" w:rsidRPr="00FD3E26" w:rsidRDefault="00B66941" w:rsidP="00B66941">
      <w:pPr>
        <w:pStyle w:val="Paragrafi"/>
      </w:pPr>
    </w:p>
    <w:p w:rsidR="00B66941" w:rsidRPr="00FD3E26" w:rsidRDefault="00B66941" w:rsidP="00B66941">
      <w:pPr>
        <w:pStyle w:val="Titulli"/>
        <w:keepNext w:val="0"/>
      </w:pPr>
      <w:r w:rsidRPr="00FD3E26">
        <w:t>PËR RATIFIKIMIN E KONVENTËS SË KËSHILLIT TË EUROPËS “PËR STATUSIN JURIDIK TË FËMIJËVE TË LINDUR JASHTË MARTESËS”</w:t>
      </w:r>
    </w:p>
    <w:p w:rsidR="00B66941" w:rsidRPr="00FD3E26" w:rsidRDefault="00B66941" w:rsidP="00B66941">
      <w:pPr>
        <w:pStyle w:val="Paragrafi"/>
      </w:pPr>
    </w:p>
    <w:p w:rsidR="00B66941" w:rsidRPr="00FD3E26" w:rsidRDefault="00B66941" w:rsidP="00B66941">
      <w:pPr>
        <w:pStyle w:val="Paragrafi"/>
      </w:pPr>
      <w:r w:rsidRPr="00FD3E26">
        <w:t>Në mbështetje të neneve 78, 83 pika 1 dhe 121 të Kushtetutës, me propozimin e Këshillit të Ministrave,</w:t>
      </w:r>
    </w:p>
    <w:p w:rsidR="00B66941" w:rsidRPr="00FD3E26" w:rsidRDefault="00B66941" w:rsidP="00B66941">
      <w:pPr>
        <w:pStyle w:val="Paragrafi"/>
      </w:pPr>
    </w:p>
    <w:p w:rsidR="00B66941" w:rsidRPr="00FD3E26" w:rsidRDefault="00B66941" w:rsidP="00B66941">
      <w:pPr>
        <w:pStyle w:val="Institucioni"/>
        <w:keepNext w:val="0"/>
      </w:pPr>
      <w:r w:rsidRPr="00FD3E26">
        <w:t>KUVENDI</w:t>
      </w:r>
    </w:p>
    <w:p w:rsidR="00B66941" w:rsidRPr="00FD3E26" w:rsidRDefault="00B66941" w:rsidP="00B66941">
      <w:pPr>
        <w:pStyle w:val="Institucioni"/>
        <w:keepNext w:val="0"/>
      </w:pPr>
      <w:r w:rsidRPr="00FD3E26">
        <w:t>I REPUBLIKËS SË SHQIPËRISË</w:t>
      </w:r>
    </w:p>
    <w:p w:rsidR="00B66941" w:rsidRPr="00FD3E26" w:rsidRDefault="00B66941" w:rsidP="00B66941">
      <w:pPr>
        <w:pStyle w:val="Paragrafi"/>
      </w:pPr>
    </w:p>
    <w:p w:rsidR="00B66941" w:rsidRPr="00FD3E26" w:rsidRDefault="00B66941" w:rsidP="00B66941">
      <w:pPr>
        <w:pStyle w:val="VENDOSI"/>
        <w:keepNext w:val="0"/>
      </w:pPr>
      <w:r w:rsidRPr="00FD3E26">
        <w:t>VENDOSI:</w:t>
      </w:r>
    </w:p>
    <w:p w:rsidR="00B66941" w:rsidRPr="00FD3E26" w:rsidRDefault="00B66941" w:rsidP="00B66941">
      <w:pPr>
        <w:pStyle w:val="Paragrafi"/>
      </w:pPr>
    </w:p>
    <w:p w:rsidR="00B66941" w:rsidRPr="00FD3E26" w:rsidRDefault="00B66941" w:rsidP="00B66941">
      <w:pPr>
        <w:pStyle w:val="NeniNr"/>
        <w:keepNext w:val="0"/>
      </w:pPr>
      <w:r w:rsidRPr="00FD3E26">
        <w:t>Neni 1</w:t>
      </w:r>
    </w:p>
    <w:p w:rsidR="00B66941" w:rsidRPr="00FD3E26" w:rsidRDefault="00B66941" w:rsidP="00B66941">
      <w:pPr>
        <w:pStyle w:val="Paragrafi"/>
      </w:pPr>
    </w:p>
    <w:p w:rsidR="00B66941" w:rsidRPr="00FD3E26" w:rsidRDefault="00B66941" w:rsidP="00B66941">
      <w:pPr>
        <w:pStyle w:val="Paragrafi"/>
      </w:pPr>
      <w:r w:rsidRPr="00FD3E26">
        <w:t>Ratifikohet konventa e Këshillit të Europës “Për statusin juridik të fëmijëve të lindur jashtë martesës”.</w:t>
      </w:r>
    </w:p>
    <w:p w:rsidR="00B66941" w:rsidRPr="00FD3E26" w:rsidRDefault="00B66941" w:rsidP="00B66941">
      <w:pPr>
        <w:pStyle w:val="Paragrafi"/>
      </w:pPr>
    </w:p>
    <w:p w:rsidR="00B66941" w:rsidRPr="00FD3E26" w:rsidRDefault="00B66941" w:rsidP="00B66941">
      <w:pPr>
        <w:pStyle w:val="NeniNr"/>
        <w:keepNext w:val="0"/>
      </w:pPr>
      <w:r w:rsidRPr="00FD3E26">
        <w:t>Neni 2</w:t>
      </w:r>
    </w:p>
    <w:p w:rsidR="00B66941" w:rsidRPr="00FD3E26" w:rsidRDefault="00B66941" w:rsidP="00B66941">
      <w:pPr>
        <w:pStyle w:val="Paragrafi"/>
      </w:pPr>
    </w:p>
    <w:p w:rsidR="00B66941" w:rsidRPr="00FD3E26" w:rsidRDefault="00B66941" w:rsidP="00B66941">
      <w:pPr>
        <w:pStyle w:val="Paragrafi"/>
      </w:pPr>
      <w:r w:rsidRPr="00FD3E26">
        <w:t>Ky ligj  hyn në  fuqi 15 ditë pas botimit në Fletoren Zyrtare.</w:t>
      </w:r>
    </w:p>
    <w:p w:rsidR="00B66941" w:rsidRPr="00FD3E26" w:rsidRDefault="00B66941" w:rsidP="00B66941">
      <w:pPr>
        <w:pStyle w:val="Paragrafi"/>
      </w:pPr>
    </w:p>
    <w:p w:rsidR="00B66941" w:rsidRPr="00567460" w:rsidRDefault="00B66941" w:rsidP="00B66941">
      <w:pPr>
        <w:pStyle w:val="Paragrafi"/>
        <w:ind w:firstLine="0"/>
        <w:rPr>
          <w:b/>
          <w:sz w:val="23"/>
          <w:szCs w:val="23"/>
        </w:rPr>
      </w:pPr>
      <w:r w:rsidRPr="00567460">
        <w:rPr>
          <w:b/>
          <w:sz w:val="23"/>
          <w:szCs w:val="23"/>
        </w:rPr>
        <w:t>Shpallur me dekretin nr.7013, datë 13.6.2011 të Presidentit të Republikës së Shqipërisë, Bamir Topi</w:t>
      </w:r>
    </w:p>
    <w:p w:rsidR="00B66941" w:rsidRPr="00FD3E26" w:rsidRDefault="00B66941" w:rsidP="00B66941">
      <w:pPr>
        <w:pStyle w:val="Paragrafi"/>
      </w:pPr>
    </w:p>
    <w:p w:rsidR="00B66941" w:rsidRPr="00FD3E26" w:rsidRDefault="00B66941" w:rsidP="00B66941">
      <w:pPr>
        <w:pStyle w:val="Paragrafi"/>
        <w:ind w:firstLine="0"/>
      </w:pPr>
    </w:p>
    <w:p w:rsidR="00B66941" w:rsidRPr="00FD3E26" w:rsidRDefault="00B66941" w:rsidP="00B66941">
      <w:pPr>
        <w:pStyle w:val="Paragrafi"/>
        <w:ind w:firstLine="0"/>
      </w:pPr>
    </w:p>
    <w:p w:rsidR="00B66941" w:rsidRPr="00FD3E26" w:rsidRDefault="00B66941" w:rsidP="00B66941">
      <w:pPr>
        <w:pStyle w:val="Titulli"/>
        <w:keepNext w:val="0"/>
      </w:pPr>
      <w:r w:rsidRPr="00FD3E26">
        <w:t xml:space="preserve">Konventa Europiane </w:t>
      </w:r>
    </w:p>
    <w:p w:rsidR="00B66941" w:rsidRPr="00FD3E26" w:rsidRDefault="00B66941" w:rsidP="00B66941">
      <w:pPr>
        <w:pStyle w:val="TitulliTitull"/>
        <w:keepNext w:val="0"/>
      </w:pPr>
      <w:r w:rsidRPr="00FD3E26">
        <w:t xml:space="preserve">mbi statusin ligjor të fëmijëve </w:t>
      </w:r>
    </w:p>
    <w:p w:rsidR="00B66941" w:rsidRPr="00FD3E26" w:rsidRDefault="00B66941" w:rsidP="00B66941">
      <w:pPr>
        <w:pStyle w:val="TitulliTitull"/>
        <w:keepNext w:val="0"/>
      </w:pPr>
      <w:r w:rsidRPr="00FD3E26">
        <w:t>të lindur jashtë martese</w:t>
      </w:r>
    </w:p>
    <w:p w:rsidR="00B66941" w:rsidRPr="00FD3E26" w:rsidRDefault="00B66941" w:rsidP="00B66941">
      <w:pPr>
        <w:pStyle w:val="Paragrafi"/>
      </w:pPr>
    </w:p>
    <w:p w:rsidR="00B66941" w:rsidRPr="00FD3E26" w:rsidRDefault="00B66941" w:rsidP="00B66941">
      <w:pPr>
        <w:pStyle w:val="Paragrafi"/>
      </w:pPr>
      <w:r w:rsidRPr="00FD3E26">
        <w:t>Shtetet anëtare të Këshillit të Europës, nënshkruese të saj,</w:t>
      </w:r>
    </w:p>
    <w:p w:rsidR="00B66941" w:rsidRPr="00FD3E26" w:rsidRDefault="00B66941" w:rsidP="00B66941">
      <w:pPr>
        <w:pStyle w:val="Paragrafi"/>
      </w:pPr>
      <w:r w:rsidRPr="00FD3E26">
        <w:rPr>
          <w:i/>
        </w:rPr>
        <w:t xml:space="preserve">duke pasur  </w:t>
      </w:r>
      <w:r w:rsidRPr="00FD3E26">
        <w:t>parasysh se qëllimi i Këshillit të Europës është arritja e një uniteti sa më të madh ndërmjet anëtarëve të tij, në veçanti me miratimin e rregullave të përbashkëta në fushën e ligjit;</w:t>
      </w:r>
    </w:p>
    <w:p w:rsidR="00B66941" w:rsidRPr="00FD3E26" w:rsidRDefault="00B66941" w:rsidP="00B66941">
      <w:pPr>
        <w:pStyle w:val="Paragrafi"/>
      </w:pPr>
      <w:r w:rsidRPr="00FD3E26">
        <w:rPr>
          <w:i/>
        </w:rPr>
        <w:t>duke vënë re</w:t>
      </w:r>
      <w:r w:rsidRPr="00FD3E26">
        <w:t xml:space="preserve"> se në një numër të madh të shteteve anëtare janë bërë ose po bëhen përpjekje për të përmirësuar statusin ligjor të fëmijëve të lindur jashtë martese, duke zvogëluar dallimet ndërmjet statusit të tyre ligjor dhe atij të fëmijëve të lindur në martesë të cilat janë në disavantazh juridik ose social të të parëve;</w:t>
      </w:r>
    </w:p>
    <w:p w:rsidR="00B66941" w:rsidRPr="00FD3E26" w:rsidRDefault="00B66941" w:rsidP="00B66941">
      <w:pPr>
        <w:pStyle w:val="Paragrafi"/>
      </w:pPr>
      <w:r w:rsidRPr="00FD3E26">
        <w:rPr>
          <w:i/>
        </w:rPr>
        <w:t>duke njohur</w:t>
      </w:r>
      <w:r w:rsidRPr="00FD3E26">
        <w:t xml:space="preserve"> se ende ekzistojnë mospërputhje të mëdha në ligjet e shteteve anëtare në këtë fushë;</w:t>
      </w:r>
    </w:p>
    <w:p w:rsidR="00B66941" w:rsidRPr="00FD3E26" w:rsidRDefault="00B66941" w:rsidP="00B66941">
      <w:pPr>
        <w:pStyle w:val="Paragrafi"/>
      </w:pPr>
      <w:r w:rsidRPr="00FD3E26">
        <w:rPr>
          <w:i/>
        </w:rPr>
        <w:t>duke besuar</w:t>
      </w:r>
      <w:r w:rsidRPr="00FD3E26">
        <w:t xml:space="preserve"> se situata e fëmijëve të lindur jashtë martese duhet të përmirësohet dhe se hartimi i disa rregullave të përbashkëta në lidhje me statusin e tyre ligjor do të ndihmojë këtë objektiv dhe në të njëjtën kohë do të kontribuojë për një harmonizim të ligjeve të shteteve anëtare në këtë fushë; </w:t>
      </w:r>
    </w:p>
    <w:p w:rsidR="00B66941" w:rsidRPr="00FD3E26" w:rsidRDefault="00B66941" w:rsidP="00B66941">
      <w:pPr>
        <w:pStyle w:val="Paragrafi"/>
      </w:pPr>
      <w:r w:rsidRPr="00FD3E26">
        <w:rPr>
          <w:i/>
        </w:rPr>
        <w:t>megjithatë</w:t>
      </w:r>
      <w:r w:rsidRPr="00FD3E26">
        <w:t xml:space="preserve">, </w:t>
      </w:r>
      <w:r w:rsidRPr="00FD3E26">
        <w:rPr>
          <w:i/>
        </w:rPr>
        <w:t>duke pasur</w:t>
      </w:r>
      <w:r w:rsidRPr="00FD3E26">
        <w:t xml:space="preserve"> parasysh se është e nevojshme të pranohen etapa progresive për ato shtete të cilat nuk e konsiderojnë veten në gjendje të miratojnë menjëherë disa rregulla të kësaj konvente;</w:t>
      </w:r>
    </w:p>
    <w:p w:rsidR="00B66941" w:rsidRPr="00FD3E26" w:rsidRDefault="00B66941" w:rsidP="00B66941">
      <w:pPr>
        <w:pStyle w:val="Paragrafi"/>
      </w:pPr>
      <w:r w:rsidRPr="00FD3E26">
        <w:t>kanë rëndë dakord si më poshtë:</w:t>
      </w:r>
    </w:p>
    <w:p w:rsidR="00B66941" w:rsidRDefault="00B66941" w:rsidP="00B66941">
      <w:pPr>
        <w:pStyle w:val="Paragrafi"/>
      </w:pPr>
    </w:p>
    <w:p w:rsidR="00B66941" w:rsidRDefault="00B66941" w:rsidP="00B66941">
      <w:pPr>
        <w:pStyle w:val="Paragrafi"/>
      </w:pPr>
    </w:p>
    <w:p w:rsidR="00B66941" w:rsidRPr="00FD3E26" w:rsidRDefault="00B66941" w:rsidP="00B66941">
      <w:pPr>
        <w:pStyle w:val="NeniNr"/>
        <w:keepNext w:val="0"/>
      </w:pPr>
      <w:r w:rsidRPr="00FD3E26">
        <w:t>Neni 1</w:t>
      </w:r>
    </w:p>
    <w:p w:rsidR="00B66941" w:rsidRPr="00FD3E26" w:rsidRDefault="00B66941" w:rsidP="00B66941">
      <w:pPr>
        <w:pStyle w:val="Paragrafi"/>
      </w:pPr>
    </w:p>
    <w:p w:rsidR="00B66941" w:rsidRDefault="00B66941" w:rsidP="00B66941">
      <w:pPr>
        <w:pStyle w:val="Paragrafi"/>
      </w:pPr>
      <w:r w:rsidRPr="00FD3E26">
        <w:t>Çdo palë kontraktuese merr përsipër të sigurojë përputhshmërinë e ligjit të saj me dispozitat e kësaj konvente dhe të njoftojë Sekretarin e Përgjithshëm të Këshillit të Europës për masat e marra për këtë qëllim.</w:t>
      </w:r>
    </w:p>
    <w:p w:rsidR="00B66941" w:rsidRPr="00FD3E26" w:rsidRDefault="00B66941" w:rsidP="00B66941">
      <w:pPr>
        <w:pStyle w:val="Paragrafi"/>
      </w:pPr>
    </w:p>
    <w:p w:rsidR="00B66941" w:rsidRPr="00FD3E26" w:rsidRDefault="00B66941" w:rsidP="00B66941">
      <w:pPr>
        <w:pStyle w:val="NeniNr"/>
        <w:keepNext w:val="0"/>
      </w:pPr>
      <w:r w:rsidRPr="00FD3E26">
        <w:t>Neni 2</w:t>
      </w:r>
    </w:p>
    <w:p w:rsidR="00B66941" w:rsidRPr="00FD3E26" w:rsidRDefault="00B66941" w:rsidP="00B66941">
      <w:pPr>
        <w:pStyle w:val="Paragrafi"/>
      </w:pPr>
    </w:p>
    <w:p w:rsidR="00B66941" w:rsidRPr="00FD3E26" w:rsidRDefault="00B66941" w:rsidP="00B66941">
      <w:pPr>
        <w:pStyle w:val="Paragrafi"/>
      </w:pPr>
      <w:r w:rsidRPr="00FD3E26">
        <w:t>Njohja e mëmësisë së çdo fëmije të lindur jashtë martese do të bazohet vetëm në faktin e lindjes së fëmijës.</w:t>
      </w:r>
    </w:p>
    <w:p w:rsidR="00B66941" w:rsidRPr="00FD3E26" w:rsidRDefault="00B66941" w:rsidP="00B66941">
      <w:pPr>
        <w:pStyle w:val="Paragrafi"/>
      </w:pPr>
    </w:p>
    <w:p w:rsidR="00B66941" w:rsidRPr="00FD3E26" w:rsidRDefault="00B66941" w:rsidP="00B66941">
      <w:pPr>
        <w:pStyle w:val="NeniNr"/>
        <w:keepNext w:val="0"/>
      </w:pPr>
      <w:r w:rsidRPr="00FD3E26">
        <w:t>Neni 3</w:t>
      </w:r>
    </w:p>
    <w:p w:rsidR="00B66941" w:rsidRPr="00FD3E26" w:rsidRDefault="00B66941" w:rsidP="00B66941">
      <w:pPr>
        <w:pStyle w:val="Paragrafi"/>
      </w:pPr>
    </w:p>
    <w:p w:rsidR="00B66941" w:rsidRPr="00FD3E26" w:rsidRDefault="00B66941" w:rsidP="00B66941">
      <w:pPr>
        <w:pStyle w:val="Paragrafi"/>
      </w:pPr>
      <w:r w:rsidRPr="00FD3E26">
        <w:t>Njohja e atësisë së çdo fëmije të lindur jashtë martese mund të provohet ose përcaktohet nga njohja vullnetare ose me vendim gjykate.</w:t>
      </w:r>
    </w:p>
    <w:p w:rsidR="00B66941" w:rsidRPr="00FD3E26" w:rsidRDefault="00B66941" w:rsidP="00B66941">
      <w:pPr>
        <w:pStyle w:val="Paragrafi"/>
      </w:pPr>
    </w:p>
    <w:p w:rsidR="00B66941" w:rsidRPr="00FD3E26" w:rsidRDefault="00B66941" w:rsidP="00B66941">
      <w:pPr>
        <w:pStyle w:val="NeniNr"/>
        <w:keepNext w:val="0"/>
      </w:pPr>
      <w:r w:rsidRPr="00FD3E26">
        <w:t>Neni 4</w:t>
      </w:r>
    </w:p>
    <w:p w:rsidR="00B66941" w:rsidRPr="00FD3E26" w:rsidRDefault="00B66941" w:rsidP="00B66941">
      <w:pPr>
        <w:pStyle w:val="Paragrafi"/>
      </w:pPr>
    </w:p>
    <w:p w:rsidR="00B66941" w:rsidRPr="00FD3E26" w:rsidRDefault="00B66941" w:rsidP="00B66941">
      <w:pPr>
        <w:pStyle w:val="Paragrafi"/>
      </w:pPr>
      <w:r w:rsidRPr="00FD3E26">
        <w:t>Njohja vullnetare e atësisë nuk mund të kundërshtohet ose të kontestohet për aq sa parashikon ligji i brendshëm për këto procedura</w:t>
      </w:r>
      <w:r>
        <w:t>,</w:t>
      </w:r>
      <w:r w:rsidRPr="00FD3E26">
        <w:t xml:space="preserve"> përveç kur personi që kërkon të njohë ose që ka njohur fëmijën nuk është babai biologjik.</w:t>
      </w:r>
    </w:p>
    <w:p w:rsidR="00B66941" w:rsidRPr="00FD3E26" w:rsidRDefault="00B66941" w:rsidP="00B66941">
      <w:pPr>
        <w:pStyle w:val="Paragrafi"/>
      </w:pPr>
    </w:p>
    <w:p w:rsidR="00B66941" w:rsidRPr="00FD3E26" w:rsidRDefault="00B66941" w:rsidP="00B66941">
      <w:pPr>
        <w:pStyle w:val="NeniNr"/>
        <w:keepNext w:val="0"/>
      </w:pPr>
      <w:r w:rsidRPr="00FD3E26">
        <w:t>Neni 5</w:t>
      </w:r>
    </w:p>
    <w:p w:rsidR="00B66941" w:rsidRPr="00FD3E26" w:rsidRDefault="00B66941" w:rsidP="00B66941">
      <w:pPr>
        <w:pStyle w:val="Paragrafi"/>
      </w:pPr>
    </w:p>
    <w:p w:rsidR="00B66941" w:rsidRPr="00FD3E26" w:rsidRDefault="00B66941" w:rsidP="00B66941">
      <w:pPr>
        <w:pStyle w:val="Paragrafi"/>
      </w:pPr>
      <w:r w:rsidRPr="00FD3E26">
        <w:t>Veprimet që lidhen me provat shkencore të përkatësisë së atësisë, që mund të ndihmojnë për të vendosur ose kundërshtuar atësinë, janë të pranueshme.</w:t>
      </w:r>
    </w:p>
    <w:p w:rsidR="00B66941" w:rsidRPr="00FD3E26" w:rsidRDefault="00B66941" w:rsidP="00B66941">
      <w:pPr>
        <w:pStyle w:val="Paragrafi"/>
      </w:pPr>
    </w:p>
    <w:p w:rsidR="00B66941" w:rsidRPr="00FD3E26" w:rsidRDefault="00B66941" w:rsidP="00B66941">
      <w:pPr>
        <w:pStyle w:val="NeniNr"/>
        <w:keepNext w:val="0"/>
      </w:pPr>
      <w:r w:rsidRPr="00FD3E26">
        <w:t>Neni 6</w:t>
      </w:r>
    </w:p>
    <w:p w:rsidR="00B66941" w:rsidRPr="00FD3E26" w:rsidRDefault="00B66941" w:rsidP="00B66941">
      <w:pPr>
        <w:pStyle w:val="Paragrafi"/>
      </w:pPr>
    </w:p>
    <w:p w:rsidR="00B66941" w:rsidRPr="00FD3E26" w:rsidRDefault="00B66941" w:rsidP="00B66941">
      <w:pPr>
        <w:pStyle w:val="Paragrafi"/>
      </w:pPr>
      <w:r w:rsidRPr="00FD3E26">
        <w:t>1. Babai dhe nëna e një fëmije të lindur jashtë martese kanë të njëjtin detyrim për t’u kujdesur për fëmijën sikur të ishte lindur në martesë.</w:t>
      </w:r>
    </w:p>
    <w:p w:rsidR="00B66941" w:rsidRPr="00FD3E26" w:rsidRDefault="00B66941" w:rsidP="00B66941">
      <w:pPr>
        <w:pStyle w:val="Paragrafi"/>
      </w:pPr>
      <w:r w:rsidRPr="00FD3E26">
        <w:t>2. Kur detyrimi ligjor për t’u kujdesur për një fëmijë të lindur në martesë bie mbi anëtarë të caktuar të familjes së babait ose nënës, ky detyrim zbatohet gjithashtu në interes të fëmijës së lindur jashtë martese.</w:t>
      </w:r>
    </w:p>
    <w:p w:rsidR="00B66941" w:rsidRPr="00FD3E26" w:rsidRDefault="00B66941" w:rsidP="00B66941">
      <w:pPr>
        <w:pStyle w:val="Paragrafi"/>
      </w:pPr>
    </w:p>
    <w:p w:rsidR="00B66941" w:rsidRPr="00FD3E26" w:rsidRDefault="00B66941" w:rsidP="00B66941">
      <w:pPr>
        <w:pStyle w:val="NeniNr"/>
        <w:keepNext w:val="0"/>
      </w:pPr>
      <w:r w:rsidRPr="00FD3E26">
        <w:t>Neni 7</w:t>
      </w:r>
    </w:p>
    <w:p w:rsidR="00B66941" w:rsidRPr="00FD3E26" w:rsidRDefault="00B66941" w:rsidP="00B66941">
      <w:pPr>
        <w:pStyle w:val="Paragrafi"/>
      </w:pPr>
    </w:p>
    <w:p w:rsidR="00B66941" w:rsidRPr="00FD3E26" w:rsidRDefault="00B66941" w:rsidP="00B66941">
      <w:pPr>
        <w:pStyle w:val="Paragrafi"/>
      </w:pPr>
      <w:r w:rsidRPr="00FD3E26">
        <w:t>1. Kur njohja e një fëmije të lindur jashtë martese është përcaktuar për të dy prindërit, autoriteti prindëror nuk mund t’i atribuohet automatikisht vetëm babait.</w:t>
      </w:r>
    </w:p>
    <w:p w:rsidR="00B66941" w:rsidRPr="00FD3E26" w:rsidRDefault="00B66941" w:rsidP="00B66941">
      <w:pPr>
        <w:pStyle w:val="Paragrafi"/>
      </w:pPr>
      <w:r w:rsidRPr="00FD3E26">
        <w:t>2. Ekziston mundësia për të transferuar autoritetin prindëror, rastet e transferimit rregullohen me ligj të brendshëm.</w:t>
      </w:r>
    </w:p>
    <w:p w:rsidR="00B66941" w:rsidRPr="00FD3E26" w:rsidRDefault="00B66941" w:rsidP="00B66941">
      <w:pPr>
        <w:pStyle w:val="Paragrafi"/>
      </w:pPr>
    </w:p>
    <w:p w:rsidR="00B66941" w:rsidRPr="00FD3E26" w:rsidRDefault="00B66941" w:rsidP="00B66941">
      <w:pPr>
        <w:pStyle w:val="NeniNr"/>
        <w:keepNext w:val="0"/>
      </w:pPr>
      <w:r w:rsidRPr="00FD3E26">
        <w:t>Neni 8</w:t>
      </w:r>
    </w:p>
    <w:p w:rsidR="00B66941" w:rsidRPr="00FD3E26" w:rsidRDefault="00B66941" w:rsidP="00B66941">
      <w:pPr>
        <w:pStyle w:val="Paragrafi"/>
      </w:pPr>
    </w:p>
    <w:p w:rsidR="00B66941" w:rsidRPr="00FD3E26" w:rsidRDefault="00B66941" w:rsidP="00B66941">
      <w:pPr>
        <w:pStyle w:val="Paragrafi"/>
      </w:pPr>
      <w:r w:rsidRPr="00FD3E26">
        <w:t>Kur babai apo nëna e një fëmije të lindur jashtë martese nuk ka përgjegjësinë prindërore ose kujdestarinë e fëmijës, ky prind mund të përfitojë të drejtën e aksesit te fëmija në rastet e duhura.</w:t>
      </w:r>
    </w:p>
    <w:p w:rsidR="00B66941" w:rsidRPr="00FD3E26" w:rsidRDefault="00B66941" w:rsidP="00B66941">
      <w:pPr>
        <w:pStyle w:val="Paragrafi"/>
      </w:pPr>
    </w:p>
    <w:p w:rsidR="00B66941" w:rsidRPr="00FD3E26" w:rsidRDefault="00B66941" w:rsidP="00B66941">
      <w:pPr>
        <w:pStyle w:val="NeniNr"/>
        <w:keepNext w:val="0"/>
      </w:pPr>
      <w:r w:rsidRPr="00FD3E26">
        <w:t>Neni 9</w:t>
      </w:r>
    </w:p>
    <w:p w:rsidR="00B66941" w:rsidRPr="00FD3E26" w:rsidRDefault="00B66941" w:rsidP="00B66941">
      <w:pPr>
        <w:pStyle w:val="Paragrafi"/>
      </w:pPr>
    </w:p>
    <w:p w:rsidR="00B66941" w:rsidRPr="00FD3E26" w:rsidRDefault="00B66941" w:rsidP="00B66941">
      <w:pPr>
        <w:pStyle w:val="Paragrafi"/>
      </w:pPr>
      <w:r w:rsidRPr="00FD3E26">
        <w:lastRenderedPageBreak/>
        <w:t>Një fëmijë i lindur jashtë martese ka të njëjtën të drejtë të trashëgimisë në pasurinë e babait dhe nënës së tij dhe të një anëtari të familjes së babait ose nënës të tij, sikur të kishte qenë i lindur në martesë.</w:t>
      </w:r>
    </w:p>
    <w:p w:rsidR="00B66941" w:rsidRPr="00FD3E26" w:rsidRDefault="00B66941" w:rsidP="00B66941">
      <w:pPr>
        <w:pStyle w:val="Paragrafi"/>
      </w:pPr>
    </w:p>
    <w:p w:rsidR="00B66941" w:rsidRPr="00FD3E26" w:rsidRDefault="00B66941" w:rsidP="00B66941">
      <w:pPr>
        <w:pStyle w:val="NeniNr"/>
        <w:keepNext w:val="0"/>
      </w:pPr>
      <w:r w:rsidRPr="00FD3E26">
        <w:t>Neni 10</w:t>
      </w:r>
    </w:p>
    <w:p w:rsidR="00B66941" w:rsidRPr="00FD3E26" w:rsidRDefault="00B66941" w:rsidP="00B66941">
      <w:pPr>
        <w:pStyle w:val="Paragrafi"/>
      </w:pPr>
    </w:p>
    <w:p w:rsidR="00B66941" w:rsidRPr="00FD3E26" w:rsidRDefault="00B66941" w:rsidP="00B66941">
      <w:pPr>
        <w:pStyle w:val="Paragrafi"/>
      </w:pPr>
      <w:r w:rsidRPr="00FD3E26">
        <w:t>Martesa ndërmjet babait dhe nënës së një fëmije të lindur jashtë martese i jep fëmijës statusin ligjor të fëmijës të lindur në martesë.</w:t>
      </w:r>
    </w:p>
    <w:p w:rsidR="00B66941" w:rsidRPr="00FD3E26" w:rsidRDefault="00B66941" w:rsidP="00B66941">
      <w:pPr>
        <w:pStyle w:val="Paragrafi"/>
      </w:pPr>
    </w:p>
    <w:p w:rsidR="00B66941" w:rsidRPr="00FD3E26" w:rsidRDefault="00B66941" w:rsidP="00B66941">
      <w:pPr>
        <w:pStyle w:val="NeniNr"/>
        <w:keepNext w:val="0"/>
      </w:pPr>
      <w:r w:rsidRPr="00FD3E26">
        <w:t>Neni 11</w:t>
      </w:r>
    </w:p>
    <w:p w:rsidR="00B66941" w:rsidRPr="00FD3E26" w:rsidRDefault="00B66941" w:rsidP="00B66941">
      <w:pPr>
        <w:pStyle w:val="Paragrafi"/>
      </w:pPr>
    </w:p>
    <w:p w:rsidR="00B66941" w:rsidRPr="00FD3E26" w:rsidRDefault="00B66941" w:rsidP="00B66941">
      <w:pPr>
        <w:pStyle w:val="Paragrafi"/>
      </w:pPr>
      <w:r w:rsidRPr="00FD3E26">
        <w:t>1. Kjo konventë është e hapur për nënshkrim nga shtetet anëtare të Këshillit të Europës. Ajo i nënshtrohet ratifikimit, pranimit ose miratimit. Instrumentet e ratifikimit, pranimit ose të miratimit depozitohen pranë Sekretarit të Përgjithshëm të Këshillit të Europës.</w:t>
      </w:r>
    </w:p>
    <w:p w:rsidR="00B66941" w:rsidRPr="00FD3E26" w:rsidRDefault="00B66941" w:rsidP="00B66941">
      <w:pPr>
        <w:pStyle w:val="Paragrafi"/>
      </w:pPr>
      <w:r w:rsidRPr="00FD3E26">
        <w:t>2. Kjo konventë hyn në fuqi tre muaj pas datës së depozitimit të instrumentit të tretë të ratifikimit, pranimit ose miratimit.</w:t>
      </w:r>
    </w:p>
    <w:p w:rsidR="00B66941" w:rsidRPr="00FD3E26" w:rsidRDefault="00B66941" w:rsidP="00B66941">
      <w:pPr>
        <w:pStyle w:val="Paragrafi"/>
      </w:pPr>
      <w:r w:rsidRPr="00FD3E26">
        <w:t>3. Në lidhje me një shtet nënshkrues që e ratifikon, e pranon ose e aprovon më pas, konventa hyn në fuqi tre muaj pas datës së depozitimit të instrumentit të tij të ratifikimit, pranimit apo miratimit.</w:t>
      </w:r>
    </w:p>
    <w:p w:rsidR="00B66941" w:rsidRPr="00FD3E26" w:rsidRDefault="00B66941" w:rsidP="00B66941">
      <w:pPr>
        <w:pStyle w:val="Paragrafi"/>
      </w:pPr>
    </w:p>
    <w:p w:rsidR="00B66941" w:rsidRPr="00FD3E26" w:rsidRDefault="00B66941" w:rsidP="00B66941">
      <w:pPr>
        <w:pStyle w:val="NeniNr"/>
        <w:keepNext w:val="0"/>
      </w:pPr>
      <w:r w:rsidRPr="00FD3E26">
        <w:t>Neni 12</w:t>
      </w:r>
    </w:p>
    <w:p w:rsidR="00B66941" w:rsidRPr="00FD3E26" w:rsidRDefault="00B66941" w:rsidP="00B66941">
      <w:pPr>
        <w:pStyle w:val="Paragrafi"/>
      </w:pPr>
    </w:p>
    <w:p w:rsidR="00B66941" w:rsidRPr="00FD3E26" w:rsidRDefault="00B66941" w:rsidP="00B66941">
      <w:pPr>
        <w:pStyle w:val="Paragrafi"/>
      </w:pPr>
      <w:r w:rsidRPr="00FD3E26">
        <w:t>1. Pas hyrjes në fuqi të kësaj konvente, Komiteti i Ministrave të Këshillit të Europës mund të ftoj</w:t>
      </w:r>
      <w:r>
        <w:t>ë çdo shtet jo</w:t>
      </w:r>
      <w:r w:rsidRPr="00FD3E26">
        <w:t>anëtar të aderojë në këtë konventë.</w:t>
      </w:r>
    </w:p>
    <w:p w:rsidR="00B66941" w:rsidRPr="00FD3E26" w:rsidRDefault="00B66941" w:rsidP="00B66941">
      <w:pPr>
        <w:pStyle w:val="Paragrafi"/>
      </w:pPr>
      <w:r w:rsidRPr="00FD3E26">
        <w:t>2. Ky aderim bëhet nëpërmjet depozitimit pranë Sekretariatit të Përgjithshëm të Këshillit të Europës të instrumentit të aderimit, i cili hyn në fuqi tre muaj pas datës së depozitimit të tij.</w:t>
      </w:r>
    </w:p>
    <w:p w:rsidR="00B66941" w:rsidRPr="00FD3E26" w:rsidRDefault="00B66941" w:rsidP="00B66941">
      <w:pPr>
        <w:pStyle w:val="Paragrafi"/>
      </w:pPr>
    </w:p>
    <w:p w:rsidR="00B66941" w:rsidRPr="00FD3E26" w:rsidRDefault="00B66941" w:rsidP="00B66941">
      <w:pPr>
        <w:pStyle w:val="NeniNr"/>
        <w:keepNext w:val="0"/>
      </w:pPr>
      <w:r w:rsidRPr="00FD3E26">
        <w:t>Neni 13</w:t>
      </w:r>
    </w:p>
    <w:p w:rsidR="00B66941" w:rsidRPr="00FD3E26" w:rsidRDefault="00B66941" w:rsidP="00B66941">
      <w:pPr>
        <w:pStyle w:val="Paragrafi"/>
      </w:pPr>
    </w:p>
    <w:p w:rsidR="00B66941" w:rsidRPr="00FD3E26" w:rsidRDefault="00B66941" w:rsidP="00B66941">
      <w:pPr>
        <w:pStyle w:val="Paragrafi"/>
      </w:pPr>
      <w:r w:rsidRPr="00FD3E26">
        <w:t>1. Çdo shtet, në kohën e nënshkrimit ose të depozitimit të instrumentit të tij të ratifikimit, pranimit, miratimit ose aderimit, specifikon territorin ose territoret, në të cilat zbatohet kjo konventë.</w:t>
      </w:r>
    </w:p>
    <w:p w:rsidR="00B66941" w:rsidRPr="00FD3E26" w:rsidRDefault="00B66941" w:rsidP="00B66941">
      <w:pPr>
        <w:pStyle w:val="Paragrafi"/>
      </w:pPr>
      <w:r w:rsidRPr="00FD3E26">
        <w:t>2. Çdo shtet, gjatë depozitimit të instrumentit të tij të ratifikimit, pranimit, miratimit ose aderimit, ose në çdo datë të mëvonshme, me deklaratë drejtuar Sekretarit të Përgjithshëm të Këshillit të Europës, mund të shtrijë këtë konventë në çdo territor ose territore të tjera të specifikuara në deklaratë dhe për marrëdhëniet ndërkombëtare të të cilëve ajo është përgjegjëse ose në emër të të cilave është e autorizuar për të vepruar.</w:t>
      </w:r>
    </w:p>
    <w:p w:rsidR="00B66941" w:rsidRPr="00FD3E26" w:rsidRDefault="00B66941" w:rsidP="00B66941">
      <w:pPr>
        <w:pStyle w:val="Paragrafi"/>
      </w:pPr>
      <w:r w:rsidRPr="00FD3E26">
        <w:t>3. Çdo deklaratë e bërë në zbatim të paragrafit të mësipërm, në lidhje me çdo territor të përmendur në këtë deklaratë, mund të tërhiqet në pajtim me procedurat e përcaktuara në nenin 15 të kësaj konvente.</w:t>
      </w:r>
    </w:p>
    <w:p w:rsidR="00B66941" w:rsidRPr="00FD3E26" w:rsidRDefault="00B66941" w:rsidP="00B66941">
      <w:pPr>
        <w:pStyle w:val="Paragrafi"/>
      </w:pPr>
    </w:p>
    <w:p w:rsidR="00B66941" w:rsidRPr="00FD3E26" w:rsidRDefault="00B66941" w:rsidP="00B66941">
      <w:pPr>
        <w:pStyle w:val="NeniNr"/>
        <w:keepNext w:val="0"/>
      </w:pPr>
      <w:r w:rsidRPr="00FD3E26">
        <w:t>Neni 14</w:t>
      </w:r>
    </w:p>
    <w:p w:rsidR="00B66941" w:rsidRPr="00FD3E26" w:rsidRDefault="00B66941" w:rsidP="00B66941">
      <w:pPr>
        <w:pStyle w:val="Paragrafi"/>
      </w:pPr>
    </w:p>
    <w:p w:rsidR="00B66941" w:rsidRPr="00FD3E26" w:rsidRDefault="00B66941" w:rsidP="00B66941">
      <w:pPr>
        <w:pStyle w:val="Paragrafi"/>
      </w:pPr>
      <w:r w:rsidRPr="00FD3E26">
        <w:t>1. Çdo shtet në çastin e nënshkrimit ose të depozitimit të instrumentit të tij të ratifikimit, pranimit, miratimit ose aderimit, ose kur bën një deklaratë në përputhje me paragrafin 2 të nenit 13 të kësaj konvente, nuk mund të bëjë më shumë se tre rezerva në lidhje me parashikimet e neneve 2 deri 10 të konventës.</w:t>
      </w:r>
    </w:p>
    <w:p w:rsidR="00B66941" w:rsidRPr="00FD3E26" w:rsidRDefault="00B66941" w:rsidP="00B66941">
      <w:pPr>
        <w:pStyle w:val="Paragrafi"/>
      </w:pPr>
      <w:r w:rsidRPr="00FD3E26">
        <w:t>Rezerva të natyrës së përgjithshme nuk do të lejohen; çdo rezervë nuk mund të veprojë në më shumë se një dispozitë.</w:t>
      </w:r>
    </w:p>
    <w:p w:rsidR="00B66941" w:rsidRPr="00FD3E26" w:rsidRDefault="00B66941" w:rsidP="00B66941">
      <w:pPr>
        <w:pStyle w:val="Paragrafi"/>
      </w:pPr>
      <w:r w:rsidRPr="00FD3E26">
        <w:t xml:space="preserve">2. Një rezervë do të jetë e vlefshme për pesë vjet nga hyrja në fuqi e kësaj konvente për palën kontraktuese në fjalë. Ajo mund të rinovohet për periudha pasuese për pesë vjet me anë të </w:t>
      </w:r>
      <w:r w:rsidRPr="00FD3E26">
        <w:lastRenderedPageBreak/>
        <w:t>një deklarate drejtuar Sekretarit të Përgjithshëm të Këshillit të Europës përpara skadimit të çdo periudhe.</w:t>
      </w:r>
    </w:p>
    <w:p w:rsidR="00B66941" w:rsidRPr="00FD3E26" w:rsidRDefault="00B66941" w:rsidP="00B66941">
      <w:pPr>
        <w:pStyle w:val="Paragrafi"/>
      </w:pPr>
      <w:r w:rsidRPr="00FD3E26">
        <w:t>3. Çdo palë kontraktuese mund të tërheqë tërësisht ose pjesërisht një rezervë që ka bërë në pajtim me paragrafët e mësipërm me anë të një deklarate drejtuar Sekretarit të Përgjithshëm të Këshillit të Europës, e cila hyn në fuqi që nga data e marrjes së saj.</w:t>
      </w:r>
    </w:p>
    <w:p w:rsidR="00B66941" w:rsidRPr="00FD3E26" w:rsidRDefault="00B66941" w:rsidP="00B66941">
      <w:pPr>
        <w:pStyle w:val="Paragrafi"/>
      </w:pPr>
    </w:p>
    <w:p w:rsidR="00B66941" w:rsidRPr="00FD3E26" w:rsidRDefault="00B66941" w:rsidP="00B66941">
      <w:pPr>
        <w:pStyle w:val="NeniNr"/>
        <w:keepNext w:val="0"/>
      </w:pPr>
      <w:r w:rsidRPr="00FD3E26">
        <w:t>Neni 15</w:t>
      </w:r>
    </w:p>
    <w:p w:rsidR="00B66941" w:rsidRPr="00FD3E26" w:rsidRDefault="00B66941" w:rsidP="00B66941">
      <w:pPr>
        <w:pStyle w:val="Paragrafi"/>
      </w:pPr>
    </w:p>
    <w:p w:rsidR="00B66941" w:rsidRPr="00FD3E26" w:rsidRDefault="00B66941" w:rsidP="00B66941">
      <w:pPr>
        <w:pStyle w:val="Paragrafi"/>
      </w:pPr>
      <w:r w:rsidRPr="00FD3E26">
        <w:t>1. Çdo palë kontraktuese, për aq sa është e interesuar, mund të denoncojë këtë konventë me anë të një njoftimi drejtuar Sekretarit të Përgjithshëm të Këshillit të Europës.</w:t>
      </w:r>
    </w:p>
    <w:p w:rsidR="00B66941" w:rsidRPr="00FD3E26" w:rsidRDefault="00B66941" w:rsidP="00B66941">
      <w:pPr>
        <w:pStyle w:val="Paragrafi"/>
      </w:pPr>
      <w:r w:rsidRPr="00FD3E26">
        <w:t>2. Ky denoncim hyn në fuqi gjashtë muaj pas datës së marrjes të këtij njoftimi nga Sekretari i Përgjithshëm.</w:t>
      </w:r>
    </w:p>
    <w:p w:rsidR="00B66941" w:rsidRPr="00FD3E26" w:rsidRDefault="00B66941" w:rsidP="00B66941">
      <w:pPr>
        <w:pStyle w:val="Paragrafi"/>
      </w:pPr>
    </w:p>
    <w:p w:rsidR="00B66941" w:rsidRPr="00FD3E26" w:rsidRDefault="00B66941" w:rsidP="00B66941">
      <w:pPr>
        <w:pStyle w:val="NeniNr"/>
        <w:keepNext w:val="0"/>
      </w:pPr>
      <w:r w:rsidRPr="00FD3E26">
        <w:t>Neni 16</w:t>
      </w:r>
    </w:p>
    <w:p w:rsidR="00B66941" w:rsidRPr="00FD3E26" w:rsidRDefault="00B66941" w:rsidP="00B66941">
      <w:pPr>
        <w:pStyle w:val="Paragrafi"/>
      </w:pPr>
    </w:p>
    <w:p w:rsidR="00B66941" w:rsidRPr="00FD3E26" w:rsidRDefault="00B66941" w:rsidP="00B66941">
      <w:pPr>
        <w:pStyle w:val="Paragrafi"/>
      </w:pPr>
      <w:r w:rsidRPr="00FD3E26">
        <w:t>Sekretari i Përgjithshëm i Këshillit të Europës njofton shtetet anëtare të Këshillit dhe çdo shtet i cili ka aderuar në këtë konventë për:</w:t>
      </w:r>
    </w:p>
    <w:p w:rsidR="00B66941" w:rsidRPr="00FD3E26" w:rsidRDefault="00B66941" w:rsidP="00B66941">
      <w:pPr>
        <w:pStyle w:val="Paragrafi"/>
      </w:pPr>
      <w:r w:rsidRPr="00FD3E26">
        <w:t>a) çdo nënshkrim;</w:t>
      </w:r>
    </w:p>
    <w:p w:rsidR="00B66941" w:rsidRPr="00FD3E26" w:rsidRDefault="00B66941" w:rsidP="00B66941">
      <w:pPr>
        <w:pStyle w:val="Paragrafi"/>
      </w:pPr>
      <w:r w:rsidRPr="00FD3E26">
        <w:t>b) çdo depozitim të një instrumenti të ratifikimit, pranimit, aprovimit ose aderimit;</w:t>
      </w:r>
    </w:p>
    <w:p w:rsidR="00B66941" w:rsidRPr="00FD3E26" w:rsidRDefault="00B66941" w:rsidP="00B66941">
      <w:pPr>
        <w:pStyle w:val="Paragrafi"/>
      </w:pPr>
      <w:r w:rsidRPr="00FD3E26">
        <w:t>c) çdo datë të hyrjes në fuqi të kësaj konvente në përputhje me nenin 11 të saj;</w:t>
      </w:r>
    </w:p>
    <w:p w:rsidR="00B66941" w:rsidRPr="00FD3E26" w:rsidRDefault="00B66941" w:rsidP="00B66941">
      <w:pPr>
        <w:pStyle w:val="Paragrafi"/>
      </w:pPr>
      <w:r w:rsidRPr="00FD3E26">
        <w:t>d) çdo njoftim të marrë në zbatim të parashikimeve të nenit 1;</w:t>
      </w:r>
    </w:p>
    <w:p w:rsidR="00B66941" w:rsidRPr="00FD3E26" w:rsidRDefault="00B66941" w:rsidP="00B66941">
      <w:pPr>
        <w:pStyle w:val="Paragrafi"/>
      </w:pPr>
      <w:r w:rsidRPr="00FD3E26">
        <w:t>e) çdo deklaratë të marrë në zbatim të parashikimeve të paragrafëve 2 dhe 3 të nenit 13;</w:t>
      </w:r>
    </w:p>
    <w:p w:rsidR="00B66941" w:rsidRPr="00FD3E26" w:rsidRDefault="00B66941" w:rsidP="00B66941">
      <w:pPr>
        <w:pStyle w:val="Paragrafi"/>
      </w:pPr>
      <w:r w:rsidRPr="00FD3E26">
        <w:t>f) çdo rezervë të bërë në zbatim të parashikimeve të paragrafit 1 të nenit 14;</w:t>
      </w:r>
    </w:p>
    <w:p w:rsidR="00B66941" w:rsidRPr="00FD3E26" w:rsidRDefault="00B66941" w:rsidP="00B66941">
      <w:pPr>
        <w:pStyle w:val="Paragrafi"/>
      </w:pPr>
      <w:r w:rsidRPr="00FD3E26">
        <w:t>g) rivendosja e çdo rezerve të kryer në zbatim të parashikimeve të paragrafit 2 të nenit 14;</w:t>
      </w:r>
    </w:p>
    <w:p w:rsidR="00B66941" w:rsidRPr="00FD3E26" w:rsidRDefault="00B66941" w:rsidP="00B66941">
      <w:pPr>
        <w:pStyle w:val="Paragrafi"/>
      </w:pPr>
      <w:r w:rsidRPr="00FD3E26">
        <w:t>h) tërheqja e çdo rezerve të kryer në zbatim të parashikimeve të paragrafit 3 të nenit 14;</w:t>
      </w:r>
    </w:p>
    <w:p w:rsidR="00B66941" w:rsidRPr="00FD3E26" w:rsidRDefault="00B66941" w:rsidP="00B66941">
      <w:pPr>
        <w:pStyle w:val="Paragrafi"/>
      </w:pPr>
      <w:r w:rsidRPr="00FD3E26">
        <w:t>i) çdo njoftim të marrë në zbatim të parashikimeve të nenit 15 dhe datën në të cilën denoncimi hyn në fuqi.</w:t>
      </w:r>
    </w:p>
    <w:p w:rsidR="00B66941" w:rsidRPr="00FD3E26" w:rsidRDefault="00B66941" w:rsidP="00B66941">
      <w:pPr>
        <w:pStyle w:val="Paragrafi"/>
      </w:pPr>
      <w:r w:rsidRPr="00FD3E26">
        <w:t>Në dëshmi të kësaj, të nënshkruarit, të autorizuar rregullisht për këtë, kanë nënshkruar këtë konventë.</w:t>
      </w:r>
    </w:p>
    <w:p w:rsidR="00B66941" w:rsidRPr="00FD3E26" w:rsidRDefault="00B66941" w:rsidP="00B66941">
      <w:pPr>
        <w:pStyle w:val="Paragrafi"/>
      </w:pPr>
      <w:r w:rsidRPr="00FD3E26">
        <w:t>Bërë në Strasburg, më 15 tetor 1975, në anglisht dhe frëngjisht, ku të dyja tekstet kanë të njëjtën fuqi, në një kopje të vetme, e cila depozitohet në arkivat e Këshillit të Europës. Sekretari i Përg</w:t>
      </w:r>
      <w:r>
        <w:t>jithshëm i Këshillit të Europës</w:t>
      </w:r>
      <w:r w:rsidRPr="00FD3E26">
        <w:t xml:space="preserve"> i transmeton kopje të vërtetuara secilit prej shteteve nënshkruese dhe aderuese.</w:t>
      </w:r>
    </w:p>
    <w:sectPr w:rsidR="00B66941" w:rsidRPr="00FD3E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6941"/>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A7021"/>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66941"/>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E5258A-8404-489B-8DB3-D506DAF5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B66941"/>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B66941"/>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2019-03-19T14:24:00Z</dcterms:created>
  <dcterms:modified xsi:type="dcterms:W3CDTF">2019-03-19T14:24:00Z</dcterms:modified>
</cp:coreProperties>
</file>