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839" w:rsidRPr="00EE12DF" w:rsidRDefault="00B52839" w:rsidP="00B52839">
      <w:pPr>
        <w:pStyle w:val="Akti"/>
        <w:keepNext w:val="0"/>
      </w:pPr>
      <w:bookmarkStart w:id="0" w:name="_GoBack"/>
      <w:bookmarkEnd w:id="0"/>
      <w:r w:rsidRPr="00EE12DF">
        <w:t>LIGJ</w:t>
      </w:r>
    </w:p>
    <w:p w:rsidR="00B52839" w:rsidRPr="00EE12DF" w:rsidRDefault="00B52839" w:rsidP="00B52839">
      <w:pPr>
        <w:pStyle w:val="NumriData"/>
        <w:keepNext w:val="0"/>
      </w:pPr>
      <w:r w:rsidRPr="00EE12DF">
        <w:t>Nr.10 485, datë 26.11.2011</w:t>
      </w:r>
    </w:p>
    <w:p w:rsidR="00B52839" w:rsidRPr="00EE12DF" w:rsidRDefault="00B52839" w:rsidP="00B52839">
      <w:pPr>
        <w:pStyle w:val="Paragrafi"/>
      </w:pPr>
    </w:p>
    <w:p w:rsidR="00B52839" w:rsidRDefault="00B52839" w:rsidP="00B52839">
      <w:pPr>
        <w:pStyle w:val="Titulli"/>
        <w:keepNext w:val="0"/>
      </w:pPr>
      <w:r w:rsidRPr="00EE12DF">
        <w:t xml:space="preserve">PËR DISA NDRYSHIME DHE SHTESA NË LIGJIN NR. 9072, DATË 22.5.2003 </w:t>
      </w:r>
    </w:p>
    <w:p w:rsidR="00B52839" w:rsidRPr="00EE12DF" w:rsidRDefault="00B52839" w:rsidP="00B52839">
      <w:pPr>
        <w:pStyle w:val="Titulli"/>
        <w:keepNext w:val="0"/>
      </w:pPr>
      <w:r w:rsidRPr="00EE12DF">
        <w:t>“PËR SEKTORIN E ENERGJISË ELEKTRIKE”, TË NDRYSHUAR</w:t>
      </w:r>
      <w:r w:rsidRPr="0061568F">
        <w:rPr>
          <w:vertAlign w:val="superscript"/>
        </w:rPr>
        <w:footnoteReference w:id="1"/>
      </w:r>
    </w:p>
    <w:p w:rsidR="00B52839" w:rsidRPr="00EE12DF" w:rsidRDefault="00B52839" w:rsidP="00B52839">
      <w:pPr>
        <w:pStyle w:val="Paragrafi"/>
      </w:pPr>
    </w:p>
    <w:p w:rsidR="00B52839" w:rsidRPr="00EE12DF" w:rsidRDefault="00B52839" w:rsidP="00B52839">
      <w:pPr>
        <w:pStyle w:val="Paragrafi"/>
      </w:pPr>
      <w:r w:rsidRPr="00EE12DF">
        <w:t xml:space="preserve">Në mbështetje të neneve 78 e 83 pika 1 të Kushtetutës, me propozimin e Këshillit të Ministrave, </w:t>
      </w:r>
    </w:p>
    <w:p w:rsidR="00B52839" w:rsidRPr="00EE12DF" w:rsidRDefault="00B52839" w:rsidP="00B52839">
      <w:pPr>
        <w:pStyle w:val="Paragrafi"/>
      </w:pPr>
    </w:p>
    <w:p w:rsidR="00B52839" w:rsidRPr="00EE12DF" w:rsidRDefault="00B52839" w:rsidP="00B52839">
      <w:pPr>
        <w:pStyle w:val="Institucioni"/>
        <w:keepNext w:val="0"/>
      </w:pPr>
      <w:r w:rsidRPr="00EE12DF">
        <w:t>KUVENDI</w:t>
      </w:r>
    </w:p>
    <w:p w:rsidR="00B52839" w:rsidRPr="00EE12DF" w:rsidRDefault="00B52839" w:rsidP="00B52839">
      <w:pPr>
        <w:pStyle w:val="Institucioni"/>
        <w:keepNext w:val="0"/>
      </w:pPr>
      <w:r w:rsidRPr="00EE12DF">
        <w:t>I REPUBLIKËS SË SHQIPËRISË</w:t>
      </w:r>
    </w:p>
    <w:p w:rsidR="00B52839" w:rsidRPr="00EE12DF" w:rsidRDefault="00B52839" w:rsidP="00B52839">
      <w:pPr>
        <w:pStyle w:val="Paragrafi"/>
      </w:pPr>
    </w:p>
    <w:p w:rsidR="00B52839" w:rsidRPr="00EE12DF" w:rsidRDefault="00B52839" w:rsidP="00B52839">
      <w:pPr>
        <w:pStyle w:val="VENDOSI"/>
        <w:keepNext w:val="0"/>
      </w:pPr>
      <w:r>
        <w:t>VENDOS</w:t>
      </w:r>
      <w:r w:rsidRPr="00EE12DF">
        <w:t>I:</w:t>
      </w:r>
    </w:p>
    <w:p w:rsidR="00B52839" w:rsidRPr="00EE12DF" w:rsidRDefault="00B52839" w:rsidP="00B52839">
      <w:pPr>
        <w:pStyle w:val="Paragrafi"/>
      </w:pPr>
    </w:p>
    <w:p w:rsidR="00B52839" w:rsidRPr="00EE12DF" w:rsidRDefault="00B52839" w:rsidP="00B52839">
      <w:pPr>
        <w:pStyle w:val="Paragrafi"/>
      </w:pPr>
      <w:r w:rsidRPr="00EE12DF">
        <w:t>Në ligjin nr. 9072, datë 22.5.2003 “Për sektorin e energjisë elektrike”, të ndryshuar, bëhen këto ndryshime dhe shtesa:</w:t>
      </w:r>
    </w:p>
    <w:p w:rsidR="00B52839" w:rsidRPr="00EE12DF" w:rsidRDefault="00B52839" w:rsidP="00B52839">
      <w:pPr>
        <w:pStyle w:val="Paragrafi"/>
      </w:pPr>
    </w:p>
    <w:p w:rsidR="00B52839" w:rsidRPr="00EE12DF" w:rsidRDefault="00B52839" w:rsidP="00B52839">
      <w:pPr>
        <w:pStyle w:val="NeniNr"/>
        <w:keepNext w:val="0"/>
      </w:pPr>
      <w:r w:rsidRPr="00EE12DF">
        <w:t>Neni 1</w:t>
      </w:r>
    </w:p>
    <w:p w:rsidR="00B52839" w:rsidRPr="00EE12DF" w:rsidRDefault="00B52839" w:rsidP="00B52839">
      <w:pPr>
        <w:pStyle w:val="Paragrafi"/>
      </w:pPr>
    </w:p>
    <w:p w:rsidR="00B52839" w:rsidRPr="00EE12DF" w:rsidRDefault="00B52839" w:rsidP="00B52839">
      <w:pPr>
        <w:pStyle w:val="Paragrafi"/>
      </w:pPr>
      <w:r w:rsidRPr="00EE12DF">
        <w:t>Në nenin 18 pika 1, pas shkronjës “e” shtohet shkronja “ë” me këtë përmbajtje:</w:t>
      </w:r>
    </w:p>
    <w:p w:rsidR="00B52839" w:rsidRPr="00EE12DF" w:rsidRDefault="00B52839" w:rsidP="00B52839">
      <w:pPr>
        <w:pStyle w:val="Paragrafi"/>
      </w:pPr>
      <w:r w:rsidRPr="00EE12DF">
        <w:t>“ë) për shkelje të përsëritura nga i licencuari.”.</w:t>
      </w:r>
    </w:p>
    <w:p w:rsidR="00B52839" w:rsidRPr="00EE12DF" w:rsidRDefault="00B52839" w:rsidP="00B52839">
      <w:pPr>
        <w:pStyle w:val="Paragrafi"/>
      </w:pPr>
    </w:p>
    <w:p w:rsidR="00B52839" w:rsidRPr="00EE12DF" w:rsidRDefault="00B52839" w:rsidP="00B52839">
      <w:pPr>
        <w:pStyle w:val="NeniNr"/>
        <w:keepNext w:val="0"/>
      </w:pPr>
      <w:r w:rsidRPr="00EE12DF">
        <w:t>Neni 2</w:t>
      </w:r>
    </w:p>
    <w:p w:rsidR="00B52839" w:rsidRPr="00EE12DF" w:rsidRDefault="00B52839" w:rsidP="00B52839">
      <w:pPr>
        <w:pStyle w:val="Paragrafi"/>
      </w:pPr>
    </w:p>
    <w:p w:rsidR="00B52839" w:rsidRPr="00EE12DF" w:rsidRDefault="00B52839" w:rsidP="00B52839">
      <w:pPr>
        <w:pStyle w:val="Paragrafi"/>
      </w:pPr>
      <w:r w:rsidRPr="00EE12DF">
        <w:t>Neni 48 “Klienti i kualifikuar” ndryshohet si më poshtë:</w:t>
      </w:r>
    </w:p>
    <w:p w:rsidR="00B52839" w:rsidRPr="00EE12DF" w:rsidRDefault="00B52839" w:rsidP="00B52839">
      <w:pPr>
        <w:pStyle w:val="Paragrafi"/>
      </w:pPr>
    </w:p>
    <w:p w:rsidR="00B52839" w:rsidRPr="00EE12DF" w:rsidRDefault="00B52839" w:rsidP="00B52839">
      <w:pPr>
        <w:pStyle w:val="NeniNr"/>
        <w:keepNext w:val="0"/>
      </w:pPr>
      <w:r w:rsidRPr="00EE12DF">
        <w:t>“Neni 48</w:t>
      </w:r>
    </w:p>
    <w:p w:rsidR="00B52839" w:rsidRPr="00EE12DF" w:rsidRDefault="00B52839" w:rsidP="00B52839">
      <w:pPr>
        <w:pStyle w:val="NeniTitull"/>
        <w:keepNext w:val="0"/>
      </w:pPr>
      <w:r w:rsidRPr="00EE12DF">
        <w:t>Klienti i kualifikuar</w:t>
      </w:r>
    </w:p>
    <w:p w:rsidR="00B52839" w:rsidRPr="00EE12DF" w:rsidRDefault="00B52839" w:rsidP="00B52839">
      <w:pPr>
        <w:pStyle w:val="Paragrafi"/>
      </w:pPr>
    </w:p>
    <w:p w:rsidR="00B52839" w:rsidRPr="00EE12DF" w:rsidRDefault="00B52839" w:rsidP="00B52839">
      <w:pPr>
        <w:pStyle w:val="Paragrafi"/>
      </w:pPr>
      <w:r w:rsidRPr="00EE12DF">
        <w:t>1. “Klient i kualifikuar” konsiderohet automatikisht çdo konsumator i energjisë elektrike, i lidhur në rrjetin e energjisë elektrike me tension 110 kV e sipër, si dhe çdo konsumator tjetër i energjisë elektrike që, pavarësisht nivelit të tensionit të rrjetit të energjisë elektrike, në të cilin është lidhur, ka një konsum vjetor të energjisë elektrike më të madh se 50 milionë kWh.</w:t>
      </w:r>
    </w:p>
    <w:p w:rsidR="00B52839" w:rsidRPr="00EE12DF" w:rsidRDefault="00B52839" w:rsidP="00B52839">
      <w:pPr>
        <w:pStyle w:val="Paragrafi"/>
      </w:pPr>
      <w:r w:rsidRPr="00EE12DF">
        <w:t xml:space="preserve">2. Klienti i kualifikuar lidh kontratë për furnizimin me energji elektrike me çdo furnizues të kualifikuar, </w:t>
      </w:r>
      <w:smartTag w:uri="urn:schemas-microsoft-com:office:smarttags" w:element="place">
        <w:smartTag w:uri="urn:schemas-microsoft-com:office:smarttags" w:element="country-region">
          <w:r w:rsidRPr="00EE12DF">
            <w:t>vendas</w:t>
          </w:r>
        </w:smartTag>
      </w:smartTag>
      <w:r w:rsidRPr="00EE12DF">
        <w:t xml:space="preserve"> apo të huaj, të licencuar nga ERE-ja. Kontrata do të jetë në përputhje me rregullat e tregut të energjisë, të miratuara nga ERE-ja.”.</w:t>
      </w:r>
    </w:p>
    <w:p w:rsidR="00B52839" w:rsidRPr="00EE12DF" w:rsidRDefault="00B52839" w:rsidP="00B52839">
      <w:pPr>
        <w:pStyle w:val="Paragrafi"/>
      </w:pPr>
    </w:p>
    <w:p w:rsidR="00B52839" w:rsidRPr="00EE12DF" w:rsidRDefault="00B52839" w:rsidP="00B52839">
      <w:pPr>
        <w:pStyle w:val="NeniNr"/>
        <w:keepNext w:val="0"/>
      </w:pPr>
      <w:r w:rsidRPr="00EE12DF">
        <w:t>Neni 3</w:t>
      </w:r>
    </w:p>
    <w:p w:rsidR="00B52839" w:rsidRPr="00EE12DF" w:rsidRDefault="00B52839" w:rsidP="00B52839">
      <w:pPr>
        <w:pStyle w:val="Paragrafi"/>
      </w:pPr>
    </w:p>
    <w:p w:rsidR="00B52839" w:rsidRPr="00EE12DF" w:rsidRDefault="00B52839" w:rsidP="00B52839">
      <w:pPr>
        <w:pStyle w:val="Paragrafi"/>
      </w:pPr>
      <w:r w:rsidRPr="00EE12DF">
        <w:t>Neni 64 “Kundërvajtjet administrative” ndryshohet si më poshtë:</w:t>
      </w:r>
    </w:p>
    <w:p w:rsidR="00B52839" w:rsidRDefault="00B52839" w:rsidP="00B52839">
      <w:pPr>
        <w:pStyle w:val="Paragrafi"/>
      </w:pPr>
    </w:p>
    <w:p w:rsidR="00B52839" w:rsidRDefault="00B52839" w:rsidP="00B52839">
      <w:pPr>
        <w:pStyle w:val="Paragrafi"/>
      </w:pPr>
    </w:p>
    <w:p w:rsidR="00B52839" w:rsidRDefault="00B52839" w:rsidP="00B52839">
      <w:pPr>
        <w:pStyle w:val="Paragrafi"/>
      </w:pPr>
    </w:p>
    <w:p w:rsidR="00B52839" w:rsidRPr="00EE12DF" w:rsidRDefault="00B52839" w:rsidP="00B52839">
      <w:pPr>
        <w:pStyle w:val="NeniNr"/>
        <w:keepNext w:val="0"/>
      </w:pPr>
      <w:r w:rsidRPr="00EE12DF">
        <w:t>“Neni 64</w:t>
      </w:r>
    </w:p>
    <w:p w:rsidR="00B52839" w:rsidRPr="00EE12DF" w:rsidRDefault="00B52839" w:rsidP="00B52839">
      <w:pPr>
        <w:pStyle w:val="NeniTitull"/>
        <w:keepNext w:val="0"/>
      </w:pPr>
      <w:r w:rsidRPr="00EE12DF">
        <w:t>Kundërvajtjet administrative</w:t>
      </w:r>
    </w:p>
    <w:p w:rsidR="00B52839" w:rsidRPr="00EE12DF" w:rsidRDefault="00B52839" w:rsidP="00B52839">
      <w:pPr>
        <w:pStyle w:val="Paragrafi"/>
      </w:pPr>
    </w:p>
    <w:p w:rsidR="00B52839" w:rsidRPr="00EE12DF" w:rsidRDefault="00B52839" w:rsidP="00B52839">
      <w:pPr>
        <w:pStyle w:val="Paragrafi"/>
      </w:pPr>
      <w:r w:rsidRPr="00EE12DF">
        <w:t xml:space="preserve">1. Shkeljet e mëposhtme, kur nuk përbëjnë vepër penale, përbëjnë kundërvajtje administrative </w:t>
      </w:r>
      <w:r w:rsidRPr="00EE12DF">
        <w:lastRenderedPageBreak/>
        <w:t>dhe ndëshkohen nga ERE-ja me gjobë të barabartë me maksimumin e 3 për qind të të ardhurave vjetore të vitit paraardhës dhe minimumin 0,01 për qind:</w:t>
      </w:r>
    </w:p>
    <w:p w:rsidR="00B52839" w:rsidRPr="00EE12DF" w:rsidRDefault="00B52839" w:rsidP="00B52839">
      <w:pPr>
        <w:pStyle w:val="Paragrafi"/>
      </w:pPr>
      <w:r w:rsidRPr="00EE12DF">
        <w:t>a) Refuzimi i paraqitjes së të dhënave dhe raporteve periodike apo dërgimi me vonesë i tyre ose dërgimi i të dhënave të pasakta nga i licencuari.</w:t>
      </w:r>
    </w:p>
    <w:p w:rsidR="00B52839" w:rsidRPr="00EE12DF" w:rsidRDefault="00B52839" w:rsidP="00B52839">
      <w:pPr>
        <w:pStyle w:val="Paragrafi"/>
      </w:pPr>
      <w:r w:rsidRPr="00EE12DF">
        <w:t>b) Moszbatimi i detyrimeve që lidhen me llogaritjen e kostove e të tarifave, si dhe zbatimin e tyre.</w:t>
      </w:r>
    </w:p>
    <w:p w:rsidR="00B52839" w:rsidRPr="00EE12DF" w:rsidRDefault="00B52839" w:rsidP="00B52839">
      <w:pPr>
        <w:pStyle w:val="Paragrafi"/>
      </w:pPr>
      <w:r w:rsidRPr="00EE12DF">
        <w:t>c) Moszbatimi i detyrimeve të shërbimit publik, të vendosura sipas nenit 25 të këtij ligji.</w:t>
      </w:r>
    </w:p>
    <w:p w:rsidR="00B52839" w:rsidRPr="00EE12DF" w:rsidRDefault="00B52839" w:rsidP="00B52839">
      <w:pPr>
        <w:pStyle w:val="Paragrafi"/>
      </w:pPr>
      <w:r w:rsidRPr="00EE12DF">
        <w:t>ç) Moszbatimi i detyrimit për mbajtjen e llogarive të ndara, sipas neneve 23 dhe 33 të këtij ligji.</w:t>
      </w:r>
    </w:p>
    <w:p w:rsidR="00B52839" w:rsidRPr="00EE12DF" w:rsidRDefault="00B52839" w:rsidP="00B52839">
      <w:pPr>
        <w:pStyle w:val="Paragrafi"/>
      </w:pPr>
      <w:r w:rsidRPr="00EE12DF">
        <w:t>d) Moszbatimi i detyrimeve që lidhen me aksesin e palëve të treta në rrjet, siç përcaktohet nga dispozitat e këtij ligji dhe aktet e tjera nënligjore.</w:t>
      </w:r>
    </w:p>
    <w:p w:rsidR="00B52839" w:rsidRPr="00EE12DF" w:rsidRDefault="00B52839" w:rsidP="00B52839">
      <w:pPr>
        <w:pStyle w:val="Paragrafi"/>
      </w:pPr>
      <w:r w:rsidRPr="00EE12DF">
        <w:t>dh) Moszbatimi i detyrimeve të përcaktuara në kontratat e rregulluara.</w:t>
      </w:r>
    </w:p>
    <w:p w:rsidR="00B52839" w:rsidRPr="00EE12DF" w:rsidRDefault="00B52839" w:rsidP="00B52839">
      <w:pPr>
        <w:pStyle w:val="Paragrafi"/>
      </w:pPr>
      <w:r w:rsidRPr="00EE12DF">
        <w:t>e) Mospublikimi i informacionit për tarifat dhe kushtet e përgjithshme të aksesit dhe përdorimit të shërbimeve të rrjetit.</w:t>
      </w:r>
    </w:p>
    <w:p w:rsidR="00B52839" w:rsidRPr="00EE12DF" w:rsidRDefault="00B52839" w:rsidP="00B52839">
      <w:pPr>
        <w:pStyle w:val="Paragrafi"/>
      </w:pPr>
      <w:r w:rsidRPr="00EE12DF">
        <w:t>ë) Mosparaqitja e planeve të investimeve, sipas kërkesave të nenit 24 të këtij ligji dhe rregullave përkatëse të ERE-së, si dhe moszbatimi i tyre.</w:t>
      </w:r>
    </w:p>
    <w:p w:rsidR="00B52839" w:rsidRPr="00EE12DF" w:rsidRDefault="00B52839" w:rsidP="00B52839">
      <w:pPr>
        <w:pStyle w:val="Paragrafi"/>
      </w:pPr>
      <w:r w:rsidRPr="00EE12DF">
        <w:t>f) Shkelja e një prej kushteve e standardeve të cilësisë së furnizimit, të miratuara nga ERE-ja.</w:t>
      </w:r>
    </w:p>
    <w:p w:rsidR="00B52839" w:rsidRPr="00EE12DF" w:rsidRDefault="00B52839" w:rsidP="00B52839">
      <w:pPr>
        <w:pStyle w:val="Paragrafi"/>
      </w:pPr>
      <w:r w:rsidRPr="00EE12DF">
        <w:t>g) Mospërmbushja e urdhrave të ERE-së për zgjidhjen e mosmarrëveshjeve ndërmjet të licencuarve nga ERE-ja.</w:t>
      </w:r>
    </w:p>
    <w:p w:rsidR="00B52839" w:rsidRPr="00EE12DF" w:rsidRDefault="00B52839" w:rsidP="00B52839">
      <w:pPr>
        <w:pStyle w:val="Paragrafi"/>
      </w:pPr>
      <w:r w:rsidRPr="00EE12DF">
        <w:t>gj)  Shkeljet e kushteve të përcaktuara në licencë apo shkeljet e rregullave e të rregulloreve të ERE-së, që nuk janë përcaktuar në shkronjat e mësipërme.</w:t>
      </w:r>
    </w:p>
    <w:p w:rsidR="00B52839" w:rsidRPr="00EE12DF" w:rsidRDefault="00B52839" w:rsidP="00B52839">
      <w:pPr>
        <w:pStyle w:val="Paragrafi"/>
      </w:pPr>
      <w:r w:rsidRPr="00EE12DF">
        <w:t>2. ERE-ja mund të vendosë gjobë progresive për çdo ditë shkeljeje nga i licencuari për rastet e mëposhtme:</w:t>
      </w:r>
    </w:p>
    <w:p w:rsidR="00B52839" w:rsidRPr="00EE12DF" w:rsidRDefault="00B52839" w:rsidP="00B52839">
      <w:pPr>
        <w:pStyle w:val="Paragrafi"/>
      </w:pPr>
      <w:r w:rsidRPr="00EE12DF">
        <w:t>a) Kur i licencuari nuk zbaton urdhrat e ERE-së për korrigjimin e një shkeljeje brenda afateve të përcaktuara nga ERE-ja, dënohet me gjobë në masën 0,5 për qind të xhiros mesatare ditore në vitin financiar paraardhës për çdo ditë shkeljeje nga dita e afatit të përcaktuar.</w:t>
      </w:r>
    </w:p>
    <w:p w:rsidR="00B52839" w:rsidRPr="00EE12DF" w:rsidRDefault="00B52839" w:rsidP="00B52839">
      <w:pPr>
        <w:pStyle w:val="Paragrafi"/>
      </w:pPr>
      <w:r w:rsidRPr="00EE12DF">
        <w:t>b) Kur i licencuari nuk përmbush detyrimet për pagesën e rregullimit ndaj ERE-së, për çdo ditë vonese nga dita e përcaktuar për pagesën përkatëse të rregullimit, dënohet me gjobë në masën 0,5 për qind të xhiros mesatare ditore në vitin financiar paraardhës.</w:t>
      </w:r>
    </w:p>
    <w:p w:rsidR="00B52839" w:rsidRPr="00EE12DF" w:rsidRDefault="00B52839" w:rsidP="00B52839">
      <w:pPr>
        <w:pStyle w:val="Paragrafi"/>
      </w:pPr>
      <w:r w:rsidRPr="00EE12DF">
        <w:t>3. ERE-ja miraton rregullat për përcaktimin me hollësi të vendosjes së gjobave e të lehtësimit prej tyre, duke marrë në konsideratë:</w:t>
      </w:r>
    </w:p>
    <w:p w:rsidR="00B52839" w:rsidRPr="00EE12DF" w:rsidRDefault="00B52839" w:rsidP="00B52839">
      <w:pPr>
        <w:pStyle w:val="Paragrafi"/>
      </w:pPr>
      <w:r w:rsidRPr="00EE12DF">
        <w:t>a) reduktimin në masën 50 për qind të gjobës, në rastet kur shkelja, për të cilën parashikohet gjobë, deklarohet nga i licencuari;</w:t>
      </w:r>
    </w:p>
    <w:p w:rsidR="00B52839" w:rsidRPr="00EE12DF" w:rsidRDefault="00B52839" w:rsidP="00B52839">
      <w:pPr>
        <w:pStyle w:val="Paragrafi"/>
      </w:pPr>
      <w:r w:rsidRPr="00EE12DF">
        <w:t>b) reduktimin në masën 1/3 e gjobës, kur i licencuari bashkëpunon në mënyrë efikase në procesin e investigimit të rregullatorit për shkeljen në fjalë;</w:t>
      </w:r>
    </w:p>
    <w:p w:rsidR="00B52839" w:rsidRPr="00EE12DF" w:rsidRDefault="00B52839" w:rsidP="00B52839">
      <w:pPr>
        <w:pStyle w:val="Paragrafi"/>
      </w:pPr>
      <w:r w:rsidRPr="00EE12DF">
        <w:t>c) reduktimin në masën 50 për qind, kur i licencuari demonstron se ka bërë veprime që çojnë në përmirësimin e tregut të rregulluar.</w:t>
      </w:r>
    </w:p>
    <w:p w:rsidR="00B52839" w:rsidRPr="00EE12DF" w:rsidRDefault="00B52839" w:rsidP="00B52839">
      <w:pPr>
        <w:pStyle w:val="Paragrafi"/>
      </w:pPr>
      <w:r w:rsidRPr="00EE12DF">
        <w:t>4. Shqyrtimi i kundërvajtjeve administrative, i ankimit dhe ekzekutimi i vendimeve të bordit bëhen sipas ligjit nr. 10 279, datë 20.5.2010 “Për kundërvajtjet administrative””.</w:t>
      </w:r>
    </w:p>
    <w:p w:rsidR="00B52839" w:rsidRPr="00EE12DF" w:rsidRDefault="00B52839" w:rsidP="00B52839">
      <w:pPr>
        <w:pStyle w:val="Paragrafi"/>
      </w:pPr>
    </w:p>
    <w:p w:rsidR="00B52839" w:rsidRDefault="00B52839" w:rsidP="00B52839">
      <w:pPr>
        <w:pStyle w:val="NeniNr"/>
        <w:keepNext w:val="0"/>
      </w:pPr>
    </w:p>
    <w:p w:rsidR="00B52839" w:rsidRPr="00EB4D9D" w:rsidRDefault="00B52839" w:rsidP="007C3E1E">
      <w:pPr>
        <w:pStyle w:val="Paragrafi"/>
        <w:rPr>
          <w:lang w:val="en-GB"/>
        </w:rPr>
      </w:pPr>
    </w:p>
    <w:p w:rsidR="00B52839" w:rsidRPr="00EE12DF" w:rsidRDefault="00B52839" w:rsidP="00B52839">
      <w:pPr>
        <w:pStyle w:val="NeniNr"/>
        <w:keepNext w:val="0"/>
      </w:pPr>
      <w:r w:rsidRPr="00EE12DF">
        <w:t>Neni 4</w:t>
      </w:r>
    </w:p>
    <w:p w:rsidR="00B52839" w:rsidRPr="00EE12DF" w:rsidRDefault="00B52839" w:rsidP="00B52839">
      <w:pPr>
        <w:pStyle w:val="NeniTitull"/>
        <w:keepNext w:val="0"/>
      </w:pPr>
      <w:r w:rsidRPr="00EE12DF">
        <w:t>Hyrja në fuqi</w:t>
      </w:r>
    </w:p>
    <w:p w:rsidR="00B52839" w:rsidRPr="00EE12DF" w:rsidRDefault="00B52839" w:rsidP="00B52839">
      <w:pPr>
        <w:pStyle w:val="Paragrafi"/>
      </w:pPr>
    </w:p>
    <w:p w:rsidR="00B52839" w:rsidRPr="00EE12DF" w:rsidRDefault="00B52839" w:rsidP="00B52839">
      <w:pPr>
        <w:pStyle w:val="Paragrafi"/>
      </w:pPr>
      <w:r w:rsidRPr="00EE12DF">
        <w:t>Ky ligj hyn në fuqi 15 ditë pas botimit në Fletoren Zyrtare.</w:t>
      </w:r>
    </w:p>
    <w:p w:rsidR="00B52839" w:rsidRPr="00EE12DF" w:rsidRDefault="00B52839" w:rsidP="00B52839">
      <w:pPr>
        <w:pStyle w:val="Paragrafi"/>
      </w:pPr>
    </w:p>
    <w:p w:rsidR="00477590" w:rsidRPr="00B52839" w:rsidRDefault="00B52839" w:rsidP="00B52839">
      <w:pPr>
        <w:pStyle w:val="Paragrafi"/>
        <w:ind w:firstLine="0"/>
        <w:rPr>
          <w:b/>
          <w:bCs/>
          <w:sz w:val="23"/>
          <w:szCs w:val="23"/>
        </w:rPr>
      </w:pPr>
      <w:r>
        <w:rPr>
          <w:b/>
          <w:bCs/>
          <w:sz w:val="23"/>
          <w:szCs w:val="23"/>
        </w:rPr>
        <w:t>Shpallur me dekretin nr.7182, datë 7.12</w:t>
      </w:r>
      <w:r w:rsidRPr="001F4D85">
        <w:rPr>
          <w:b/>
          <w:bCs/>
          <w:sz w:val="23"/>
          <w:szCs w:val="23"/>
        </w:rPr>
        <w:t>.2011 të Presidentit të Republikës së Shqipërisë  Bamir Topi</w:t>
      </w:r>
    </w:p>
    <w:sectPr w:rsidR="00477590" w:rsidRPr="00B52839" w:rsidSect="004775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3C89" w:rsidRDefault="00613C89" w:rsidP="00B52839">
      <w:r>
        <w:separator/>
      </w:r>
    </w:p>
  </w:endnote>
  <w:endnote w:type="continuationSeparator" w:id="0">
    <w:p w:rsidR="00613C89" w:rsidRDefault="00613C89" w:rsidP="00B52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3C89" w:rsidRDefault="00613C89" w:rsidP="00B52839">
      <w:r>
        <w:separator/>
      </w:r>
    </w:p>
  </w:footnote>
  <w:footnote w:type="continuationSeparator" w:id="0">
    <w:p w:rsidR="00613C89" w:rsidRDefault="00613C89" w:rsidP="00B52839">
      <w:r>
        <w:continuationSeparator/>
      </w:r>
    </w:p>
  </w:footnote>
  <w:footnote w:id="1">
    <w:p w:rsidR="00B52839" w:rsidRPr="00EB4D9D" w:rsidRDefault="00B52839" w:rsidP="00B52839">
      <w:pPr>
        <w:pStyle w:val="FootnoteText"/>
        <w:jc w:val="both"/>
        <w:rPr>
          <w:rFonts w:ascii="CG Times" w:hAnsi="CG Times"/>
          <w:lang w:val="en-US"/>
        </w:rPr>
      </w:pPr>
      <w:r w:rsidRPr="00EB4D9D">
        <w:rPr>
          <w:rStyle w:val="FootnoteReference"/>
          <w:rFonts w:ascii="CG Times" w:hAnsi="CG Times"/>
        </w:rPr>
        <w:footnoteRef/>
      </w:r>
      <w:r w:rsidRPr="00EB4D9D">
        <w:rPr>
          <w:rFonts w:ascii="CG Times" w:hAnsi="CG Times"/>
        </w:rPr>
        <w:t xml:space="preserve"> Ky ligj është përafruar plotësisht me direktivën e Parlamentit Europian dhe Këshillit 2009/72/KE, datë 13 korrik 2009 “Mbi rregullat e përbashkëta për tregun e brendshëm të energjisë elektrike dhe shfuqizimin e direktivës 2003/54/KE, numri CELEX, 32009L0072, Fletorja Zyrtare e Bashkimit Europian, Serial L, nr. 211, datë 14.08.2009, faqe 55-93.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52839"/>
    <w:rsid w:val="000277EF"/>
    <w:rsid w:val="000C2ABA"/>
    <w:rsid w:val="000F1E39"/>
    <w:rsid w:val="00142F5D"/>
    <w:rsid w:val="001D4B57"/>
    <w:rsid w:val="00443285"/>
    <w:rsid w:val="00477590"/>
    <w:rsid w:val="004A533F"/>
    <w:rsid w:val="00613C89"/>
    <w:rsid w:val="00753B45"/>
    <w:rsid w:val="007C3E1E"/>
    <w:rsid w:val="007F6793"/>
    <w:rsid w:val="00802AED"/>
    <w:rsid w:val="008759F1"/>
    <w:rsid w:val="008A6BB5"/>
    <w:rsid w:val="00946BB9"/>
    <w:rsid w:val="009E2982"/>
    <w:rsid w:val="00A020A7"/>
    <w:rsid w:val="00AD7F1E"/>
    <w:rsid w:val="00B24908"/>
    <w:rsid w:val="00B52839"/>
    <w:rsid w:val="00B80BE6"/>
    <w:rsid w:val="00D14013"/>
    <w:rsid w:val="00D5435B"/>
    <w:rsid w:val="00F05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F9D5C529-A461-464B-B54A-9F507DAA9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839"/>
    <w:rPr>
      <w:rFonts w:ascii="Times New Roman" w:eastAsia="MS Mincho" w:hAnsi="Times New Roman"/>
      <w:sz w:val="24"/>
      <w:szCs w:val="24"/>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link w:val="NeniNrChar"/>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character" w:customStyle="1" w:styleId="NumriDataChar">
    <w:name w:val="Numri_Data Char"/>
    <w:basedOn w:val="DefaultParagraphFont"/>
    <w:link w:val="NumriData"/>
    <w:locked/>
    <w:rsid w:val="00B52839"/>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B52839"/>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B52839"/>
    <w:rPr>
      <w:rFonts w:ascii="CG Times" w:eastAsia="Times New Roman" w:hAnsi="CG Times" w:cs="Times New Roman"/>
      <w:caps/>
      <w:sz w:val="22"/>
      <w:szCs w:val="22"/>
      <w:lang w:val="en-GB" w:eastAsia="en-US" w:bidi="en-US"/>
    </w:rPr>
  </w:style>
  <w:style w:type="paragraph" w:styleId="FootnoteText">
    <w:name w:val="footnote text"/>
    <w:basedOn w:val="Normal"/>
    <w:link w:val="FootnoteTextChar"/>
    <w:semiHidden/>
    <w:rsid w:val="00B52839"/>
    <w:rPr>
      <w:sz w:val="20"/>
      <w:szCs w:val="20"/>
      <w:lang w:val="sq-AL"/>
    </w:rPr>
  </w:style>
  <w:style w:type="character" w:customStyle="1" w:styleId="FootnoteTextChar">
    <w:name w:val="Footnote Text Char"/>
    <w:basedOn w:val="DefaultParagraphFont"/>
    <w:link w:val="FootnoteText"/>
    <w:semiHidden/>
    <w:rsid w:val="00B52839"/>
    <w:rPr>
      <w:rFonts w:ascii="Times New Roman" w:eastAsia="MS Mincho" w:hAnsi="Times New Roman" w:cs="Times New Roman"/>
      <w:sz w:val="20"/>
      <w:szCs w:val="20"/>
      <w:lang w:val="sq-AL" w:bidi="ar-SA"/>
    </w:rPr>
  </w:style>
  <w:style w:type="character" w:styleId="FootnoteReference">
    <w:name w:val="footnote reference"/>
    <w:basedOn w:val="DefaultParagraphFont"/>
    <w:semiHidden/>
    <w:rsid w:val="00B52839"/>
    <w:rPr>
      <w:vertAlign w:val="superscript"/>
    </w:rPr>
  </w:style>
  <w:style w:type="character" w:customStyle="1" w:styleId="NeniNrChar">
    <w:name w:val="Neni_Nr Char"/>
    <w:basedOn w:val="DefaultParagraphFont"/>
    <w:link w:val="NeniNr"/>
    <w:rsid w:val="00B52839"/>
    <w:rPr>
      <w:rFonts w:ascii="CG Times" w:eastAsia="Times New Roman" w:hAnsi="CG Times" w:cs="Times New Roman"/>
      <w:sz w:val="22"/>
      <w:lang w:val="en-GB" w:eastAsia="en-US" w:bidi="en-US"/>
    </w:rPr>
  </w:style>
  <w:style w:type="character" w:customStyle="1" w:styleId="TitulliChar">
    <w:name w:val="Titulli Char"/>
    <w:basedOn w:val="DefaultParagraphFont"/>
    <w:link w:val="Titulli"/>
    <w:rsid w:val="00B52839"/>
    <w:rPr>
      <w:rFonts w:ascii="CG Times" w:eastAsia="Times New Roman" w:hAnsi="CG Times" w:cs="Times New Roman"/>
      <w:b/>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QBZ Admin</cp:lastModifiedBy>
  <cp:revision>2</cp:revision>
  <dcterms:created xsi:type="dcterms:W3CDTF">2019-03-19T14:58:00Z</dcterms:created>
  <dcterms:modified xsi:type="dcterms:W3CDTF">2019-03-19T14:58:00Z</dcterms:modified>
</cp:coreProperties>
</file>