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EFA" w:rsidRPr="002E3C85" w:rsidRDefault="00717EFA" w:rsidP="00717EFA">
      <w:pPr>
        <w:pStyle w:val="Akti"/>
        <w:rPr>
          <w:sz w:val="21"/>
          <w:szCs w:val="21"/>
        </w:rPr>
      </w:pPr>
      <w:bookmarkStart w:id="0" w:name="_GoBack"/>
      <w:bookmarkEnd w:id="0"/>
      <w:r w:rsidRPr="002E3C85">
        <w:rPr>
          <w:sz w:val="21"/>
          <w:szCs w:val="21"/>
        </w:rPr>
        <w:t>LIGJ</w:t>
      </w:r>
    </w:p>
    <w:p w:rsidR="00717EFA" w:rsidRPr="002E3C85" w:rsidRDefault="00717EFA" w:rsidP="00717EFA">
      <w:pPr>
        <w:pStyle w:val="NumriData"/>
        <w:rPr>
          <w:sz w:val="21"/>
          <w:szCs w:val="21"/>
        </w:rPr>
      </w:pPr>
      <w:r w:rsidRPr="002E3C85">
        <w:rPr>
          <w:sz w:val="21"/>
          <w:szCs w:val="21"/>
        </w:rPr>
        <w:t>Nr.45/2012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</w:p>
    <w:p w:rsidR="00717EFA" w:rsidRPr="002E3C85" w:rsidRDefault="00717EFA" w:rsidP="00717EFA">
      <w:pPr>
        <w:pStyle w:val="Titulli"/>
        <w:rPr>
          <w:sz w:val="21"/>
          <w:szCs w:val="21"/>
        </w:rPr>
      </w:pPr>
      <w:r w:rsidRPr="002E3C85">
        <w:rPr>
          <w:sz w:val="21"/>
          <w:szCs w:val="21"/>
        </w:rPr>
        <w:t>PËR RATIFIKIMIN E MARRËVESHJES NDËRMJET KËSHILLIT TË MINISTRAVE TË REPUBLIKËS SË SHQIPËRISË DHE QEVERISË SË MALIT TË ZI PËR PËRCAKTIMIN E PIKËS SË PËRBASHKËT TË KALIMIT KUFITAR “ZATRIJEBACKA CIJEVNA-GRABON”, PËR TRAFIKUN NDËRKOMBËTAR TË PASAGJERËVE DHE PËR PIKËN E KALIMIT KUFITAR “ÇEREM VRANIC”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Në mbështetje të neneve 78, 83 pika 1 dhe 121 të Kushtetutës, me propozimin e Këshillit të Ministrave</w:t>
      </w:r>
    </w:p>
    <w:p w:rsidR="00717EFA" w:rsidRPr="00C96AC6" w:rsidRDefault="00717EFA" w:rsidP="00717EFA">
      <w:pPr>
        <w:pStyle w:val="Paragrafi"/>
        <w:rPr>
          <w:sz w:val="20"/>
          <w:szCs w:val="21"/>
        </w:rPr>
      </w:pPr>
    </w:p>
    <w:p w:rsidR="00717EFA" w:rsidRPr="002E3C85" w:rsidRDefault="00717EFA" w:rsidP="00717EFA">
      <w:pPr>
        <w:pStyle w:val="TitulliTitull"/>
        <w:rPr>
          <w:sz w:val="21"/>
          <w:szCs w:val="21"/>
        </w:rPr>
      </w:pPr>
      <w:r w:rsidRPr="002E3C85">
        <w:rPr>
          <w:sz w:val="21"/>
          <w:szCs w:val="21"/>
        </w:rPr>
        <w:t>KUVENDI</w:t>
      </w:r>
    </w:p>
    <w:p w:rsidR="00717EFA" w:rsidRPr="002E3C85" w:rsidRDefault="00717EFA" w:rsidP="00717EFA">
      <w:pPr>
        <w:pStyle w:val="TitulliTitull"/>
        <w:rPr>
          <w:sz w:val="21"/>
          <w:szCs w:val="21"/>
        </w:rPr>
      </w:pPr>
      <w:r w:rsidRPr="002E3C85">
        <w:rPr>
          <w:sz w:val="21"/>
          <w:szCs w:val="21"/>
        </w:rPr>
        <w:t>I REPUBLIKËS SË SHQIPËRISË</w:t>
      </w:r>
    </w:p>
    <w:p w:rsidR="00717EFA" w:rsidRPr="00F853BA" w:rsidRDefault="00717EFA" w:rsidP="00717EFA">
      <w:pPr>
        <w:pStyle w:val="Paragrafi"/>
        <w:rPr>
          <w:sz w:val="18"/>
          <w:szCs w:val="21"/>
        </w:rPr>
      </w:pPr>
    </w:p>
    <w:p w:rsidR="00717EFA" w:rsidRPr="002E3C85" w:rsidRDefault="00717EFA" w:rsidP="00717EFA">
      <w:pPr>
        <w:pStyle w:val="VENDOSI"/>
        <w:rPr>
          <w:sz w:val="21"/>
          <w:szCs w:val="21"/>
        </w:rPr>
      </w:pPr>
      <w:r w:rsidRPr="002E3C85">
        <w:rPr>
          <w:sz w:val="21"/>
          <w:szCs w:val="21"/>
        </w:rPr>
        <w:t>VENDOSI:</w:t>
      </w:r>
    </w:p>
    <w:p w:rsidR="00717EFA" w:rsidRPr="00F853BA" w:rsidRDefault="00717EFA" w:rsidP="00717EFA">
      <w:pPr>
        <w:pStyle w:val="Paragrafi"/>
        <w:rPr>
          <w:sz w:val="16"/>
          <w:szCs w:val="21"/>
        </w:rPr>
      </w:pPr>
    </w:p>
    <w:p w:rsidR="00717EFA" w:rsidRPr="002E3C85" w:rsidRDefault="00717EFA" w:rsidP="00717EFA">
      <w:pPr>
        <w:pStyle w:val="NeniNr"/>
        <w:rPr>
          <w:sz w:val="21"/>
          <w:szCs w:val="21"/>
        </w:rPr>
      </w:pPr>
      <w:r w:rsidRPr="002E3C85">
        <w:rPr>
          <w:sz w:val="21"/>
          <w:szCs w:val="21"/>
        </w:rPr>
        <w:t>Neni 1</w:t>
      </w:r>
    </w:p>
    <w:p w:rsidR="00717EFA" w:rsidRPr="00F853BA" w:rsidRDefault="00717EFA" w:rsidP="00717EFA">
      <w:pPr>
        <w:pStyle w:val="Paragrafi"/>
        <w:rPr>
          <w:sz w:val="18"/>
          <w:szCs w:val="21"/>
        </w:rPr>
      </w:pP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Ratifikohet marrëveshja ndërmjet Këshillit të Ministrave të Republikës së Shqipërisë dhe Qeverisë së Malit të Zi për përcaktimin e pikës së përbashkët të kalimit kufitar “Zatrijebacka Cijevna-Grabon”, për trafikun ndërkombëtar të pasagjerëve dhe për pikën e kalimit kufitar “Çerem Vranic”.</w:t>
      </w:r>
    </w:p>
    <w:p w:rsidR="00717EFA" w:rsidRPr="00F853BA" w:rsidRDefault="00717EFA" w:rsidP="00717EFA">
      <w:pPr>
        <w:pStyle w:val="Paragrafi"/>
        <w:rPr>
          <w:sz w:val="18"/>
          <w:szCs w:val="21"/>
        </w:rPr>
      </w:pPr>
    </w:p>
    <w:p w:rsidR="00717EFA" w:rsidRPr="002E3C85" w:rsidRDefault="00717EFA" w:rsidP="00717EFA">
      <w:pPr>
        <w:pStyle w:val="NeniNr"/>
        <w:rPr>
          <w:sz w:val="21"/>
          <w:szCs w:val="21"/>
        </w:rPr>
      </w:pPr>
      <w:r w:rsidRPr="002E3C85">
        <w:rPr>
          <w:sz w:val="21"/>
          <w:szCs w:val="21"/>
        </w:rPr>
        <w:t>Neni 2</w:t>
      </w:r>
    </w:p>
    <w:p w:rsidR="00717EFA" w:rsidRPr="00F853BA" w:rsidRDefault="00717EFA" w:rsidP="00717EFA">
      <w:pPr>
        <w:pStyle w:val="Paragrafi"/>
        <w:rPr>
          <w:sz w:val="16"/>
          <w:szCs w:val="21"/>
        </w:rPr>
      </w:pP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Ly ligj hyn në fuqi 15 ditë pas botimit në Fletoren Zyrtare</w:t>
      </w:r>
    </w:p>
    <w:p w:rsidR="00717EFA" w:rsidRPr="00F853BA" w:rsidRDefault="00717EFA" w:rsidP="00717EFA">
      <w:pPr>
        <w:pStyle w:val="Autoriteti"/>
        <w:jc w:val="left"/>
        <w:rPr>
          <w:sz w:val="18"/>
          <w:szCs w:val="21"/>
        </w:rPr>
      </w:pPr>
    </w:p>
    <w:p w:rsidR="00717EFA" w:rsidRDefault="00717EFA" w:rsidP="00717EFA">
      <w:pPr>
        <w:pStyle w:val="AutoritetiEmer"/>
        <w:jc w:val="left"/>
        <w:rPr>
          <w:b w:val="0"/>
          <w:sz w:val="21"/>
          <w:szCs w:val="21"/>
        </w:rPr>
      </w:pPr>
      <w:r>
        <w:rPr>
          <w:sz w:val="21"/>
          <w:szCs w:val="21"/>
        </w:rPr>
        <w:tab/>
      </w:r>
      <w:r w:rsidRPr="00BE0D79">
        <w:rPr>
          <w:b w:val="0"/>
          <w:sz w:val="21"/>
          <w:szCs w:val="21"/>
        </w:rPr>
        <w:t>Miratuar</w:t>
      </w:r>
      <w:r>
        <w:rPr>
          <w:b w:val="0"/>
          <w:sz w:val="21"/>
          <w:szCs w:val="21"/>
        </w:rPr>
        <w:t xml:space="preserve"> n</w:t>
      </w:r>
      <w:r w:rsidRPr="00BE0D79">
        <w:rPr>
          <w:b w:val="0"/>
          <w:sz w:val="21"/>
          <w:szCs w:val="21"/>
        </w:rPr>
        <w:t>ë</w:t>
      </w:r>
      <w:r>
        <w:rPr>
          <w:b w:val="0"/>
          <w:sz w:val="21"/>
          <w:szCs w:val="21"/>
        </w:rPr>
        <w:t xml:space="preserve"> dat</w:t>
      </w:r>
      <w:r w:rsidRPr="00BE0D79">
        <w:rPr>
          <w:b w:val="0"/>
          <w:sz w:val="21"/>
          <w:szCs w:val="21"/>
        </w:rPr>
        <w:t>ë</w:t>
      </w:r>
      <w:r>
        <w:rPr>
          <w:b w:val="0"/>
          <w:sz w:val="21"/>
          <w:szCs w:val="21"/>
        </w:rPr>
        <w:t>n 26.4.2012</w:t>
      </w:r>
    </w:p>
    <w:p w:rsidR="00717EFA" w:rsidRPr="00542AB0" w:rsidRDefault="00717EFA" w:rsidP="00C46249">
      <w:pPr>
        <w:pStyle w:val="Paragrafi"/>
        <w:rPr>
          <w:lang w:val="en-GB"/>
        </w:rPr>
      </w:pPr>
    </w:p>
    <w:p w:rsidR="00717EFA" w:rsidRPr="003E07B0" w:rsidRDefault="00717EFA" w:rsidP="00717EFA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 7450,  datë 8.5.</w:t>
      </w:r>
      <w:r w:rsidRPr="003E07B0">
        <w:rPr>
          <w:sz w:val="23"/>
          <w:szCs w:val="23"/>
        </w:rPr>
        <w:t>2012 të Presidentit të Republikës së Shqipërisë, Bamir Topi</w:t>
      </w:r>
    </w:p>
    <w:p w:rsidR="00717EFA" w:rsidRPr="00542AB0" w:rsidRDefault="00717EFA" w:rsidP="00717EFA">
      <w:pPr>
        <w:pStyle w:val="Paragrafi"/>
        <w:ind w:firstLine="0"/>
        <w:rPr>
          <w:sz w:val="20"/>
          <w:szCs w:val="21"/>
        </w:rPr>
      </w:pPr>
    </w:p>
    <w:p w:rsidR="00717EFA" w:rsidRPr="00D630DF" w:rsidRDefault="00717EFA" w:rsidP="00717EFA">
      <w:pPr>
        <w:pStyle w:val="TitulliTitull"/>
        <w:rPr>
          <w:b/>
          <w:sz w:val="21"/>
          <w:szCs w:val="21"/>
        </w:rPr>
      </w:pPr>
      <w:r w:rsidRPr="00D630DF">
        <w:rPr>
          <w:b/>
          <w:sz w:val="21"/>
          <w:szCs w:val="21"/>
        </w:rPr>
        <w:t>MARRËVESHJA</w:t>
      </w:r>
    </w:p>
    <w:p w:rsidR="00717EFA" w:rsidRPr="002E3C85" w:rsidRDefault="00717EFA" w:rsidP="00717EFA">
      <w:pPr>
        <w:pStyle w:val="TitulliTitull"/>
        <w:rPr>
          <w:sz w:val="21"/>
          <w:szCs w:val="21"/>
        </w:rPr>
      </w:pPr>
      <w:r w:rsidRPr="002E3C85">
        <w:rPr>
          <w:sz w:val="21"/>
          <w:szCs w:val="21"/>
        </w:rPr>
        <w:t>PËR PËRCAKTIMIN E PIKËS SË PËRBASHKËT TË KALIMIT KUFITAR ZATRIJEB</w:t>
      </w:r>
      <w:r>
        <w:rPr>
          <w:sz w:val="21"/>
          <w:szCs w:val="21"/>
        </w:rPr>
        <w:t>A</w:t>
      </w:r>
      <w:r w:rsidRPr="002E3C85">
        <w:rPr>
          <w:sz w:val="21"/>
          <w:szCs w:val="21"/>
        </w:rPr>
        <w:t>CA CIJEVNA-GRABON”, PËR TRAFIKUN NDËRKOMBËTAR TË PASAGJERËVE DHE PËR PIKËN E KALIMIT KUFITAR ÇEREM VRANICA MIDIS KËSHILLIT TË MINISTRAVE TË REPUBLIKËS SË SHQIPËRISË DHE QEVERISË SË MALIT TË ZI</w:t>
      </w:r>
    </w:p>
    <w:p w:rsidR="00717EFA" w:rsidRPr="002E3C85" w:rsidRDefault="00717EFA" w:rsidP="00717EFA">
      <w:pPr>
        <w:pStyle w:val="TitulliTitull"/>
        <w:rPr>
          <w:sz w:val="21"/>
          <w:szCs w:val="21"/>
        </w:rPr>
      </w:pP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Këshilli i Ministrave të Repub</w:t>
      </w:r>
      <w:r>
        <w:rPr>
          <w:sz w:val="21"/>
          <w:szCs w:val="21"/>
        </w:rPr>
        <w:t>likës së Shqipërisë dhe Qeveria e</w:t>
      </w:r>
      <w:r w:rsidRPr="002E3C85">
        <w:rPr>
          <w:sz w:val="21"/>
          <w:szCs w:val="21"/>
        </w:rPr>
        <w:t xml:space="preserve"> Malit të Zi (më poshtë referuar si “Palët nënshkruese”), me qëllim p</w:t>
      </w:r>
      <w:r>
        <w:rPr>
          <w:sz w:val="21"/>
          <w:szCs w:val="21"/>
        </w:rPr>
        <w:t>ërmirësimin e lëvizjes dhe treg</w:t>
      </w:r>
      <w:r w:rsidRPr="002E3C85">
        <w:rPr>
          <w:sz w:val="21"/>
          <w:szCs w:val="21"/>
        </w:rPr>
        <w:t>tisë midis dy vendeve dhe për lehtësimin e trafikut ndërkombëtar nëpërmjet kufirit të përbashkët, bien dakord si më poshtë:</w:t>
      </w:r>
    </w:p>
    <w:p w:rsidR="00717EFA" w:rsidRPr="00542AB0" w:rsidRDefault="00717EFA" w:rsidP="00717EFA">
      <w:pPr>
        <w:pStyle w:val="NeniTitull"/>
        <w:rPr>
          <w:sz w:val="18"/>
          <w:szCs w:val="21"/>
        </w:rPr>
      </w:pPr>
    </w:p>
    <w:p w:rsidR="00717EFA" w:rsidRPr="002E3C85" w:rsidRDefault="00717EFA" w:rsidP="00717EFA">
      <w:pPr>
        <w:pStyle w:val="NeniTitull"/>
        <w:rPr>
          <w:sz w:val="21"/>
          <w:szCs w:val="21"/>
        </w:rPr>
      </w:pPr>
      <w:r w:rsidRPr="002E3C85">
        <w:rPr>
          <w:sz w:val="21"/>
          <w:szCs w:val="21"/>
        </w:rPr>
        <w:t>Pika e kalimit kufitar</w:t>
      </w:r>
    </w:p>
    <w:p w:rsidR="00717EFA" w:rsidRPr="002E3C85" w:rsidRDefault="00717EFA" w:rsidP="00717EFA">
      <w:pPr>
        <w:pStyle w:val="NeniNr"/>
        <w:rPr>
          <w:sz w:val="21"/>
          <w:szCs w:val="21"/>
        </w:rPr>
      </w:pPr>
      <w:r w:rsidRPr="002E3C85">
        <w:rPr>
          <w:sz w:val="21"/>
          <w:szCs w:val="21"/>
        </w:rPr>
        <w:t>Neni 1</w:t>
      </w:r>
    </w:p>
    <w:p w:rsidR="00717EFA" w:rsidRPr="00542AB0" w:rsidRDefault="00717EFA" w:rsidP="00717EFA">
      <w:pPr>
        <w:pStyle w:val="Paragrafi"/>
        <w:rPr>
          <w:sz w:val="18"/>
          <w:szCs w:val="21"/>
        </w:rPr>
      </w:pP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1.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>Palët nënshkruese do të ndërtojnë pikën e përbashkët të kalimit kufitar për qarkullimin ndërkombëtar të shtetasve në kufirin e përbashkët Zatrijebacka Cijevna-Grabon (më poshtë referuar si “PPKK”), kategorizimi dhe orët e punës të pikës së kalimit kufitar do të jenë për trafikun e pasagjerëve.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2.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>PPKK do të ndërtohet në territorin e Malit të Zi në vendin që njihet me emrin “Zatrijebacka Cijevna”, në rrugën Podgoricë-Dinoshe-Zatrijebacka Cijevna-Grabon-Ta</w:t>
      </w:r>
      <w:r>
        <w:rPr>
          <w:sz w:val="21"/>
          <w:szCs w:val="21"/>
        </w:rPr>
        <w:t>mara-Grncar-Guci-Plav</w:t>
      </w:r>
      <w:r w:rsidRPr="00346A2A">
        <w:rPr>
          <w:sz w:val="21"/>
          <w:szCs w:val="21"/>
        </w:rPr>
        <w:t>ë</w:t>
      </w:r>
      <w:r w:rsidRPr="002E3C85">
        <w:rPr>
          <w:sz w:val="21"/>
          <w:szCs w:val="21"/>
        </w:rPr>
        <w:t>.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3.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>PPKK do të jetë funksionale kur ndërtimi të jetë finalizuar, dhe pas nënshkrimit të protokollit të zbatimit të kësaj marrëveshjeje.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4.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>Pika e përbashkët e kalimit kufitar për qarkullimin ndërkombëtar do të jetë e hapur 24 orë për udhëtarët.</w:t>
      </w:r>
    </w:p>
    <w:p w:rsidR="00717EFA" w:rsidRPr="00AE6D27" w:rsidRDefault="00717EFA" w:rsidP="00717EFA">
      <w:pPr>
        <w:pStyle w:val="Paragrafi"/>
        <w:rPr>
          <w:sz w:val="14"/>
          <w:szCs w:val="21"/>
        </w:rPr>
      </w:pPr>
    </w:p>
    <w:p w:rsidR="00717EFA" w:rsidRPr="002E3C85" w:rsidRDefault="00717EFA" w:rsidP="00717EFA">
      <w:pPr>
        <w:pStyle w:val="NeniTitull"/>
        <w:rPr>
          <w:sz w:val="21"/>
          <w:szCs w:val="21"/>
        </w:rPr>
      </w:pPr>
      <w:r w:rsidRPr="002E3C85">
        <w:rPr>
          <w:sz w:val="21"/>
          <w:szCs w:val="21"/>
        </w:rPr>
        <w:lastRenderedPageBreak/>
        <w:t>Kalimi i kufirit shtetëror jashtë pikës së kalimit kufitar</w:t>
      </w:r>
    </w:p>
    <w:p w:rsidR="00717EFA" w:rsidRPr="002E3C85" w:rsidRDefault="00717EFA" w:rsidP="00717EFA">
      <w:pPr>
        <w:pStyle w:val="NeniNr"/>
        <w:rPr>
          <w:sz w:val="21"/>
          <w:szCs w:val="21"/>
        </w:rPr>
      </w:pPr>
      <w:r w:rsidRPr="002E3C85">
        <w:rPr>
          <w:sz w:val="21"/>
          <w:szCs w:val="21"/>
        </w:rPr>
        <w:t>Neni 2</w:t>
      </w:r>
    </w:p>
    <w:p w:rsidR="00717EFA" w:rsidRPr="00AE6D27" w:rsidRDefault="00717EFA" w:rsidP="00717EFA">
      <w:pPr>
        <w:pStyle w:val="Paragrafi"/>
        <w:rPr>
          <w:sz w:val="16"/>
          <w:szCs w:val="21"/>
        </w:rPr>
      </w:pP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Nëse ka një interes midis palëve nënshkruese dhe nëse ky kali</w:t>
      </w:r>
      <w:r>
        <w:rPr>
          <w:sz w:val="21"/>
          <w:szCs w:val="21"/>
        </w:rPr>
        <w:t>m do të jetë i nevojshëm për ar</w:t>
      </w:r>
      <w:r w:rsidRPr="002E3C85">
        <w:rPr>
          <w:sz w:val="21"/>
          <w:szCs w:val="21"/>
        </w:rPr>
        <w:t>sye të justifikuara, me kërkesë të një grupi personas</w:t>
      </w:r>
      <w:r>
        <w:rPr>
          <w:sz w:val="21"/>
          <w:szCs w:val="21"/>
        </w:rPr>
        <w:t xml:space="preserve">h </w:t>
      </w:r>
      <w:r w:rsidRPr="002E3C85">
        <w:rPr>
          <w:sz w:val="21"/>
          <w:szCs w:val="21"/>
        </w:rPr>
        <w:t>ose të një individi, policia kufitare mundet që nëpërmjet miratimit të organeve kompetente doganore dhe miratimit të policisë kufitare të vendit fqinjë, të lëshojë një leje për kalimin e kufirit shtetëror në pikën kufitare “Çerem-Vranica”, jashtë pikës së kalimit kufitar.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 xml:space="preserve">Patrullat e përbashkëta policore të palëve nënshkruese, në përputhje me protokollin e patrullave të përbashkëta përgjatë kufirit shtetëror të Malit të Zi dhe Republikës së Shqipërisë, do të kryejnë kontrolle të kalimit të kufirit </w:t>
      </w:r>
      <w:r>
        <w:rPr>
          <w:sz w:val="21"/>
          <w:szCs w:val="21"/>
        </w:rPr>
        <w:t>shtetëror të një grupi personas</w:t>
      </w:r>
      <w:r w:rsidRPr="002E3C85">
        <w:rPr>
          <w:sz w:val="21"/>
          <w:szCs w:val="21"/>
        </w:rPr>
        <w:t>h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>ose individësh, që kalojnë kufirin shtetëror në këtë pikë kufitare nëpërmjet lëshimit të një autorizimi.</w:t>
      </w:r>
    </w:p>
    <w:p w:rsidR="00717EFA" w:rsidRPr="00C96AC6" w:rsidRDefault="00717EFA" w:rsidP="00717EFA">
      <w:pPr>
        <w:pStyle w:val="Paragrafi"/>
        <w:rPr>
          <w:szCs w:val="21"/>
        </w:rPr>
      </w:pPr>
    </w:p>
    <w:p w:rsidR="00717EFA" w:rsidRPr="002E3C85" w:rsidRDefault="00717EFA" w:rsidP="00717EFA">
      <w:pPr>
        <w:pStyle w:val="NeniTitull"/>
        <w:rPr>
          <w:sz w:val="21"/>
          <w:szCs w:val="21"/>
        </w:rPr>
      </w:pPr>
      <w:r w:rsidRPr="002E3C85">
        <w:rPr>
          <w:sz w:val="21"/>
          <w:szCs w:val="21"/>
        </w:rPr>
        <w:t>Mbikëqyrja</w:t>
      </w:r>
    </w:p>
    <w:p w:rsidR="00717EFA" w:rsidRPr="002E3C85" w:rsidRDefault="00717EFA" w:rsidP="00717EFA">
      <w:pPr>
        <w:pStyle w:val="NeniNr"/>
        <w:rPr>
          <w:sz w:val="21"/>
          <w:szCs w:val="21"/>
        </w:rPr>
      </w:pPr>
      <w:r w:rsidRPr="002E3C85">
        <w:rPr>
          <w:sz w:val="21"/>
          <w:szCs w:val="21"/>
        </w:rPr>
        <w:t>Neni 3</w:t>
      </w:r>
    </w:p>
    <w:p w:rsidR="00717EFA" w:rsidRPr="00C96AC6" w:rsidRDefault="00717EFA" w:rsidP="00717EFA">
      <w:pPr>
        <w:pStyle w:val="Paragrafi"/>
        <w:rPr>
          <w:szCs w:val="21"/>
        </w:rPr>
      </w:pP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1.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 xml:space="preserve">Mbikëqyrja e zbatimit të dispozitave të kësaj Marrëveshjeje do të bëhet nga </w:t>
      </w:r>
      <w:r>
        <w:rPr>
          <w:sz w:val="21"/>
          <w:szCs w:val="21"/>
        </w:rPr>
        <w:t>k</w:t>
      </w:r>
      <w:r w:rsidRPr="002E3C85">
        <w:rPr>
          <w:sz w:val="21"/>
          <w:szCs w:val="21"/>
        </w:rPr>
        <w:t xml:space="preserve">omisioni i përbashkët i </w:t>
      </w:r>
      <w:r>
        <w:rPr>
          <w:sz w:val="21"/>
          <w:szCs w:val="21"/>
        </w:rPr>
        <w:t>e</w:t>
      </w:r>
      <w:r w:rsidRPr="002E3C85">
        <w:rPr>
          <w:sz w:val="21"/>
          <w:szCs w:val="21"/>
        </w:rPr>
        <w:t xml:space="preserve">kspertëve (më poshtë referuar si “KPE”), i ngritur sipas </w:t>
      </w:r>
      <w:r>
        <w:rPr>
          <w:sz w:val="21"/>
          <w:szCs w:val="21"/>
        </w:rPr>
        <w:t>m</w:t>
      </w:r>
      <w:r w:rsidRPr="002E3C85">
        <w:rPr>
          <w:sz w:val="21"/>
          <w:szCs w:val="21"/>
        </w:rPr>
        <w:t>arrëveshjes për hapjen e pikës së përbashkët të kalimit kufitar Sukobin</w:t>
      </w:r>
      <w:r w:rsidRPr="00033F2A">
        <w:rPr>
          <w:sz w:val="21"/>
          <w:szCs w:val="21"/>
        </w:rPr>
        <w:t>ë</w:t>
      </w:r>
      <w:r w:rsidRPr="002E3C85">
        <w:rPr>
          <w:sz w:val="21"/>
          <w:szCs w:val="21"/>
        </w:rPr>
        <w:t>-Muriqan, nënshkruar më 17 janar 2007 dhe do të jetë përgjegjëse për zbatimin e kësaj Marrëveshjeje.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2.</w:t>
      </w:r>
      <w:r>
        <w:rPr>
          <w:sz w:val="21"/>
          <w:szCs w:val="21"/>
        </w:rPr>
        <w:t xml:space="preserve"> Me qëllim funksionimin e saj, k</w:t>
      </w:r>
      <w:r w:rsidRPr="002E3C85">
        <w:rPr>
          <w:sz w:val="21"/>
          <w:szCs w:val="21"/>
        </w:rPr>
        <w:t>omisioni mund të a</w:t>
      </w:r>
      <w:r>
        <w:rPr>
          <w:sz w:val="21"/>
          <w:szCs w:val="21"/>
        </w:rPr>
        <w:t>ngazhojë ekspertë dhe nga fusha t</w:t>
      </w:r>
      <w:r w:rsidRPr="00165E4E">
        <w:rPr>
          <w:sz w:val="21"/>
          <w:szCs w:val="21"/>
        </w:rPr>
        <w:t>ë</w:t>
      </w:r>
      <w:r w:rsidRPr="002E3C85">
        <w:rPr>
          <w:sz w:val="21"/>
          <w:szCs w:val="21"/>
        </w:rPr>
        <w:t xml:space="preserve"> tjera.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</w:p>
    <w:p w:rsidR="00717EFA" w:rsidRPr="002E3C85" w:rsidRDefault="00717EFA" w:rsidP="00717EFA">
      <w:pPr>
        <w:pStyle w:val="NeniTitull"/>
        <w:rPr>
          <w:sz w:val="21"/>
          <w:szCs w:val="21"/>
        </w:rPr>
      </w:pPr>
      <w:r w:rsidRPr="002E3C85">
        <w:rPr>
          <w:sz w:val="21"/>
          <w:szCs w:val="21"/>
        </w:rPr>
        <w:t>Det</w:t>
      </w:r>
      <w:r>
        <w:rPr>
          <w:sz w:val="21"/>
          <w:szCs w:val="21"/>
        </w:rPr>
        <w:t>yrat dhe mënyra e funksionimit t</w:t>
      </w:r>
      <w:r w:rsidRPr="00A87C09">
        <w:rPr>
          <w:sz w:val="21"/>
          <w:szCs w:val="21"/>
        </w:rPr>
        <w:t>ë</w:t>
      </w:r>
      <w:r w:rsidRPr="002E3C85">
        <w:rPr>
          <w:sz w:val="21"/>
          <w:szCs w:val="21"/>
        </w:rPr>
        <w:t xml:space="preserve"> komisionit të përbashkët të ekspertëve</w:t>
      </w:r>
    </w:p>
    <w:p w:rsidR="00717EFA" w:rsidRPr="002E3C85" w:rsidRDefault="00717EFA" w:rsidP="00717EFA">
      <w:pPr>
        <w:pStyle w:val="NeniNr"/>
        <w:rPr>
          <w:sz w:val="21"/>
          <w:szCs w:val="21"/>
        </w:rPr>
      </w:pPr>
      <w:r w:rsidRPr="002E3C85">
        <w:rPr>
          <w:sz w:val="21"/>
          <w:szCs w:val="21"/>
        </w:rPr>
        <w:t>Neni 4</w:t>
      </w:r>
    </w:p>
    <w:p w:rsidR="00717EFA" w:rsidRPr="00DE52D8" w:rsidRDefault="00717EFA" w:rsidP="00717EFA">
      <w:pPr>
        <w:pStyle w:val="Paragrafi"/>
        <w:rPr>
          <w:sz w:val="18"/>
          <w:szCs w:val="21"/>
        </w:rPr>
      </w:pP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1.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>Detyrat kryesore të komisionit të përbashkët të ekspertëve janë si më poshtë: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a)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 xml:space="preserve">monitorimi dhe analiza e zbatimit të </w:t>
      </w:r>
      <w:r>
        <w:rPr>
          <w:sz w:val="21"/>
          <w:szCs w:val="21"/>
        </w:rPr>
        <w:t>marrëveshjes</w:t>
      </w:r>
      <w:r w:rsidRPr="002E3C85">
        <w:rPr>
          <w:sz w:val="21"/>
          <w:szCs w:val="21"/>
        </w:rPr>
        <w:t>;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b)</w:t>
      </w:r>
      <w:r>
        <w:rPr>
          <w:sz w:val="21"/>
          <w:szCs w:val="21"/>
        </w:rPr>
        <w:t xml:space="preserve"> rishik</w:t>
      </w:r>
      <w:r w:rsidRPr="002E3C85">
        <w:rPr>
          <w:sz w:val="21"/>
          <w:szCs w:val="21"/>
        </w:rPr>
        <w:t>imi dhe trajtimi i</w:t>
      </w:r>
      <w:r>
        <w:rPr>
          <w:sz w:val="21"/>
          <w:szCs w:val="21"/>
        </w:rPr>
        <w:t xml:space="preserve"> t</w:t>
      </w:r>
      <w:r w:rsidRPr="002E3C85">
        <w:rPr>
          <w:sz w:val="21"/>
          <w:szCs w:val="21"/>
        </w:rPr>
        <w:t xml:space="preserve">ë gjitha çështjeve për zbatimin e </w:t>
      </w:r>
      <w:r>
        <w:rPr>
          <w:sz w:val="21"/>
          <w:szCs w:val="21"/>
        </w:rPr>
        <w:t>m</w:t>
      </w:r>
      <w:r w:rsidRPr="002E3C85">
        <w:rPr>
          <w:sz w:val="21"/>
          <w:szCs w:val="21"/>
        </w:rPr>
        <w:t>arrëveshjes;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c)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 xml:space="preserve">propozimet për ndryshimin e </w:t>
      </w:r>
      <w:r>
        <w:rPr>
          <w:sz w:val="21"/>
          <w:szCs w:val="21"/>
        </w:rPr>
        <w:t>m</w:t>
      </w:r>
      <w:r w:rsidRPr="002E3C85">
        <w:rPr>
          <w:sz w:val="21"/>
          <w:szCs w:val="21"/>
        </w:rPr>
        <w:t>arrëveshjes së aut</w:t>
      </w:r>
      <w:r>
        <w:rPr>
          <w:sz w:val="21"/>
          <w:szCs w:val="21"/>
        </w:rPr>
        <w:t>oriteteve kompetente të palëve n</w:t>
      </w:r>
      <w:r w:rsidRPr="002E3C85">
        <w:rPr>
          <w:sz w:val="21"/>
          <w:szCs w:val="21"/>
        </w:rPr>
        <w:t>ënshkruese</w:t>
      </w:r>
      <w:r>
        <w:rPr>
          <w:sz w:val="21"/>
          <w:szCs w:val="21"/>
        </w:rPr>
        <w:t>,</w:t>
      </w:r>
      <w:r w:rsidRPr="002E3C85">
        <w:rPr>
          <w:sz w:val="21"/>
          <w:szCs w:val="21"/>
        </w:rPr>
        <w:t xml:space="preserve"> si edhe propozimin e marrjes së masave për përmirësimine kushteve për zbatimine saj.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2.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>Komisi</w:t>
      </w:r>
      <w:r>
        <w:rPr>
          <w:sz w:val="21"/>
          <w:szCs w:val="21"/>
        </w:rPr>
        <w:t>oni i përbashkët i</w:t>
      </w:r>
      <w:r w:rsidRPr="002E3C85">
        <w:rPr>
          <w:sz w:val="21"/>
          <w:szCs w:val="21"/>
        </w:rPr>
        <w:t xml:space="preserve"> ekspertëve </w:t>
      </w:r>
      <w:r>
        <w:rPr>
          <w:sz w:val="21"/>
          <w:szCs w:val="21"/>
        </w:rPr>
        <w:t>do të mblidhet</w:t>
      </w:r>
      <w:r w:rsidRPr="002E3C85">
        <w:rPr>
          <w:sz w:val="21"/>
          <w:szCs w:val="21"/>
        </w:rPr>
        <w:t xml:space="preserve"> dhe do të funksionojë sipas nevojave, të paktën një he</w:t>
      </w:r>
      <w:r>
        <w:rPr>
          <w:sz w:val="21"/>
          <w:szCs w:val="21"/>
        </w:rPr>
        <w:t>r</w:t>
      </w:r>
      <w:r w:rsidRPr="002E3C85">
        <w:rPr>
          <w:sz w:val="21"/>
          <w:szCs w:val="21"/>
        </w:rPr>
        <w:t>ë në tre muaj, në territorin e të dyja palëve nënshkruese.</w:t>
      </w:r>
    </w:p>
    <w:p w:rsidR="00717EFA" w:rsidRPr="00C96AC6" w:rsidRDefault="00717EFA" w:rsidP="00717EFA">
      <w:pPr>
        <w:pStyle w:val="Paragrafi"/>
        <w:rPr>
          <w:sz w:val="20"/>
          <w:szCs w:val="21"/>
        </w:rPr>
      </w:pPr>
    </w:p>
    <w:p w:rsidR="00717EFA" w:rsidRPr="002E3C85" w:rsidRDefault="00717EFA" w:rsidP="00717EFA">
      <w:pPr>
        <w:pStyle w:val="NeniTitull"/>
        <w:rPr>
          <w:sz w:val="21"/>
          <w:szCs w:val="21"/>
        </w:rPr>
      </w:pPr>
      <w:r w:rsidRPr="002E3C85">
        <w:rPr>
          <w:sz w:val="21"/>
          <w:szCs w:val="21"/>
        </w:rPr>
        <w:t>Përjashtimi nga taksat dhe dhënia e asistencës</w:t>
      </w:r>
    </w:p>
    <w:p w:rsidR="00717EFA" w:rsidRPr="002E3C85" w:rsidRDefault="00717EFA" w:rsidP="00717EFA">
      <w:pPr>
        <w:pStyle w:val="NeniNr"/>
        <w:rPr>
          <w:sz w:val="21"/>
          <w:szCs w:val="21"/>
        </w:rPr>
      </w:pPr>
      <w:r w:rsidRPr="002E3C85">
        <w:rPr>
          <w:sz w:val="21"/>
          <w:szCs w:val="21"/>
        </w:rPr>
        <w:t>Neni 5</w:t>
      </w:r>
    </w:p>
    <w:p w:rsidR="00717EFA" w:rsidRPr="00C96AC6" w:rsidRDefault="00717EFA" w:rsidP="00717EFA">
      <w:pPr>
        <w:pStyle w:val="Paragrafi"/>
        <w:rPr>
          <w:sz w:val="20"/>
          <w:szCs w:val="21"/>
        </w:rPr>
      </w:pP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1.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>Pajisjet dhe mjetet e transportit të nevojshme për funksionimin e PPKK, do të përjashtohen nga taksat dhe detyrimet doganore të import-eksportit.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2.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>Autoritetet e secilës palë nënshkruese do t’i ofrojnë personelit të PPKK-së, mbështetjen e nevojshme</w:t>
      </w:r>
      <w:r>
        <w:rPr>
          <w:sz w:val="21"/>
          <w:szCs w:val="21"/>
        </w:rPr>
        <w:t>,</w:t>
      </w:r>
      <w:r w:rsidRPr="002E3C85">
        <w:rPr>
          <w:sz w:val="21"/>
          <w:szCs w:val="21"/>
        </w:rPr>
        <w:t xml:space="preserve"> për të siguruar akomodimin, mjetet e transportit dhe në vendosjen e komunikimit me autoritete</w:t>
      </w:r>
      <w:r>
        <w:rPr>
          <w:sz w:val="21"/>
          <w:szCs w:val="21"/>
        </w:rPr>
        <w:t>t</w:t>
      </w:r>
      <w:r w:rsidRPr="002E3C85">
        <w:rPr>
          <w:sz w:val="21"/>
          <w:szCs w:val="21"/>
        </w:rPr>
        <w:t xml:space="preserve"> e tyre përkatëse.</w:t>
      </w:r>
    </w:p>
    <w:p w:rsidR="00717EFA" w:rsidRPr="002E3C85" w:rsidRDefault="00717EFA" w:rsidP="00717EFA">
      <w:pPr>
        <w:pStyle w:val="NeniTitull"/>
        <w:rPr>
          <w:sz w:val="21"/>
          <w:szCs w:val="21"/>
        </w:rPr>
      </w:pPr>
    </w:p>
    <w:p w:rsidR="00717EFA" w:rsidRPr="002E3C85" w:rsidRDefault="00717EFA" w:rsidP="00717EFA">
      <w:pPr>
        <w:pStyle w:val="NeniTitull"/>
        <w:rPr>
          <w:sz w:val="21"/>
          <w:szCs w:val="21"/>
        </w:rPr>
      </w:pPr>
      <w:r w:rsidRPr="002E3C85">
        <w:rPr>
          <w:sz w:val="21"/>
          <w:szCs w:val="21"/>
        </w:rPr>
        <w:t xml:space="preserve">Protokollet për zbatimin e </w:t>
      </w:r>
      <w:r>
        <w:rPr>
          <w:sz w:val="21"/>
          <w:szCs w:val="21"/>
        </w:rPr>
        <w:t>m</w:t>
      </w:r>
      <w:r w:rsidRPr="002E3C85">
        <w:rPr>
          <w:sz w:val="21"/>
          <w:szCs w:val="21"/>
        </w:rPr>
        <w:t>arrëveshjes</w:t>
      </w:r>
    </w:p>
    <w:p w:rsidR="00717EFA" w:rsidRPr="002E3C85" w:rsidRDefault="00717EFA" w:rsidP="00717EFA">
      <w:pPr>
        <w:pStyle w:val="NeniNr"/>
        <w:rPr>
          <w:sz w:val="21"/>
          <w:szCs w:val="21"/>
        </w:rPr>
      </w:pPr>
      <w:r w:rsidRPr="002E3C85">
        <w:rPr>
          <w:sz w:val="21"/>
          <w:szCs w:val="21"/>
        </w:rPr>
        <w:t>Neni 6</w:t>
      </w:r>
    </w:p>
    <w:p w:rsidR="00717EFA" w:rsidRPr="00DE52D8" w:rsidRDefault="00717EFA" w:rsidP="00717EFA">
      <w:pPr>
        <w:pStyle w:val="Paragrafi"/>
        <w:rPr>
          <w:sz w:val="18"/>
          <w:szCs w:val="21"/>
        </w:rPr>
      </w:pP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1.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 xml:space="preserve">Palët </w:t>
      </w:r>
      <w:r>
        <w:rPr>
          <w:sz w:val="21"/>
          <w:szCs w:val="21"/>
        </w:rPr>
        <w:t>n</w:t>
      </w:r>
      <w:r w:rsidRPr="002E3C85">
        <w:rPr>
          <w:sz w:val="21"/>
          <w:szCs w:val="21"/>
        </w:rPr>
        <w:t xml:space="preserve">ënshkruese do të bien dakord të nënshkruajnë këtë </w:t>
      </w:r>
      <w:r>
        <w:rPr>
          <w:sz w:val="21"/>
          <w:szCs w:val="21"/>
        </w:rPr>
        <w:t>m</w:t>
      </w:r>
      <w:r w:rsidRPr="002E3C85">
        <w:rPr>
          <w:sz w:val="21"/>
          <w:szCs w:val="21"/>
        </w:rPr>
        <w:t>arrëveshje dhe të marrin në konsideratë rekomandimet e komisionit të përbashkët të ekspertëve dhe protokollet e mëposhtme të zbatimit</w:t>
      </w:r>
      <w:r>
        <w:rPr>
          <w:sz w:val="21"/>
          <w:szCs w:val="21"/>
        </w:rPr>
        <w:t>,</w:t>
      </w:r>
      <w:r w:rsidRPr="002E3C85">
        <w:rPr>
          <w:sz w:val="21"/>
          <w:szCs w:val="21"/>
        </w:rPr>
        <w:t xml:space="preserve"> të cilat miratojnë procedurat, çështjet teknike dhe financiare në lidhje me ndërtimin dhe funksionimin e PPKK-së: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-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>Protokolli midis Këshillit të  Ministrave të Republikës së Shqipërisë dhe Qeverisë së Malit të Zi mbi procedurat e kontrollit të përbashkët kufitar të PPKK-së;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-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>Protokoll midis Ministrisë së Brendshme të Malit të Zi dhe Ministrisë së Financave-Shërbimi Doganor i Republikës së Shqipërisë në mbulimin e shpenzimeve që lindin nga funksionimi i PBKK.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</w:p>
    <w:p w:rsidR="00717EFA" w:rsidRPr="002E3C85" w:rsidRDefault="00717EFA" w:rsidP="00717EFA">
      <w:pPr>
        <w:pStyle w:val="NeniTitull"/>
        <w:rPr>
          <w:sz w:val="21"/>
          <w:szCs w:val="21"/>
        </w:rPr>
      </w:pPr>
      <w:r w:rsidRPr="002E3C85">
        <w:rPr>
          <w:sz w:val="21"/>
          <w:szCs w:val="21"/>
        </w:rPr>
        <w:lastRenderedPageBreak/>
        <w:t>Zgjidhja e mosmarrëveshjeve</w:t>
      </w:r>
    </w:p>
    <w:p w:rsidR="00717EFA" w:rsidRPr="002E3C85" w:rsidRDefault="00717EFA" w:rsidP="00717EFA">
      <w:pPr>
        <w:pStyle w:val="NeniNr"/>
        <w:rPr>
          <w:sz w:val="21"/>
          <w:szCs w:val="21"/>
        </w:rPr>
      </w:pPr>
      <w:r w:rsidRPr="002E3C85">
        <w:rPr>
          <w:sz w:val="21"/>
          <w:szCs w:val="21"/>
        </w:rPr>
        <w:t>Neni 7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1.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 xml:space="preserve">Çdo mosmarrëveshje e mundshme që ka të bëjë me interpretimin ose zbatimin e kësaj </w:t>
      </w:r>
      <w:r>
        <w:rPr>
          <w:sz w:val="21"/>
          <w:szCs w:val="21"/>
        </w:rPr>
        <w:t>m</w:t>
      </w:r>
      <w:r w:rsidRPr="002E3C85">
        <w:rPr>
          <w:sz w:val="21"/>
          <w:szCs w:val="21"/>
        </w:rPr>
        <w:t>arrëveshjeje do të zgjidhet nga komisioni i përbashkët i ekspertëve.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2.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 xml:space="preserve">Nëse komisioni i përbashkët i ekspertëve </w:t>
      </w:r>
      <w:r>
        <w:rPr>
          <w:sz w:val="21"/>
          <w:szCs w:val="21"/>
        </w:rPr>
        <w:t>b</w:t>
      </w:r>
      <w:r w:rsidRPr="002E3C85">
        <w:rPr>
          <w:sz w:val="21"/>
          <w:szCs w:val="21"/>
        </w:rPr>
        <w:t xml:space="preserve">renda tre muajve dështon në gjetjen e një zgjidhjeje të pranueshme nga të dyja </w:t>
      </w:r>
      <w:r>
        <w:rPr>
          <w:sz w:val="21"/>
          <w:szCs w:val="21"/>
        </w:rPr>
        <w:t>p</w:t>
      </w:r>
      <w:r w:rsidRPr="002E3C85">
        <w:rPr>
          <w:sz w:val="21"/>
          <w:szCs w:val="21"/>
        </w:rPr>
        <w:t xml:space="preserve">alët, mosmarrëveshjet do të zgjidhen nëpërmjet negociatave reciproke ndërmjet </w:t>
      </w:r>
      <w:r>
        <w:rPr>
          <w:sz w:val="21"/>
          <w:szCs w:val="21"/>
        </w:rPr>
        <w:t>q</w:t>
      </w:r>
      <w:r w:rsidRPr="002E3C85">
        <w:rPr>
          <w:sz w:val="21"/>
          <w:szCs w:val="21"/>
        </w:rPr>
        <w:t>everive në fund të muajit pasardhës.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</w:p>
    <w:p w:rsidR="00717EFA" w:rsidRPr="002E3C85" w:rsidRDefault="00717EFA" w:rsidP="00717EFA">
      <w:pPr>
        <w:pStyle w:val="NeniTitull"/>
        <w:rPr>
          <w:sz w:val="21"/>
          <w:szCs w:val="21"/>
        </w:rPr>
      </w:pPr>
      <w:r>
        <w:rPr>
          <w:sz w:val="21"/>
          <w:szCs w:val="21"/>
        </w:rPr>
        <w:t>Vlefshmëria, hyr</w:t>
      </w:r>
      <w:r w:rsidRPr="002E3C85">
        <w:rPr>
          <w:sz w:val="21"/>
          <w:szCs w:val="21"/>
        </w:rPr>
        <w:t>j</w:t>
      </w:r>
      <w:r>
        <w:rPr>
          <w:sz w:val="21"/>
          <w:szCs w:val="21"/>
        </w:rPr>
        <w:t>a</w:t>
      </w:r>
      <w:r w:rsidRPr="002E3C85">
        <w:rPr>
          <w:sz w:val="21"/>
          <w:szCs w:val="21"/>
        </w:rPr>
        <w:t xml:space="preserve"> në fuqi dhe tërheqja</w:t>
      </w:r>
    </w:p>
    <w:p w:rsidR="00717EFA" w:rsidRPr="002E3C85" w:rsidRDefault="00717EFA" w:rsidP="00717EFA">
      <w:pPr>
        <w:pStyle w:val="NeniNr"/>
        <w:rPr>
          <w:sz w:val="21"/>
          <w:szCs w:val="21"/>
        </w:rPr>
      </w:pPr>
      <w:r w:rsidRPr="002E3C85">
        <w:rPr>
          <w:sz w:val="21"/>
          <w:szCs w:val="21"/>
        </w:rPr>
        <w:t>Neni 8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1.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 xml:space="preserve">Kjo </w:t>
      </w:r>
      <w:r>
        <w:rPr>
          <w:sz w:val="21"/>
          <w:szCs w:val="21"/>
        </w:rPr>
        <w:t>m</w:t>
      </w:r>
      <w:r w:rsidRPr="002E3C85">
        <w:rPr>
          <w:sz w:val="21"/>
          <w:szCs w:val="21"/>
        </w:rPr>
        <w:t>arrëveshje do të lidhe</w:t>
      </w:r>
      <w:r>
        <w:rPr>
          <w:sz w:val="21"/>
          <w:szCs w:val="21"/>
        </w:rPr>
        <w:t>t për një periudhë kohore të pa</w:t>
      </w:r>
      <w:r w:rsidRPr="002E3C85">
        <w:rPr>
          <w:sz w:val="21"/>
          <w:szCs w:val="21"/>
        </w:rPr>
        <w:t>caktuar.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2.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 xml:space="preserve">Kjo </w:t>
      </w:r>
      <w:r>
        <w:rPr>
          <w:sz w:val="21"/>
          <w:szCs w:val="21"/>
        </w:rPr>
        <w:t>m</w:t>
      </w:r>
      <w:r w:rsidRPr="002E3C85">
        <w:rPr>
          <w:sz w:val="21"/>
          <w:szCs w:val="21"/>
        </w:rPr>
        <w:t>arrëveshje do të hyjë në fuqi në ditën e tridhjetë pas datës së marrjes së njoftimit të fundit me shkrim me anë të kanaleve diplomatike, nëpërmjet të cilave palët nënshkruese informojnë njëra</w:t>
      </w:r>
      <w:r>
        <w:rPr>
          <w:sz w:val="21"/>
          <w:szCs w:val="21"/>
        </w:rPr>
        <w:t>-</w:t>
      </w:r>
      <w:r w:rsidRPr="002E3C85">
        <w:rPr>
          <w:sz w:val="21"/>
          <w:szCs w:val="21"/>
        </w:rPr>
        <w:t xml:space="preserve"> tjetrën që procedurat ligjore të brendshme për hyrjen në fuqi të </w:t>
      </w:r>
      <w:r>
        <w:rPr>
          <w:sz w:val="21"/>
          <w:szCs w:val="21"/>
        </w:rPr>
        <w:t>m</w:t>
      </w:r>
      <w:r w:rsidRPr="002E3C85">
        <w:rPr>
          <w:sz w:val="21"/>
          <w:szCs w:val="21"/>
        </w:rPr>
        <w:t>arrëveshjes janë plotësuar.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3.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 xml:space="preserve">Kjo </w:t>
      </w:r>
      <w:r>
        <w:rPr>
          <w:sz w:val="21"/>
          <w:szCs w:val="21"/>
        </w:rPr>
        <w:t>m</w:t>
      </w:r>
      <w:r w:rsidRPr="002E3C85">
        <w:rPr>
          <w:sz w:val="21"/>
          <w:szCs w:val="21"/>
        </w:rPr>
        <w:t>arrëveshje mund të ndryshohet në çdo kohë nëpërmjet një miratimi të përbashkët me shkrim nga ana e palëve nënshkruese. Ndryshimet do të hyjnë në fuqi siç referohen në paragrafin 2 të këtij neni.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4.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 xml:space="preserve">Secila palë nënshkruese mundet në çdo kohë të përfundojë marrëveshjen, nëpërmjet një njoftimi me shkrim që i jepet një </w:t>
      </w:r>
      <w:r>
        <w:rPr>
          <w:sz w:val="21"/>
          <w:szCs w:val="21"/>
        </w:rPr>
        <w:t>p</w:t>
      </w:r>
      <w:r w:rsidRPr="002E3C85">
        <w:rPr>
          <w:sz w:val="21"/>
          <w:szCs w:val="21"/>
        </w:rPr>
        <w:t xml:space="preserve">ale tjetër në rrugë diplomatike. Në një rast të tillë </w:t>
      </w:r>
      <w:r>
        <w:rPr>
          <w:sz w:val="21"/>
          <w:szCs w:val="21"/>
        </w:rPr>
        <w:t>m</w:t>
      </w:r>
      <w:r w:rsidRPr="002E3C85">
        <w:rPr>
          <w:sz w:val="21"/>
          <w:szCs w:val="21"/>
        </w:rPr>
        <w:t xml:space="preserve">arrëveshja pushon së ekzekutuari 90 ditë pas marrjes së njoftimit, ose vazhdon vetëm në rastin kur vendoset ndryshe nga </w:t>
      </w:r>
      <w:r>
        <w:rPr>
          <w:sz w:val="21"/>
          <w:szCs w:val="21"/>
        </w:rPr>
        <w:t>p</w:t>
      </w:r>
      <w:r w:rsidRPr="002E3C85">
        <w:rPr>
          <w:sz w:val="21"/>
          <w:szCs w:val="21"/>
        </w:rPr>
        <w:t>alët.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5.</w:t>
      </w:r>
      <w:r>
        <w:rPr>
          <w:sz w:val="21"/>
          <w:szCs w:val="21"/>
        </w:rPr>
        <w:t xml:space="preserve"> </w:t>
      </w:r>
      <w:r w:rsidRPr="002E3C85">
        <w:rPr>
          <w:sz w:val="21"/>
          <w:szCs w:val="21"/>
        </w:rPr>
        <w:t>Bërë në Podgoricë më 25 janar 2012, në dy kopje origjinale në gjuhën shqip</w:t>
      </w:r>
      <w:r>
        <w:rPr>
          <w:sz w:val="21"/>
          <w:szCs w:val="21"/>
        </w:rPr>
        <w:t>e</w:t>
      </w:r>
      <w:r w:rsidRPr="002E3C85">
        <w:rPr>
          <w:sz w:val="21"/>
          <w:szCs w:val="21"/>
        </w:rPr>
        <w:t>, malazeze dhe anglisht, të gjitha tekstet janë njëlloj origjinale.</w:t>
      </w:r>
    </w:p>
    <w:p w:rsidR="00717EFA" w:rsidRPr="002E3C85" w:rsidRDefault="00717EFA" w:rsidP="00717EFA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 xml:space="preserve">6. Në rast se ka keqkuptime në interpretimin e kësaj </w:t>
      </w:r>
      <w:r>
        <w:rPr>
          <w:sz w:val="21"/>
          <w:szCs w:val="21"/>
        </w:rPr>
        <w:t>m</w:t>
      </w:r>
      <w:r w:rsidRPr="002E3C85">
        <w:rPr>
          <w:sz w:val="21"/>
          <w:szCs w:val="21"/>
        </w:rPr>
        <w:t>arrëveshjeje, do të merret për bazë teksti në anglisht</w:t>
      </w:r>
      <w:r>
        <w:rPr>
          <w:sz w:val="21"/>
          <w:szCs w:val="21"/>
        </w:rPr>
        <w:t>.</w:t>
      </w:r>
    </w:p>
    <w:sectPr w:rsidR="00717EFA" w:rsidRPr="002E3C85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17EFA"/>
    <w:rsid w:val="000277EF"/>
    <w:rsid w:val="000C2ABA"/>
    <w:rsid w:val="00142F5D"/>
    <w:rsid w:val="001D4B57"/>
    <w:rsid w:val="00443285"/>
    <w:rsid w:val="00477590"/>
    <w:rsid w:val="004A533F"/>
    <w:rsid w:val="00717EFA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46249"/>
    <w:rsid w:val="00CE6213"/>
    <w:rsid w:val="00D5435B"/>
    <w:rsid w:val="00FE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4CD45C-9B0D-4202-AAFB-DB5C2C6EC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EFA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link w:val="TitulliTitull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717EFA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717EFA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717EFA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717EFA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717EFA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717EFA"/>
    <w:rPr>
      <w:rFonts w:ascii="CG Times" w:eastAsia="Times New Roman" w:hAnsi="CG Times" w:cs="Times New Roman"/>
      <w:sz w:val="22"/>
      <w:lang w:val="en-GB" w:eastAsia="en-US" w:bidi="en-US"/>
    </w:rPr>
  </w:style>
  <w:style w:type="character" w:customStyle="1" w:styleId="TitulliTitullChar">
    <w:name w:val="Titulli_Titull Char"/>
    <w:basedOn w:val="DefaultParagraphFont"/>
    <w:link w:val="TitulliTitull"/>
    <w:rsid w:val="00717EFA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717EFA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2019-03-18T14:34:00Z</dcterms:created>
  <dcterms:modified xsi:type="dcterms:W3CDTF">2019-03-18T14:34:00Z</dcterms:modified>
</cp:coreProperties>
</file>