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E84" w:rsidRPr="002764B6" w:rsidRDefault="003D3E84" w:rsidP="003D3E84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2764B6">
        <w:rPr>
          <w:sz w:val="21"/>
          <w:szCs w:val="21"/>
          <w:lang w:val="sq-AL"/>
        </w:rPr>
        <w:t>LIGJ</w:t>
      </w:r>
    </w:p>
    <w:p w:rsidR="003D3E84" w:rsidRPr="002764B6" w:rsidRDefault="003D3E84" w:rsidP="003D3E84">
      <w:pPr>
        <w:pStyle w:val="NumriData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Nr. 78/2012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Titull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PËR DISA SHTESA DHE NDRYSHIME NË LIGJIN NR. 8873, DATË 29.3.2002 “PËR SIGURIMIN E DEPOZITAVE”, Të NDRYSHUAR</w:t>
      </w:r>
      <w:r w:rsidRPr="002764B6">
        <w:rPr>
          <w:sz w:val="21"/>
          <w:szCs w:val="21"/>
          <w:vertAlign w:val="superscript"/>
          <w:lang w:val="sq-AL"/>
        </w:rPr>
        <w:footnoteReference w:customMarkFollows="1" w:id="1"/>
        <w:t>1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VENDOS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KUVENDI</w:t>
      </w:r>
    </w:p>
    <w:p w:rsidR="003D3E84" w:rsidRPr="002764B6" w:rsidRDefault="003D3E84" w:rsidP="003D3E84">
      <w:pPr>
        <w:pStyle w:val="VENDOS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I REPUBLIKËS SË SHQIPËRISË</w:t>
      </w:r>
    </w:p>
    <w:p w:rsidR="003D3E84" w:rsidRPr="002764B6" w:rsidRDefault="003D3E84" w:rsidP="003D3E84">
      <w:pPr>
        <w:pStyle w:val="VENDOS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VENDOS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VENDOSI: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Në ligjin nr. 8873, datë 29.3.2002 “Për sigurimin e depozitave”, të ndryshuar, bëhen këto shtesa dhe ndryshime:</w:t>
      </w:r>
    </w:p>
    <w:p w:rsidR="003D3E84" w:rsidRPr="005E6509" w:rsidRDefault="003D3E84" w:rsidP="003D3E84">
      <w:pPr>
        <w:pStyle w:val="Paragrafi"/>
        <w:rPr>
          <w:sz w:val="17"/>
          <w:szCs w:val="21"/>
          <w:lang w:val="sq-AL"/>
        </w:rPr>
      </w:pPr>
    </w:p>
    <w:p w:rsidR="003D3E84" w:rsidRPr="002764B6" w:rsidRDefault="003D3E84" w:rsidP="003D3E84">
      <w:pPr>
        <w:pStyle w:val="NeniNr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Neni 1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Në nenin 2 bëhen këto shtesa dhe ndryshime: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1. Pas shkronjës “ç” shtohet shkronja “ç/1” me këtë përmbajtje: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“ç/1) “Shoqëria e kursim-kreditit (SHKK)” është personi juridik, i cili themelohet dhe vepron në përputhje me dispozitat ligjore të parashikuara në ligjin nr. 8782, datë 3.5.2001 “Për shoqëritë e kursim- kreditit”, të ndryshuar;”.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2. Pas shkronjës “d” shtohet shkronja “d/1” me këtë përmbajtje: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“d/1) “Subjekt i siguruar” është banka dhe dega e bankës së huaj në Shqipëri, shoqëria e kursim-kreditit që pranon depozita të siguruara nga Agjencia;”.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3. Në shkronjën “f”, pas nënndarjes “ii” shtohet nënndarja “iii” me këtë përmbajtje: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“iii) çdo shumë parash, që anëtari, individ i shoqërisë së kursim-kreditit depoziton pranë saj, në përputhje me ligjin nr. 8782, datë 3.5.2001 “Për shoqëritë e kursim-kreditit”, të ndryshuar;”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4. Shkronja “ll” ndryshohet si më poshtë:     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“ll) “Ndërhyrje” është vënia në likuidim të detyruar e subjektit të siguruar me vendim të Autoritetit Mbikëqyrës;”.</w:t>
      </w:r>
    </w:p>
    <w:p w:rsidR="003D3E84" w:rsidRPr="002764B6" w:rsidRDefault="003D3E84" w:rsidP="003D3E84">
      <w:pPr>
        <w:pStyle w:val="Paragrafi"/>
        <w:rPr>
          <w:sz w:val="11"/>
          <w:szCs w:val="21"/>
          <w:lang w:val="sq-AL"/>
        </w:rPr>
      </w:pPr>
    </w:p>
    <w:p w:rsidR="003D3E84" w:rsidRPr="002764B6" w:rsidRDefault="003D3E84" w:rsidP="003D3E84">
      <w:pPr>
        <w:pStyle w:val="NeniNr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Neni 2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Pas nenit 2 shtohet neni 2/1 me këtë përmbajtje: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NeniNr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“Neni 2/1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Kudo në këtë ligj fjalët “bankë e siguruar” zëvendësohen me fjalët “subjekt i siguruar”, me përjashtim të neneve 23 dhe 26 të këtij ligji.”.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NeniNr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lastRenderedPageBreak/>
        <w:t>Neni 3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Në nenin 3, pas pikës 2 shtohet pika 3 me këtë përmbajtje: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“3. Depozita në shoqëritë e kursim-kreditit sigurohet nga Agjencia, sipas dispozitave të këtij ligji dhe akteve rregullatore, dhe asnjë shoqëri e kursim-kreditit nuk pranon dhe nuk grumbullon depozita kur nuk është e siguruar nga Agjencia, sipas dispozitave të këtij ligji.”.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NeniNr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Neni 4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Në nenin 5 bëhen këto ndryshime dhe shtesa: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1. Shkronja “c” ndryshohet si më poshtë: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“c) depozitat e drejtorit, të administratorëve të subjektit të siguruar ose të çdo depozituesi tjetër me të njëjtin status në personat juridikë të lidhur me subjektin e siguruar në fjalë.”.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2. Pas shkronjës “g” shtohet shkronja “gj” me këtë përmbajtje: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“gj) depozitat e personave juridikë në shoqërinë e kursim-kreditit.”.    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NeniNr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Neni 5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Në nenin 6 bëhen këto ndryshime: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1. Pika 1 ndryshohet si më poshtë: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“1. Agjencia kompenson depozitat e siguruara kur Autoriteti Mbikëqyrës ndërhyn në subjektin e siguruar.”.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2. Shkronja “c” e pikës 4 ndryshohet si më poshtë: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“c) depozitat e siguruara, të mbajtura nga çdo depozitues në subjektin e siguruar në ditën e ndërhyrjes, agregohen. Në mbështetje dhe për zbatimin e këtij ligji, agregim është llogaritja e shumës së përgjithshme të depozitave të siguruara të një depozituesi në subjektin e siguruar, duke zbritur vetëm shumën e detyrimeve të papaguara në kohë të depozituesit ndaj subjektit të siguruar, që rezulton në vonesë shlyerjeje në ditën e ndërhyrjes nga Autoriteti Mbikëqyrës.”.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NeniNr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Neni 6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Në nenin 7 bëhen këto ndryshime dhe shtesa: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1. Në pikën 1, fjalët “ose për vendimin e likuidimit vullnetar” hiqen.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2. Pika 3 ndryshohet si më poshtë: 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“3. Kur shuma e kërkuar për kompensimin e depozitave të siguruara është më e madhe se mjetet financiare të zotëruara nga Agjencia, atëherë kjo e fundit: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a) mund të marrë hua nga Buxheti i Shtetit, në përputhje me legjislacionin në fuqi. Masa e huas që do të jepet përcaktohet në mënyrë që kapaciteti financiar i Agjencisë të jetë në proporcion me detyrimet e saj dhe në çdo rast duhet të sigurojë qëndrueshmërinë e sistemit bankar e financiar në vend, si dhe të jetë në përputhje me qëndrueshmërinë e financave publike, në këndvështrimin afatmesëm dhe afatgjatë.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b) Interesi i huas që do të jepet, sipas shkronjës “a” të kësaj pike, duhet të jetë i njëjtë me normat e interesit të titujve, me maturitet të krahasueshëm, të emetuar nga Qeveria Shqiptare e të tregtueshëm në Republikën e Shqipërisë.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c) Për dhënien e huas, sipas shkronjave “a” dhe “b” të kësaj pike, Ministria e Financave lidh marrëveshje me Agjencinë dhe Autoritetin Mbikëqyrës, ku përcaktohen, ndër të tjera, kushtet e kësaj huaje.”.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3. Pas pikës 5 shtohet pika 6 me këtë përmbajtje: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“6. Në rastin e transferimit të disa ose të të gjitha aseteve dhe detyrimeve të subjektit  të siguruar te një subjekt tjetër i siguruar ose një bankë-urë, përfshirë në çdo rast totalin e depozitave të siguruara, në bazë të urdhrit të Autoritetit Mbikëqyrës ose gjatë procesit të kujdestarisë apo likuidimit, Agjencia, me miratimin e Autoritetit Mbikëqyrës, transferon mjetet e saj financiare të nevojshme për plotësimin e diferencës ndërmjet detyrimeve dhe aseteve që transferohen, nëse vlera e detyrimeve është më e madhe se vlera e aseteve.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a) Plotësimi i diferencës, nga ana e Agjencisë, ndërmjet detyrimeve dhe aseteve që transferohen, kryhet deri në shumën e depozitave të siguruara dhe vetëm nëse kjo mënyrë është më pak e kushtueshme se </w:t>
      </w:r>
      <w:r w:rsidRPr="002764B6">
        <w:rPr>
          <w:sz w:val="21"/>
          <w:szCs w:val="21"/>
          <w:lang w:val="sq-AL"/>
        </w:rPr>
        <w:lastRenderedPageBreak/>
        <w:t xml:space="preserve">kryerja e procesit të kompensimit të depozitave, duke përfshirë të gjitha shpenzimet që lidhen me këtë proces.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b) Pretendimet e Agjencisë, të cilat rrjedhin nga plotësimi i diferencës midis detyrimeve dhe aseteve të transferuara, renditen në radhë së bashku me depozituesit e vegjël, sipas ligjit “Për bankat në Republikën e Shqipërisë.”. </w:t>
      </w:r>
    </w:p>
    <w:p w:rsidR="003D3E84" w:rsidRPr="002764B6" w:rsidRDefault="003D3E84" w:rsidP="003D3E84">
      <w:pPr>
        <w:pStyle w:val="Paragrafi"/>
        <w:rPr>
          <w:sz w:val="15"/>
          <w:szCs w:val="21"/>
          <w:lang w:val="sq-AL"/>
        </w:rPr>
      </w:pPr>
    </w:p>
    <w:p w:rsidR="003D3E84" w:rsidRPr="002764B6" w:rsidRDefault="003D3E84" w:rsidP="003D3E84">
      <w:pPr>
        <w:pStyle w:val="NeniNr"/>
        <w:rPr>
          <w:sz w:val="21"/>
          <w:szCs w:val="21"/>
          <w:lang w:val="sq-AL"/>
        </w:rPr>
      </w:pPr>
      <w:r w:rsidRPr="002764B6" w:rsidDel="00F25399">
        <w:rPr>
          <w:sz w:val="21"/>
          <w:szCs w:val="21"/>
          <w:lang w:val="sq-AL"/>
        </w:rPr>
        <w:t xml:space="preserve"> </w:t>
      </w:r>
      <w:r w:rsidRPr="002764B6">
        <w:rPr>
          <w:sz w:val="21"/>
          <w:szCs w:val="21"/>
          <w:lang w:val="sq-AL"/>
        </w:rPr>
        <w:t>Neni 7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Në nenin 8, pas pikës 5 shtohen pikat 6 dhe 7 me këtë përmbajtje: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“6. Ekzekutimi i detyrimeve të lindura për Agjencinë gjatë procesit të kompensimit pezullohet, sipas dispozitave të parashikuara në Kodin e Procedurës Civile, deri në përfundimin e plotë të këtij procesi.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7. Vetëm për qëllim të kryerjes së procesit të kompensimit, sipas dispozitave të këtij ligji, Agjencia përjashtohet si subjekt i dispozitave të ligjit “Për prokurimin publik” dhe të akteve nënligjore në fuqi për zbatimin e tij.”. </w:t>
      </w:r>
    </w:p>
    <w:p w:rsidR="003D3E84" w:rsidRPr="002764B6" w:rsidRDefault="003D3E84" w:rsidP="003D3E84">
      <w:pPr>
        <w:pStyle w:val="Paragrafi"/>
        <w:rPr>
          <w:sz w:val="11"/>
          <w:szCs w:val="21"/>
          <w:lang w:val="sq-AL"/>
        </w:rPr>
      </w:pPr>
    </w:p>
    <w:p w:rsidR="003D3E84" w:rsidRPr="002764B6" w:rsidRDefault="003D3E84" w:rsidP="003D3E84">
      <w:pPr>
        <w:pStyle w:val="NeniNr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Neni 8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Në nenin 11 pika 2 bëhen këto shtesa dhe ndryshime: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1. Pas shkronjës “e” shtohen shkronjat “e/1” dhe “e/2” me këtë përmbajtje: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“e/1) propozon për Autoritetin Mbikëqyrës aktet nënligjore për miratimin e kontributit të veçantë që paguhet nga subjektet e siguruara, sipas dispozitave të parashikuara në nenin 20/1 pika 4 të këtij ligji;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e/2) propozon për miratim te Autoriteti Mbikëqyrës vendimin për transferimin e mjeteve financiare të Agjencisë për plotësimin e diferencës midis aseteve dhe detyrimeve që transferohen nga një subjekt i siguruar te një subjekt tjetër i siguruar ose bankë-urë, sipas vendimit të Autoritetit Mbikëqyrës për këtë transferim, në përputhje me pikën 6 të nenit 7 të këtij ligji;”.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2. Pas nënndarjes “vi” të shkronjës “ll” shtohet nënndarja “vii” me këtë përmbajtje: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“vii) rregullat dhe procedurat për prokurimin e shërbimeve dhe mallrave gjatë procesit të kompensimit.”.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NeniNr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Neni 9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Në nenin 19, pas pikës 5 shtohet pika 6 me këtë përmbajtje: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“6. Fondi themeltar i Agjencisë së Sigurimit të Depozitave për sigurimin e depozitave në shoqëritë e kursim-kreditit është 50 000 000 (pesëdhjetë milionë) lekë dhe është kontribut i Buxhetit të Shtetit. Ky fond është i pagueshëm sipas kushteve, afateve dhe procedurave të përcaktuara me vendim të Këshillit të Ministrave.”.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NeniNr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Neni 10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Në nenin 20, pas shkronjës “ç” shtohet shkronja “ç/1” me këtë përmbajtje: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“ç/1) kontributi i veçantë i subjekteve të siguruara, sipas përcaktimeve në nenin 20/1 pika 4 të këtij ligji;”. </w:t>
      </w:r>
    </w:p>
    <w:p w:rsidR="003D3E84" w:rsidRPr="005E6509" w:rsidRDefault="003D3E84" w:rsidP="003D3E84">
      <w:pPr>
        <w:pStyle w:val="Paragrafi"/>
        <w:rPr>
          <w:sz w:val="13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 </w:t>
      </w:r>
    </w:p>
    <w:p w:rsidR="003D3E84" w:rsidRPr="002764B6" w:rsidRDefault="003D3E84" w:rsidP="003D3E84">
      <w:pPr>
        <w:pStyle w:val="NeniNr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Neni 11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Në nenin 20/1 bëhen këto ndryshime dhe shtesa: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1. Pika 3 ndryshohet si më poshtë: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“3. Huat apo kreditë e marra nga Agjencia, sipas nenit 20 të këtij ligji, për mbulimin e pamjaftueshmërisë së mjeteve financiare, përfshirë dhe ato që merren nga Buxheti i Shtetit, mund të garantohen me një garanci të lëshuar nga vetë Agjencia, duke përdorur asetet e saj apo pretendimet e ardhshme të Agjencisë për pagimin e primit vjetor nga bankat e siguruara.”.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2. Pas pikës 3 shtohet pika 4 me këtë përmbajtje: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“4. Me propozimin e Këshillit Drejtues të Agjencisë dhe miratimin e Autoritetit Mbikëqyrës, subjektet e siguruara paguajnë një kontribut të veçantë, sipas nenit 20 shkronja “c” të këtij ligji, i cili përmbush kriteret e mëposhtme:      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lastRenderedPageBreak/>
        <w:t>a) Kontributi i veçantë është kontribut i subjekteve të siguruara, që përdoret për qëllim të rindërtimit të mjeteve financiare, në rast të kompensimit të depozitave të siguruara, ose për shlyerjen e huave të Agjencisë të marra për këtë qëllim, në kuptim të nenit 20 shkronja “d” dhe të pikave 4 dhe 5 të këtij neni.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b) Kontributi i veçantë i subjekteve të siguruara mblidhet nga Agjencia vetëm një herë gjatë vitit kalendarik. Masa e kontributit të veçantë përcaktohet e njëjtë për të gjitha subjektet e siguruara dhe në çdo rast jo më shumë se 1 për qind e totalit të depozitave të siguruara që janë regjistruar në subjektin e siguruar në ditën e fundit të muajit pararendës nga data e njoftimit të Agjencisë.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c) Kontributi paguhet nga subjektet e siguruara në lekë me marrjen e njoftimit nga Agjencia për vendimin e Autoritetit Mbikëqyrës mbi detyrimin e pagesës së tij dhe, në çdo rast, jo më vonë se data e përcaktuar në njoftimin e Agjencisë.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ç) Me propozimin e Këshillit Drejtues të Agjencisë, Autoriteti Mbikëqyrës përcakton subjektet e siguruara, të cilat, për arsye të ruajtjes së aftësisë paguese të tyre, mund të përjashtohen nga pagesa e kontributit të veçantë përkatës.”.</w:t>
      </w:r>
      <w:r w:rsidRPr="002764B6">
        <w:rPr>
          <w:sz w:val="21"/>
          <w:szCs w:val="21"/>
          <w:lang w:val="sq-AL"/>
        </w:rPr>
        <w:tab/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3. Pika 4 bëhet pika 5.</w:t>
      </w:r>
    </w:p>
    <w:p w:rsidR="003D3E84" w:rsidRPr="002764B6" w:rsidRDefault="003D3E84" w:rsidP="003D3E84">
      <w:pPr>
        <w:pStyle w:val="NeniNr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Neni 12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Neni 21 ndryshohet si më poshtë: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NeniNr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“Neni 21</w:t>
      </w:r>
    </w:p>
    <w:p w:rsidR="003D3E84" w:rsidRPr="002764B6" w:rsidRDefault="003D3E84" w:rsidP="003D3E84">
      <w:pPr>
        <w:pStyle w:val="NeniTitull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Qëllimi i përdorimit të mjeteve financiare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Mjetet financiare të Agjencisë, në kuptim të nenit 20 të këtij ligji, përdoren për: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a) kompensimin e depozitave të siguruara, sipas dispozitave të këtij ligji;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b) plotësimin e diferencës ndërmjet detyrimeve dhe aktiveve që transferohen nga një subjekt i siguruar te një subjekt tjetër i siguruar ose bankë-urë, sipas vendimit të Autoritetit Mbikëqyrës për këtë transferim, sipas pikës 6 të nenit 7 të këtij ligji;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c) mbulimin e të gjitha shpenzimeve administrative për zbatimin e procesit të kompensimit të depozitave të siguruara dhe administrimin e aseteve të Agjencisë;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ç) mbulimin e të gjitha shpenzimeve administrative dhe financiare për veprimtarinë e Agjencisë, sipas buxhetit të miratuar nga Autoriteti Mbikëqyrës;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d) shlyerjen e detyrimeve, kredive dhe huave të marra për përmbushjen e qëllimeve të përcaktuara në shkronjat “a”, “b” dhe “c” të këtij neni.”.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NeniNr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Neni 13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Pas nenit 21 shtohet neni 21/1 me këtë përmbajtje: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NeniNr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“Neni 21/1</w:t>
      </w:r>
    </w:p>
    <w:p w:rsidR="003D3E84" w:rsidRPr="002764B6" w:rsidRDefault="003D3E84" w:rsidP="003D3E84">
      <w:pPr>
        <w:pStyle w:val="NeniTitull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Administrimi i mjeteve financiare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1. Mjetet likuide të Agjencisë investohen vetëm në: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a) tituj të emetuar nga Qeveria e Republikës së Shqipërisë ose   Autoriteti Mbikëqyrës, në lekë dhe në monedhë të huaj;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b) tituj të emetuar nga qeveritë ose bankat qendrore në monedhë të huaj, të cilat konsiderohen të sigurta nga agjenci për vlerësimin e riskut të njohura ndërkombëtarisht;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c) tituj  të  emetuar nga institucionet financiare ndërkombëtare;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ç) depozita me interes në Autoritetin Mbikëqyrës.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2. Titujt e blerë nga Agjencia nuk duhet të jenë me maturitet më shumë se një vit që nga momenti i fitimit të pronësisë nga Agjencia.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3. Agjencia administron mjetet e saj financiare me qëllim që: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a) të eliminojë shpenzimet e pajustifikuara administrative dhe operacionale; 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b) të administrojë mjete financiare në investime në instrumente financiare me nivel të pranuar rreziku dhe shlyerjeje;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lastRenderedPageBreak/>
        <w:t>c) të garantojë plotësimin, në çdo kohë, të nevojave për mjete financiare likuide të Agjencisë;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ç) të zvogëlojë koston e oportunitetit dhe minimizimin e rrezikut të zhvleftësimit të mjeteve financiare të Agjencisë nga luhatja në këmbimet valutore;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d) të shlyejë në kohë detyrimet.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4. Me synim administrimin e mjeteve të saj financiare, sipas qëllimeve të parashikuara në pikën 3 të këtij neni, Agjencia mund të shesë me detyrim riblerjen e tyre, instrumente të detyrimeve të emetuara nga Ministria e Financave, sipas kushteve të miratuara nga Këshilli Drejtues i Agjencisë  dhe Autoriteti Mbikëqyrës.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5. Ministria e Financave, Autoriteti Mbikëqyrës dhe Agjencia hyjnë në marrëveshje ndërmjet tyre për detyrime të parashikuara sipas pikës 4 të këtij neni,  lidhur me sigurimin e mjeteve financiare të nevojshme për kryerjen e procesit të kompensimit nga Agjencia.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6. Agjencia e Sigurimit të Depozitave mban llogari pranë Autoritetit Mbikëqyrës.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7. Agjencia e Sigurimit të Depozitave mban në llogari të ndryshme, pranë Autoritetit Mbikëqyrës, mjetet financiare për depozitat e siguruara në bankat dhe degët e bankës së huaj dhe mjetet financiare për sigurimin e depozitave në shoqëritë e kursim-kreditit, në kuptim të nenit 20 të këtij ligji.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8. Pagesat e kontributit fillestar, pagesat e primit vjetor të sigurimit të depozitave, si dhe pagesat e kontributit të veçantë nga subjektet e siguruara derdhen në lekë në llogaritë përkatëse të Agjencisë pranë Autoritetit Mbikëqyrës.”.</w:t>
      </w:r>
    </w:p>
    <w:p w:rsidR="003D3E84" w:rsidRPr="002764B6" w:rsidRDefault="003D3E84" w:rsidP="003D3E84">
      <w:pPr>
        <w:pStyle w:val="Paragrafi"/>
        <w:ind w:firstLine="0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NeniNr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Neni 14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Në nenin 24 pika 7, fjalët “bankë e porsalicencuar” zëvendësohen me fjalët “subjekt i porsalicencuar”.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NeniNr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Neni 15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Neni 25 ndryshohet si më poshtë: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NeniNr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“Neni 25</w:t>
      </w:r>
    </w:p>
    <w:p w:rsidR="003D3E84" w:rsidRPr="002764B6" w:rsidRDefault="003D3E84" w:rsidP="003D3E84">
      <w:pPr>
        <w:pStyle w:val="NeniTitull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Kontabilizimi i kontributeve dhe i primeve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1. Kontributet fillestare, primet vjetore dhe kontributet e veçanta llogariten si shpenzime të subjekteve të siguruara.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2. Kontributet fillestare, primet vjetore dhe kontributet e veçanta nuk rimbursohen, përveç rasteve kur parashikohet ndryshe në këtë ligj.”.</w:t>
      </w:r>
    </w:p>
    <w:p w:rsidR="003D3E84" w:rsidRPr="002764B6" w:rsidRDefault="003D3E84" w:rsidP="003D3E84">
      <w:pPr>
        <w:pStyle w:val="NeniNr"/>
        <w:rPr>
          <w:sz w:val="13"/>
          <w:szCs w:val="21"/>
          <w:lang w:val="sq-AL"/>
        </w:rPr>
      </w:pPr>
    </w:p>
    <w:p w:rsidR="003D3E84" w:rsidRPr="002764B6" w:rsidRDefault="003D3E84" w:rsidP="00CD02D1">
      <w:pPr>
        <w:pStyle w:val="Paragrafi"/>
      </w:pPr>
    </w:p>
    <w:p w:rsidR="003D3E84" w:rsidRPr="002764B6" w:rsidRDefault="003D3E84" w:rsidP="003D3E84">
      <w:pPr>
        <w:pStyle w:val="NeniNr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Neni 16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Në nenin 30, pas pikës 3 shtohet pika 4 me këtë përmbajtje: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“4. Në rastin e transferimit të disa ose të të gjitha aktiveve dhe detyrimeve të bankës te një bankë tjetër ose një bankë-urë, përfshirë në çdo rast totalin e depozitave të siguruara, në rast se ky transferim bëhet në bazë të urdhrit të Autoritetit Mbikëqyrës para, gjatë kujdestarisë ose likuidimit, nuk është e nevojshme të merret miratimi i aksionarëve, depozituesve, kreditorëve ose palëve të treta.”.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NeniNr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Neni 17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Në nenin 31 shtohen paragrafët me këtë përmbajtje: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“Shoqëritë e kursim-kreditit, brenda 12 muajve nga hyrja në fuqi e këtij ligji, marrin të gjitha masat e nevojshme për përmbushjen e detyrimeve që rrjedhin nga ky ligj dhe të akteve nënligjore të nxjerra në zbatim të tij.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Të gjitha depozitat e anëtarëve individë në shoqëritë e kursim-kreditit do të sigurohen sipas dispozitave të këtij ligji, pas kryerjes të pagesës së kontributit fillestar, sipas njoftimit të Agjencisë.”.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NeniNr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lastRenderedPageBreak/>
        <w:t>Neni 18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Në nenin 32, pas pikës 3 shtohen pikat 4 dhe 5 me këtë përmbajtje: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“4.  Ngarkohet Agjencia e Sigurimit të Depozitave që, brenda 3 muajve nga data e hyrjes në fuqi të këtij ligji, t’i propozojë për miratim Autoritetit Mbikëqyrës kuadrin rregullator, në lidhje me pë</w:t>
      </w:r>
      <w:r>
        <w:rPr>
          <w:sz w:val="21"/>
          <w:szCs w:val="21"/>
          <w:lang w:val="sq-AL"/>
        </w:rPr>
        <w:t>rfshirjen e shoqërive të kursim-</w:t>
      </w:r>
      <w:r w:rsidRPr="002764B6">
        <w:rPr>
          <w:sz w:val="21"/>
          <w:szCs w:val="21"/>
          <w:lang w:val="sq-AL"/>
        </w:rPr>
        <w:t xml:space="preserve">kreditit në skemën e sigurimit të depozitave, pranimin dhe përfundimin e sigurimit të depozitave, përjashtimin dhe dënimin, sipas dispozitave të parashikuara në këtë ligj.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5. Jo më vonë se 60 ditë kalendarike nga miratimi i  kuadrit rregullator, sipas pikës 4 të këtij neni, Agjencia njofton shoqëritë e kursim-kreditit për politikën e sigurimit të depozitave dhe i udhëzon për shumën e kontributit dhe të primit vjetor fillestar që ato do të paguajnë për Agjencinë. Shuma e primit fillestar vjetor është proporcionale me periudhën e mbetur, sipas njoftimit të Agjencisë.”.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2764B6" w:rsidRDefault="003D3E84" w:rsidP="003D3E84">
      <w:pPr>
        <w:pStyle w:val="NeniNr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Neni 19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ab/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Ky ligj hyn në fuqi 15 ditë pas botimit në Fletoren Zyrtare.</w:t>
      </w:r>
    </w:p>
    <w:p w:rsidR="003D3E84" w:rsidRPr="002764B6" w:rsidRDefault="003D3E84" w:rsidP="003D3E84">
      <w:pPr>
        <w:pStyle w:val="Paragrafi"/>
        <w:ind w:firstLine="0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 xml:space="preserve">                                                                                           </w:t>
      </w:r>
    </w:p>
    <w:p w:rsidR="003D3E84" w:rsidRPr="002764B6" w:rsidRDefault="003D3E84" w:rsidP="003D3E84">
      <w:pPr>
        <w:pStyle w:val="Paragrafi"/>
        <w:rPr>
          <w:sz w:val="21"/>
          <w:szCs w:val="21"/>
          <w:lang w:val="sq-AL"/>
        </w:rPr>
      </w:pPr>
      <w:r w:rsidRPr="002764B6">
        <w:rPr>
          <w:sz w:val="21"/>
          <w:szCs w:val="21"/>
          <w:lang w:val="sq-AL"/>
        </w:rPr>
        <w:t>Miratuar në datën 26.7.2012</w:t>
      </w:r>
    </w:p>
    <w:p w:rsidR="003D3E84" w:rsidRPr="008E75F2" w:rsidRDefault="003D3E84" w:rsidP="003D3E84">
      <w:pPr>
        <w:pStyle w:val="Paragrafi"/>
        <w:rPr>
          <w:sz w:val="21"/>
          <w:szCs w:val="21"/>
          <w:lang w:val="sq-AL"/>
        </w:rPr>
      </w:pPr>
    </w:p>
    <w:p w:rsidR="003D3E84" w:rsidRPr="00DA6213" w:rsidRDefault="003D3E84" w:rsidP="003D3E84">
      <w:pPr>
        <w:pStyle w:val="Shpallja"/>
        <w:rPr>
          <w:sz w:val="21"/>
          <w:szCs w:val="21"/>
        </w:rPr>
      </w:pPr>
      <w:r w:rsidRPr="00DA6213">
        <w:rPr>
          <w:sz w:val="21"/>
          <w:szCs w:val="21"/>
        </w:rPr>
        <w:t xml:space="preserve">Shpallur </w:t>
      </w:r>
      <w:r>
        <w:rPr>
          <w:sz w:val="21"/>
          <w:szCs w:val="21"/>
        </w:rPr>
        <w:t xml:space="preserve">  </w:t>
      </w:r>
      <w:r w:rsidRPr="00DA6213">
        <w:rPr>
          <w:sz w:val="21"/>
          <w:szCs w:val="21"/>
        </w:rPr>
        <w:t>me</w:t>
      </w:r>
      <w:r>
        <w:rPr>
          <w:sz w:val="21"/>
          <w:szCs w:val="21"/>
        </w:rPr>
        <w:t xml:space="preserve"> </w:t>
      </w:r>
      <w:r w:rsidRPr="00DA6213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  <w:r w:rsidRPr="00DA6213">
        <w:rPr>
          <w:sz w:val="21"/>
          <w:szCs w:val="21"/>
        </w:rPr>
        <w:t xml:space="preserve">dekretin </w:t>
      </w:r>
      <w:r>
        <w:rPr>
          <w:sz w:val="21"/>
          <w:szCs w:val="21"/>
        </w:rPr>
        <w:t xml:space="preserve">  </w:t>
      </w:r>
      <w:r w:rsidRPr="00DA6213">
        <w:rPr>
          <w:sz w:val="21"/>
          <w:szCs w:val="21"/>
        </w:rPr>
        <w:t xml:space="preserve">nr. 7741, </w:t>
      </w:r>
      <w:r>
        <w:rPr>
          <w:sz w:val="21"/>
          <w:szCs w:val="21"/>
        </w:rPr>
        <w:t xml:space="preserve"> </w:t>
      </w:r>
      <w:r w:rsidRPr="00DA6213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  <w:r w:rsidRPr="00DA6213">
        <w:rPr>
          <w:sz w:val="21"/>
          <w:szCs w:val="21"/>
        </w:rPr>
        <w:t xml:space="preserve">datë </w:t>
      </w:r>
      <w:r>
        <w:rPr>
          <w:sz w:val="21"/>
          <w:szCs w:val="21"/>
        </w:rPr>
        <w:t xml:space="preserve">  </w:t>
      </w:r>
      <w:r w:rsidRPr="00DA6213">
        <w:rPr>
          <w:sz w:val="21"/>
          <w:szCs w:val="21"/>
        </w:rPr>
        <w:t>16.8.2012</w:t>
      </w:r>
      <w:r>
        <w:rPr>
          <w:sz w:val="21"/>
          <w:szCs w:val="21"/>
        </w:rPr>
        <w:t xml:space="preserve"> </w:t>
      </w:r>
      <w:r w:rsidRPr="00DA6213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  <w:r w:rsidRPr="00DA6213">
        <w:rPr>
          <w:sz w:val="21"/>
          <w:szCs w:val="21"/>
        </w:rPr>
        <w:t xml:space="preserve">të </w:t>
      </w:r>
      <w:r>
        <w:rPr>
          <w:sz w:val="21"/>
          <w:szCs w:val="21"/>
        </w:rPr>
        <w:t xml:space="preserve">  </w:t>
      </w:r>
      <w:r w:rsidRPr="00DA6213">
        <w:rPr>
          <w:sz w:val="21"/>
          <w:szCs w:val="21"/>
        </w:rPr>
        <w:t xml:space="preserve">Presidentit </w:t>
      </w:r>
      <w:r>
        <w:rPr>
          <w:sz w:val="21"/>
          <w:szCs w:val="21"/>
        </w:rPr>
        <w:t xml:space="preserve">  </w:t>
      </w:r>
      <w:r w:rsidRPr="00DA6213">
        <w:rPr>
          <w:sz w:val="21"/>
          <w:szCs w:val="21"/>
        </w:rPr>
        <w:t xml:space="preserve">të </w:t>
      </w:r>
      <w:r>
        <w:rPr>
          <w:sz w:val="21"/>
          <w:szCs w:val="21"/>
        </w:rPr>
        <w:t xml:space="preserve">  </w:t>
      </w:r>
      <w:r w:rsidRPr="00DA6213">
        <w:rPr>
          <w:sz w:val="21"/>
          <w:szCs w:val="21"/>
        </w:rPr>
        <w:t>Republikës</w:t>
      </w:r>
      <w:r>
        <w:rPr>
          <w:sz w:val="21"/>
          <w:szCs w:val="21"/>
        </w:rPr>
        <w:t xml:space="preserve">  </w:t>
      </w:r>
      <w:r w:rsidRPr="00DA6213">
        <w:rPr>
          <w:sz w:val="21"/>
          <w:szCs w:val="21"/>
        </w:rPr>
        <w:t xml:space="preserve"> së</w:t>
      </w:r>
      <w:r>
        <w:rPr>
          <w:sz w:val="21"/>
          <w:szCs w:val="21"/>
        </w:rPr>
        <w:t xml:space="preserve"> </w:t>
      </w:r>
      <w:r w:rsidRPr="00DA6213">
        <w:rPr>
          <w:sz w:val="21"/>
          <w:szCs w:val="21"/>
        </w:rPr>
        <w:t xml:space="preserve"> Shqipërisë, Bujar Nishani</w:t>
      </w:r>
    </w:p>
    <w:sectPr w:rsidR="003D3E84" w:rsidRPr="00DA6213" w:rsidSect="005D2C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599" w:rsidRDefault="00F55599" w:rsidP="003D3E84">
      <w:r>
        <w:separator/>
      </w:r>
    </w:p>
  </w:endnote>
  <w:endnote w:type="continuationSeparator" w:id="0">
    <w:p w:rsidR="00F55599" w:rsidRDefault="00F55599" w:rsidP="003D3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GTi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599" w:rsidRDefault="00F55599" w:rsidP="003D3E84">
      <w:r>
        <w:separator/>
      </w:r>
    </w:p>
  </w:footnote>
  <w:footnote w:type="continuationSeparator" w:id="0">
    <w:p w:rsidR="00F55599" w:rsidRDefault="00F55599" w:rsidP="003D3E84">
      <w:r>
        <w:continuationSeparator/>
      </w:r>
    </w:p>
  </w:footnote>
  <w:footnote w:id="1">
    <w:p w:rsidR="003D3E84" w:rsidRPr="00C75CC3" w:rsidRDefault="003D3E84" w:rsidP="003D3E84">
      <w:pPr>
        <w:ind w:firstLine="720"/>
        <w:jc w:val="both"/>
        <w:rPr>
          <w:rFonts w:ascii="CGTimes" w:hAnsi="CGTimes"/>
          <w:sz w:val="16"/>
          <w:szCs w:val="16"/>
        </w:rPr>
      </w:pPr>
      <w:r w:rsidRPr="00C75CC3">
        <w:rPr>
          <w:rStyle w:val="FootnoteReference"/>
          <w:rFonts w:ascii="CGTimes" w:hAnsi="CGTimes"/>
          <w:sz w:val="16"/>
          <w:szCs w:val="16"/>
        </w:rPr>
        <w:t>1</w:t>
      </w:r>
      <w:r w:rsidRPr="00C75CC3">
        <w:rPr>
          <w:rFonts w:ascii="CGTimes" w:hAnsi="CGTimes"/>
          <w:sz w:val="16"/>
          <w:szCs w:val="16"/>
        </w:rPr>
        <w:t xml:space="preserve"> </w:t>
      </w:r>
      <w:r w:rsidRPr="00C75CC3">
        <w:rPr>
          <w:rFonts w:ascii="CGTimes" w:hAnsi="CGTimes"/>
          <w:i/>
          <w:sz w:val="16"/>
          <w:szCs w:val="16"/>
        </w:rPr>
        <w:t>Ky ligj është përafruar pjesërisht  me:</w:t>
      </w:r>
    </w:p>
    <w:p w:rsidR="003D3E84" w:rsidRPr="00C75CC3" w:rsidRDefault="003D3E84" w:rsidP="003D3E84">
      <w:pPr>
        <w:spacing w:after="200" w:line="276" w:lineRule="auto"/>
        <w:ind w:firstLine="720"/>
        <w:jc w:val="both"/>
        <w:rPr>
          <w:rStyle w:val="apple-converted-space"/>
          <w:rFonts w:ascii="CGTimes" w:hAnsi="CGTimes"/>
          <w:i/>
          <w:sz w:val="16"/>
          <w:szCs w:val="16"/>
        </w:rPr>
      </w:pPr>
      <w:r w:rsidRPr="00C75CC3">
        <w:rPr>
          <w:rFonts w:ascii="CGTimes" w:hAnsi="CGTimes"/>
          <w:bCs/>
          <w:i/>
          <w:sz w:val="16"/>
          <w:szCs w:val="16"/>
        </w:rPr>
        <w:t xml:space="preserve">Direktivën 1994/19/KE të Parlamentit Europian dhe të Këshillit, datë 30 maj 1994 </w:t>
      </w:r>
      <w:r w:rsidRPr="00C75CC3">
        <w:rPr>
          <w:rFonts w:ascii="CGTimes" w:hAnsi="CGTimes"/>
          <w:bCs/>
          <w:i/>
          <w:iCs/>
          <w:sz w:val="16"/>
          <w:szCs w:val="16"/>
        </w:rPr>
        <w:t>“Mbi skemat e garantimit të depozitave</w:t>
      </w:r>
      <w:r w:rsidRPr="00C75CC3">
        <w:rPr>
          <w:rFonts w:ascii="CGTimes" w:hAnsi="CGTimes"/>
          <w:bCs/>
          <w:i/>
          <w:sz w:val="16"/>
          <w:szCs w:val="16"/>
        </w:rPr>
        <w:t>”</w:t>
      </w:r>
      <w:r w:rsidRPr="00C75CC3">
        <w:rPr>
          <w:rFonts w:ascii="CGTimes" w:hAnsi="CGTimes"/>
          <w:i/>
          <w:sz w:val="16"/>
          <w:szCs w:val="16"/>
        </w:rPr>
        <w:t>, Numri CELEX: 31994L0019, Fletorja Zyrtare e  Bashkimit Europian, Seria L</w:t>
      </w:r>
      <w:r w:rsidRPr="00C75CC3">
        <w:rPr>
          <w:rFonts w:ascii="CGTimes" w:hAnsi="CGTimes"/>
          <w:sz w:val="16"/>
          <w:szCs w:val="16"/>
        </w:rPr>
        <w:t xml:space="preserve">, </w:t>
      </w:r>
      <w:r>
        <w:rPr>
          <w:rFonts w:ascii="CGTimes" w:hAnsi="CGTimes"/>
          <w:sz w:val="16"/>
          <w:szCs w:val="16"/>
        </w:rPr>
        <w:t>n</w:t>
      </w:r>
      <w:r w:rsidRPr="00C75CC3">
        <w:rPr>
          <w:rFonts w:ascii="CGTimes" w:hAnsi="CGTimes"/>
          <w:sz w:val="16"/>
          <w:szCs w:val="16"/>
        </w:rPr>
        <w:t xml:space="preserve">r. </w:t>
      </w:r>
      <w:r w:rsidRPr="00C75CC3">
        <w:rPr>
          <w:rStyle w:val="Emphasis"/>
          <w:rFonts w:ascii="CGTimes" w:hAnsi="CGTimes"/>
          <w:iCs w:val="0"/>
          <w:sz w:val="16"/>
          <w:szCs w:val="16"/>
        </w:rPr>
        <w:t>135,</w:t>
      </w:r>
      <w:r w:rsidRPr="00C75CC3">
        <w:rPr>
          <w:rStyle w:val="Emphasis"/>
          <w:rFonts w:ascii="CGTimes" w:hAnsi="CGTimes"/>
          <w:i w:val="0"/>
          <w:iCs w:val="0"/>
          <w:sz w:val="16"/>
          <w:szCs w:val="16"/>
        </w:rPr>
        <w:t xml:space="preserve"> </w:t>
      </w:r>
      <w:r w:rsidRPr="00C75CC3">
        <w:rPr>
          <w:rStyle w:val="Emphasis"/>
          <w:rFonts w:ascii="CGTimes" w:hAnsi="CGTimes"/>
          <w:iCs w:val="0"/>
          <w:sz w:val="16"/>
          <w:szCs w:val="16"/>
        </w:rPr>
        <w:t>datë</w:t>
      </w:r>
      <w:r w:rsidRPr="00C75CC3">
        <w:rPr>
          <w:rStyle w:val="Emphasis"/>
          <w:rFonts w:ascii="CGTimes" w:hAnsi="CGTimes"/>
          <w:iCs w:val="0"/>
          <w:sz w:val="16"/>
          <w:szCs w:val="16"/>
          <w:lang w:eastAsia="ja-JP"/>
        </w:rPr>
        <w:t xml:space="preserve"> </w:t>
      </w:r>
      <w:r w:rsidRPr="00C75CC3">
        <w:rPr>
          <w:rStyle w:val="Emphasis"/>
          <w:rFonts w:ascii="CGTimes" w:hAnsi="CGTimes"/>
          <w:iCs w:val="0"/>
          <w:sz w:val="16"/>
          <w:szCs w:val="16"/>
        </w:rPr>
        <w:t>31.5.1994, faqe 5 – 14, e ndryshuar nga Direktiva</w:t>
      </w:r>
      <w:r w:rsidRPr="00C75CC3">
        <w:rPr>
          <w:rStyle w:val="Emphasis"/>
          <w:rFonts w:ascii="CGTimes" w:hAnsi="CGTimes"/>
          <w:i w:val="0"/>
          <w:iCs w:val="0"/>
          <w:sz w:val="16"/>
          <w:szCs w:val="16"/>
        </w:rPr>
        <w:t xml:space="preserve"> </w:t>
      </w:r>
      <w:r w:rsidRPr="00C75CC3">
        <w:rPr>
          <w:rFonts w:ascii="CGTimes" w:hAnsi="CGTimes"/>
          <w:i/>
          <w:sz w:val="16"/>
          <w:szCs w:val="16"/>
        </w:rPr>
        <w:t xml:space="preserve">2005/1/KE  e Parlamentit Europian dhe e Këshillit, datë 9 mars 2005, “që amendon Direktivat 73/239/KEE, 85/611/KEE, 91/675/KEE, 92/49/KEE, 93/6/KEE dhe </w:t>
      </w:r>
      <w:r>
        <w:rPr>
          <w:rFonts w:ascii="CGTimes" w:hAnsi="CGTimes"/>
          <w:i/>
          <w:sz w:val="16"/>
          <w:szCs w:val="16"/>
        </w:rPr>
        <w:t>d</w:t>
      </w:r>
      <w:r w:rsidRPr="00C75CC3">
        <w:rPr>
          <w:rFonts w:ascii="CGTimes" w:hAnsi="CGTimes"/>
          <w:i/>
          <w:sz w:val="16"/>
          <w:szCs w:val="16"/>
        </w:rPr>
        <w:t>irektivat 94/19/KE, 98/78/KE, 2000/12/KE, 2001/34/KE, 2002/83/KE dhe 2002/87/KE, me q</w:t>
      </w:r>
      <w:r>
        <w:rPr>
          <w:rFonts w:ascii="CGTimes" w:hAnsi="CGTimes"/>
          <w:i/>
          <w:sz w:val="16"/>
          <w:szCs w:val="16"/>
        </w:rPr>
        <w:t>ë</w:t>
      </w:r>
      <w:r w:rsidRPr="00C75CC3">
        <w:rPr>
          <w:rFonts w:ascii="CGTimes" w:hAnsi="CGTimes"/>
          <w:i/>
          <w:sz w:val="16"/>
          <w:szCs w:val="16"/>
        </w:rPr>
        <w:t xml:space="preserve">llim për të krijuar një strukturë të re organizative për Komisionet e Shërbimeve Financiare”, Numri CELEX: 32005L0001, Fletorja Zyrtare e  Bashkimit Europian, Seria L </w:t>
      </w:r>
      <w:r>
        <w:rPr>
          <w:rFonts w:ascii="CGTimes" w:hAnsi="CGTimes"/>
          <w:i/>
          <w:sz w:val="16"/>
          <w:szCs w:val="16"/>
        </w:rPr>
        <w:t>n</w:t>
      </w:r>
      <w:r w:rsidRPr="00C75CC3">
        <w:rPr>
          <w:rFonts w:ascii="CGTimes" w:hAnsi="CGTimes"/>
          <w:i/>
          <w:sz w:val="16"/>
          <w:szCs w:val="16"/>
        </w:rPr>
        <w:t>r.</w:t>
      </w:r>
      <w:r>
        <w:rPr>
          <w:rFonts w:ascii="CGTimes" w:hAnsi="CGTimes"/>
          <w:i/>
          <w:sz w:val="16"/>
          <w:szCs w:val="16"/>
        </w:rPr>
        <w:t xml:space="preserve"> </w:t>
      </w:r>
      <w:r w:rsidRPr="00C75CC3">
        <w:rPr>
          <w:rStyle w:val="Emphasis"/>
          <w:rFonts w:ascii="CGTimes" w:hAnsi="CGTimes"/>
          <w:i w:val="0"/>
          <w:iCs w:val="0"/>
          <w:sz w:val="16"/>
          <w:szCs w:val="16"/>
        </w:rPr>
        <w:t xml:space="preserve">79, </w:t>
      </w:r>
      <w:r w:rsidRPr="00C75CC3">
        <w:rPr>
          <w:rStyle w:val="Emphasis"/>
          <w:rFonts w:ascii="CGTimes" w:hAnsi="CGTimes"/>
          <w:iCs w:val="0"/>
          <w:sz w:val="16"/>
          <w:szCs w:val="16"/>
        </w:rPr>
        <w:t>datë 24.3.2005,</w:t>
      </w:r>
      <w:r w:rsidRPr="00C75CC3">
        <w:rPr>
          <w:rStyle w:val="Emphasis"/>
          <w:rFonts w:ascii="CGTimes" w:hAnsi="CGTimes"/>
          <w:i w:val="0"/>
          <w:iCs w:val="0"/>
          <w:sz w:val="16"/>
          <w:szCs w:val="16"/>
        </w:rPr>
        <w:t xml:space="preserve"> </w:t>
      </w:r>
      <w:r w:rsidRPr="00C75CC3">
        <w:rPr>
          <w:rStyle w:val="Emphasis"/>
          <w:rFonts w:ascii="CGTimes" w:hAnsi="CGTimes"/>
          <w:iCs w:val="0"/>
          <w:sz w:val="16"/>
          <w:szCs w:val="16"/>
        </w:rPr>
        <w:t xml:space="preserve">faqe 9 – 17 dhe nga Direktiva 2009/14/KE, </w:t>
      </w:r>
      <w:r w:rsidRPr="00C75CC3">
        <w:rPr>
          <w:rFonts w:ascii="CGTimes" w:hAnsi="CGTimes"/>
          <w:i/>
          <w:sz w:val="16"/>
          <w:szCs w:val="16"/>
        </w:rPr>
        <w:t>e Parlamentit Europian dhe e Këshillit,</w:t>
      </w:r>
      <w:r w:rsidRPr="00C75CC3">
        <w:rPr>
          <w:rStyle w:val="Emphasis"/>
          <w:rFonts w:ascii="CGTimes" w:hAnsi="CGTimes"/>
          <w:i w:val="0"/>
          <w:iCs w:val="0"/>
          <w:sz w:val="16"/>
          <w:szCs w:val="16"/>
        </w:rPr>
        <w:t xml:space="preserve"> </w:t>
      </w:r>
      <w:r w:rsidRPr="00C75CC3">
        <w:rPr>
          <w:rStyle w:val="Emphasis"/>
          <w:rFonts w:ascii="CGTimes" w:hAnsi="CGTimes"/>
          <w:iCs w:val="0"/>
          <w:sz w:val="16"/>
          <w:szCs w:val="16"/>
        </w:rPr>
        <w:t xml:space="preserve">datë 11 mars 2009, </w:t>
      </w:r>
      <w:bookmarkStart w:id="1" w:name="content"/>
      <w:r w:rsidRPr="00C75CC3">
        <w:rPr>
          <w:rStyle w:val="Emphasis"/>
          <w:rFonts w:ascii="CGTimes" w:hAnsi="CGTimes"/>
          <w:iCs w:val="0"/>
          <w:sz w:val="16"/>
          <w:szCs w:val="16"/>
        </w:rPr>
        <w:t>“që ndryshon</w:t>
      </w:r>
      <w:r w:rsidRPr="00C75CC3">
        <w:rPr>
          <w:rStyle w:val="Emphasis"/>
          <w:rFonts w:ascii="CGTimes" w:hAnsi="CGTimes"/>
          <w:i w:val="0"/>
          <w:iCs w:val="0"/>
          <w:sz w:val="16"/>
          <w:szCs w:val="16"/>
        </w:rPr>
        <w:t xml:space="preserve"> </w:t>
      </w:r>
      <w:r w:rsidRPr="00C75CC3">
        <w:rPr>
          <w:rFonts w:ascii="CGTimes" w:hAnsi="CGTimes"/>
          <w:i/>
          <w:sz w:val="16"/>
          <w:szCs w:val="16"/>
        </w:rPr>
        <w:t>Direktivën 94/19/KE “Mbi skemat e garantimit të depozitave lidhur me nivelin e mbulimit dhe vonesën e pagimit</w:t>
      </w:r>
      <w:r w:rsidRPr="00C75CC3">
        <w:rPr>
          <w:rStyle w:val="Emphasis"/>
          <w:rFonts w:ascii="CGTimes" w:hAnsi="CGTimes"/>
          <w:i w:val="0"/>
          <w:iCs w:val="0"/>
          <w:sz w:val="16"/>
          <w:szCs w:val="16"/>
        </w:rPr>
        <w:t xml:space="preserve">”, </w:t>
      </w:r>
      <w:r w:rsidRPr="00C75CC3">
        <w:rPr>
          <w:rFonts w:ascii="CGTimes" w:hAnsi="CGTimes"/>
          <w:i/>
          <w:sz w:val="16"/>
          <w:szCs w:val="16"/>
        </w:rPr>
        <w:t>Numri CELEX : 32009L0014</w:t>
      </w:r>
      <w:bookmarkEnd w:id="1"/>
      <w:r w:rsidRPr="00C75CC3">
        <w:rPr>
          <w:rFonts w:ascii="CGTimes" w:hAnsi="CGTimes"/>
          <w:i/>
          <w:sz w:val="16"/>
          <w:szCs w:val="16"/>
        </w:rPr>
        <w:t xml:space="preserve">, Fletorja Zyrtare e Bashkimit Europian, Seria L, </w:t>
      </w:r>
      <w:r>
        <w:rPr>
          <w:rFonts w:ascii="CGTimes" w:hAnsi="CGTimes"/>
          <w:i/>
          <w:sz w:val="16"/>
          <w:szCs w:val="16"/>
        </w:rPr>
        <w:t>n</w:t>
      </w:r>
      <w:r w:rsidRPr="00C75CC3">
        <w:rPr>
          <w:rFonts w:ascii="CGTimes" w:hAnsi="CGTimes"/>
          <w:i/>
          <w:sz w:val="16"/>
          <w:szCs w:val="16"/>
        </w:rPr>
        <w:t>r.</w:t>
      </w:r>
      <w:r>
        <w:rPr>
          <w:rFonts w:ascii="CGTimes" w:hAnsi="CGTimes"/>
          <w:i/>
          <w:sz w:val="16"/>
          <w:szCs w:val="16"/>
        </w:rPr>
        <w:t xml:space="preserve"> </w:t>
      </w:r>
      <w:r w:rsidRPr="00C75CC3">
        <w:rPr>
          <w:rStyle w:val="Emphasis"/>
          <w:rFonts w:ascii="CGTimes" w:hAnsi="CGTimes"/>
          <w:i w:val="0"/>
          <w:iCs w:val="0"/>
          <w:sz w:val="16"/>
          <w:szCs w:val="16"/>
        </w:rPr>
        <w:t>68</w:t>
      </w:r>
      <w:r w:rsidRPr="00C75CC3">
        <w:rPr>
          <w:rStyle w:val="Emphasis"/>
          <w:rFonts w:ascii="CGTimes" w:hAnsi="CGTimes"/>
          <w:iCs w:val="0"/>
          <w:sz w:val="16"/>
          <w:szCs w:val="16"/>
        </w:rPr>
        <w:t>, datë 13.3.2009, faqe 3–7.</w:t>
      </w:r>
    </w:p>
    <w:p w:rsidR="003D3E84" w:rsidRDefault="003D3E84" w:rsidP="003D3E84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D3E84"/>
    <w:rsid w:val="003D3E84"/>
    <w:rsid w:val="005D2C6A"/>
    <w:rsid w:val="009D4B90"/>
    <w:rsid w:val="00CD02D1"/>
    <w:rsid w:val="00F55599"/>
    <w:rsid w:val="00F7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14B4E06-E688-4C93-9495-C343C457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E84"/>
    <w:rPr>
      <w:rFonts w:ascii="Times New Roman" w:eastAsia="MS Mincho" w:hAnsi="Times New Roman"/>
      <w:sz w:val="24"/>
      <w:szCs w:val="24"/>
      <w:lang w:val="sq-A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D3E8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link w:val="NeniNrChar"/>
    <w:rsid w:val="003D3E84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3D3E8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3D3E8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D3E8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3D3E8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D3E8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D3E8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3D3E8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D3E8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D3E8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eniTitull">
    <w:name w:val="Neni_Titull"/>
    <w:next w:val="Normal"/>
    <w:rsid w:val="003D3E84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eniNrChar">
    <w:name w:val="Neni_Nr Char"/>
    <w:basedOn w:val="DefaultParagraphFont"/>
    <w:link w:val="NeniNr"/>
    <w:rsid w:val="003D3E84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styleId="Emphasis">
    <w:name w:val="Emphasis"/>
    <w:qFormat/>
    <w:rsid w:val="003D3E84"/>
    <w:rPr>
      <w:i/>
      <w:iCs/>
    </w:rPr>
  </w:style>
  <w:style w:type="paragraph" w:styleId="FootnoteText">
    <w:name w:val="footnote text"/>
    <w:basedOn w:val="Normal"/>
    <w:link w:val="FootnoteTextChar"/>
    <w:semiHidden/>
    <w:rsid w:val="003D3E84"/>
    <w:rPr>
      <w:rFonts w:eastAsia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3D3E8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3D3E84"/>
    <w:rPr>
      <w:vertAlign w:val="superscript"/>
    </w:rPr>
  </w:style>
  <w:style w:type="character" w:customStyle="1" w:styleId="apple-converted-space">
    <w:name w:val="apple-converted-space"/>
    <w:basedOn w:val="DefaultParagraphFont"/>
    <w:rsid w:val="003D3E84"/>
  </w:style>
  <w:style w:type="paragraph" w:customStyle="1" w:styleId="Shpallja">
    <w:name w:val="Shpallja"/>
    <w:rsid w:val="003D3E84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2298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2019-03-18T15:23:00Z</dcterms:created>
  <dcterms:modified xsi:type="dcterms:W3CDTF">2019-03-18T15:23:00Z</dcterms:modified>
</cp:coreProperties>
</file>