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7EE5" w:rsidRPr="00B44F6F" w:rsidRDefault="000F7EE5" w:rsidP="000F7EE5">
      <w:pPr>
        <w:pStyle w:val="Akti"/>
        <w:keepNext w:val="0"/>
        <w:rPr>
          <w:sz w:val="21"/>
          <w:szCs w:val="21"/>
          <w:lang w:val="sq-AL"/>
        </w:rPr>
      </w:pPr>
      <w:bookmarkStart w:id="0" w:name="_GoBack"/>
      <w:bookmarkEnd w:id="0"/>
      <w:r w:rsidRPr="00B44F6F">
        <w:rPr>
          <w:sz w:val="21"/>
          <w:szCs w:val="21"/>
          <w:lang w:val="sq-AL"/>
        </w:rPr>
        <w:t>LIGJ</w:t>
      </w:r>
    </w:p>
    <w:p w:rsidR="000F7EE5" w:rsidRPr="00B44F6F" w:rsidRDefault="000F7EE5" w:rsidP="000F7EE5">
      <w:pPr>
        <w:pStyle w:val="NumriData"/>
        <w:keepNext w:val="0"/>
        <w:rPr>
          <w:sz w:val="21"/>
          <w:szCs w:val="21"/>
          <w:lang w:val="sq-AL"/>
        </w:rPr>
      </w:pPr>
      <w:r w:rsidRPr="00B44F6F">
        <w:rPr>
          <w:sz w:val="21"/>
          <w:szCs w:val="21"/>
          <w:lang w:val="sq-AL"/>
        </w:rPr>
        <w:t>Nr. 13/2013</w:t>
      </w:r>
    </w:p>
    <w:p w:rsidR="000F7EE5" w:rsidRPr="00B44F6F" w:rsidRDefault="000F7EE5" w:rsidP="000F7EE5">
      <w:pPr>
        <w:pStyle w:val="Titulli"/>
        <w:keepNext w:val="0"/>
        <w:rPr>
          <w:sz w:val="21"/>
          <w:szCs w:val="21"/>
          <w:lang w:val="sq-AL"/>
        </w:rPr>
      </w:pPr>
      <w:r w:rsidRPr="00B44F6F">
        <w:rPr>
          <w:sz w:val="21"/>
          <w:szCs w:val="21"/>
          <w:lang w:val="sq-AL"/>
        </w:rPr>
        <w:br/>
        <w:t>PËR DISA SHTESA DHE NDRYSHIME NË LIGJIN NR. 8734, DATË 1.2.2001 “PËR GARANTIMIN E SIGURISË SË PUNËS TË PAJISJEVE DHE TË INSTALIMEVE ELEKTRIKE”, TË NDRYSHUAR</w:t>
      </w:r>
    </w:p>
    <w:p w:rsidR="000F7EE5" w:rsidRPr="00B44F6F" w:rsidRDefault="000F7EE5" w:rsidP="000F7EE5">
      <w:pPr>
        <w:pStyle w:val="Paragrafi"/>
        <w:rPr>
          <w:sz w:val="21"/>
          <w:szCs w:val="21"/>
          <w:lang w:val="sq-AL"/>
        </w:rPr>
      </w:pPr>
    </w:p>
    <w:p w:rsidR="000F7EE5" w:rsidRPr="00B44F6F" w:rsidRDefault="000F7EE5" w:rsidP="000F7EE5">
      <w:pPr>
        <w:pStyle w:val="Paragrafi"/>
        <w:rPr>
          <w:sz w:val="21"/>
          <w:szCs w:val="21"/>
          <w:lang w:val="sq-AL"/>
        </w:rPr>
      </w:pPr>
      <w:r w:rsidRPr="00B44F6F">
        <w:rPr>
          <w:sz w:val="21"/>
          <w:szCs w:val="21"/>
          <w:lang w:val="sq-AL"/>
        </w:rPr>
        <w:t xml:space="preserve">Në mbështetje të neneve 78 dhe 83 pika 1 të Kushtetutës, me propozimin e Këshillit të Ministrave, </w:t>
      </w:r>
    </w:p>
    <w:p w:rsidR="000F7EE5" w:rsidRPr="00B44F6F" w:rsidRDefault="000F7EE5" w:rsidP="000F7EE5">
      <w:pPr>
        <w:pStyle w:val="Paragrafi"/>
        <w:rPr>
          <w:sz w:val="21"/>
          <w:szCs w:val="21"/>
          <w:lang w:val="sq-AL"/>
        </w:rPr>
      </w:pPr>
    </w:p>
    <w:p w:rsidR="000F7EE5" w:rsidRPr="00B44F6F" w:rsidRDefault="000F7EE5" w:rsidP="000F7EE5">
      <w:pPr>
        <w:pStyle w:val="Institucioni"/>
        <w:keepNext w:val="0"/>
        <w:rPr>
          <w:sz w:val="21"/>
          <w:szCs w:val="21"/>
          <w:lang w:val="sq-AL"/>
        </w:rPr>
      </w:pPr>
      <w:r w:rsidRPr="00B44F6F">
        <w:rPr>
          <w:sz w:val="21"/>
          <w:szCs w:val="21"/>
          <w:lang w:val="sq-AL"/>
        </w:rPr>
        <w:t>KUVENDI</w:t>
      </w:r>
    </w:p>
    <w:p w:rsidR="000F7EE5" w:rsidRPr="00B44F6F" w:rsidRDefault="000F7EE5" w:rsidP="000F7EE5">
      <w:pPr>
        <w:pStyle w:val="Institucioni"/>
        <w:keepNext w:val="0"/>
        <w:rPr>
          <w:sz w:val="21"/>
          <w:szCs w:val="21"/>
          <w:lang w:val="sq-AL"/>
        </w:rPr>
      </w:pPr>
      <w:r w:rsidRPr="00B44F6F">
        <w:rPr>
          <w:sz w:val="21"/>
          <w:szCs w:val="21"/>
          <w:lang w:val="sq-AL"/>
        </w:rPr>
        <w:t>I REPUBLIKËS SË SHQIPËRISË</w:t>
      </w:r>
    </w:p>
    <w:p w:rsidR="000F7EE5" w:rsidRPr="00B44F6F" w:rsidRDefault="000F7EE5" w:rsidP="000F7EE5">
      <w:pPr>
        <w:pStyle w:val="Paragrafi"/>
        <w:rPr>
          <w:sz w:val="21"/>
          <w:szCs w:val="21"/>
          <w:lang w:val="sq-AL"/>
        </w:rPr>
      </w:pPr>
    </w:p>
    <w:p w:rsidR="000F7EE5" w:rsidRPr="00B44F6F" w:rsidRDefault="000F7EE5" w:rsidP="000F7EE5">
      <w:pPr>
        <w:pStyle w:val="VENDOSI"/>
        <w:keepNext w:val="0"/>
        <w:rPr>
          <w:sz w:val="21"/>
          <w:szCs w:val="21"/>
          <w:lang w:val="sq-AL"/>
        </w:rPr>
      </w:pPr>
      <w:r w:rsidRPr="00B44F6F">
        <w:rPr>
          <w:sz w:val="21"/>
          <w:szCs w:val="21"/>
          <w:lang w:val="sq-AL"/>
        </w:rPr>
        <w:t>VENDOSI:</w:t>
      </w:r>
    </w:p>
    <w:p w:rsidR="000F7EE5" w:rsidRPr="00B44F6F" w:rsidRDefault="000F7EE5" w:rsidP="000F7EE5">
      <w:pPr>
        <w:pStyle w:val="Paragrafi"/>
        <w:rPr>
          <w:sz w:val="16"/>
          <w:szCs w:val="21"/>
          <w:lang w:val="sq-AL"/>
        </w:rPr>
      </w:pPr>
    </w:p>
    <w:p w:rsidR="000F7EE5" w:rsidRPr="00B44F6F" w:rsidRDefault="000F7EE5" w:rsidP="000F7EE5">
      <w:pPr>
        <w:pStyle w:val="Paragrafi"/>
        <w:rPr>
          <w:sz w:val="21"/>
          <w:szCs w:val="21"/>
          <w:lang w:val="sq-AL"/>
        </w:rPr>
      </w:pPr>
      <w:r w:rsidRPr="00B44F6F">
        <w:rPr>
          <w:sz w:val="21"/>
          <w:szCs w:val="21"/>
          <w:lang w:val="sq-AL"/>
        </w:rPr>
        <w:t>Në ligjin nr. 8734, datë 1.2.2001 “Për garantimin e sigurisë së punës të pajisjeve dhe të instalimeve elektrike”, të ndryshuar, bëhen këto shtesa dhe ndryshime:</w:t>
      </w:r>
    </w:p>
    <w:p w:rsidR="000F7EE5" w:rsidRPr="00B44F6F" w:rsidRDefault="000F7EE5" w:rsidP="000F7EE5">
      <w:pPr>
        <w:pStyle w:val="Paragrafi"/>
        <w:rPr>
          <w:sz w:val="12"/>
          <w:szCs w:val="21"/>
          <w:lang w:val="sq-AL"/>
        </w:rPr>
      </w:pPr>
    </w:p>
    <w:p w:rsidR="000F7EE5" w:rsidRPr="00B44F6F" w:rsidRDefault="000F7EE5" w:rsidP="000F7EE5">
      <w:pPr>
        <w:pStyle w:val="NeniNr"/>
        <w:keepNext w:val="0"/>
        <w:rPr>
          <w:sz w:val="21"/>
          <w:szCs w:val="21"/>
          <w:lang w:val="sq-AL"/>
        </w:rPr>
      </w:pPr>
      <w:r w:rsidRPr="00B44F6F">
        <w:rPr>
          <w:sz w:val="21"/>
          <w:szCs w:val="21"/>
          <w:lang w:val="sq-AL"/>
        </w:rPr>
        <w:t>Neni 1</w:t>
      </w:r>
    </w:p>
    <w:p w:rsidR="000F7EE5" w:rsidRPr="00B44F6F" w:rsidRDefault="000F7EE5" w:rsidP="000F7EE5">
      <w:pPr>
        <w:pStyle w:val="Paragrafi"/>
        <w:rPr>
          <w:sz w:val="14"/>
          <w:szCs w:val="21"/>
          <w:lang w:val="sq-AL"/>
        </w:rPr>
      </w:pPr>
    </w:p>
    <w:p w:rsidR="000F7EE5" w:rsidRPr="00B44F6F" w:rsidRDefault="000F7EE5" w:rsidP="000F7EE5">
      <w:pPr>
        <w:pStyle w:val="Paragrafi"/>
        <w:rPr>
          <w:sz w:val="21"/>
          <w:szCs w:val="21"/>
          <w:lang w:val="sq-AL"/>
        </w:rPr>
      </w:pPr>
      <w:r w:rsidRPr="00B44F6F">
        <w:rPr>
          <w:sz w:val="21"/>
          <w:szCs w:val="21"/>
          <w:lang w:val="sq-AL"/>
        </w:rPr>
        <w:t>Në nenin 2 pika 2 dhe kudo në ligj emërtimi “Inspektorati Qendror Teknik”  zëvendësohet me emërtimin “Inspektorati Shtetëror Përgjegjës për Sigurinë e Pajisjeve dhe Instalimeve Elektrike (në vijim në tekstin e ligjit Inspektorati)” dhe shkurtimet “IQT” e  “IPIE” zëvendësohen me fjalën “Inspektorati”.</w:t>
      </w:r>
    </w:p>
    <w:p w:rsidR="000F7EE5" w:rsidRPr="00B44F6F" w:rsidRDefault="000F7EE5" w:rsidP="000F7EE5">
      <w:pPr>
        <w:pStyle w:val="NeniNr"/>
        <w:keepNext w:val="0"/>
        <w:rPr>
          <w:sz w:val="21"/>
          <w:szCs w:val="21"/>
          <w:lang w:val="sq-AL"/>
        </w:rPr>
      </w:pPr>
      <w:r w:rsidRPr="00B44F6F">
        <w:rPr>
          <w:sz w:val="21"/>
          <w:szCs w:val="21"/>
          <w:lang w:val="sq-AL"/>
        </w:rPr>
        <w:t>Neni 2</w:t>
      </w:r>
    </w:p>
    <w:p w:rsidR="000F7EE5" w:rsidRPr="00B44F6F" w:rsidRDefault="000F7EE5" w:rsidP="000F7EE5">
      <w:pPr>
        <w:pStyle w:val="Paragrafi"/>
        <w:rPr>
          <w:sz w:val="21"/>
          <w:szCs w:val="21"/>
          <w:lang w:val="sq-AL"/>
        </w:rPr>
      </w:pPr>
    </w:p>
    <w:p w:rsidR="000F7EE5" w:rsidRPr="00B44F6F" w:rsidRDefault="000F7EE5" w:rsidP="000F7EE5">
      <w:pPr>
        <w:pStyle w:val="Paragrafi"/>
        <w:rPr>
          <w:sz w:val="21"/>
          <w:szCs w:val="21"/>
          <w:lang w:val="sq-AL"/>
        </w:rPr>
      </w:pPr>
      <w:r w:rsidRPr="00B44F6F">
        <w:rPr>
          <w:sz w:val="21"/>
          <w:szCs w:val="21"/>
          <w:lang w:val="sq-AL"/>
        </w:rPr>
        <w:t>Në nenin 2 bëhen këto ndryshime dhe shtesa:</w:t>
      </w:r>
    </w:p>
    <w:p w:rsidR="000F7EE5" w:rsidRPr="00B44F6F" w:rsidRDefault="000F7EE5" w:rsidP="000F7EE5">
      <w:pPr>
        <w:pStyle w:val="Paragrafi"/>
        <w:rPr>
          <w:sz w:val="21"/>
          <w:szCs w:val="21"/>
          <w:lang w:val="sq-AL"/>
        </w:rPr>
      </w:pPr>
      <w:r w:rsidRPr="00B44F6F">
        <w:rPr>
          <w:sz w:val="21"/>
          <w:szCs w:val="21"/>
          <w:lang w:val="sq-AL"/>
        </w:rPr>
        <w:t xml:space="preserve">1. Pika 1 ndryshohet si më poshtë:  </w:t>
      </w:r>
    </w:p>
    <w:p w:rsidR="000F7EE5" w:rsidRPr="00B44F6F" w:rsidRDefault="000F7EE5" w:rsidP="000F7EE5">
      <w:pPr>
        <w:pStyle w:val="Paragrafi"/>
        <w:rPr>
          <w:sz w:val="21"/>
          <w:szCs w:val="21"/>
          <w:lang w:val="sq-AL"/>
        </w:rPr>
      </w:pPr>
      <w:r w:rsidRPr="00B44F6F">
        <w:rPr>
          <w:sz w:val="21"/>
          <w:szCs w:val="21"/>
          <w:lang w:val="sq-AL"/>
        </w:rPr>
        <w:t>“1. “Vendosje në treg” ka të njëjtin kuptim si edhe në ligjin nr. 10 489, datë 15.12.2011 “Për tregtimin dhe mbikëqyrjen e tregut të produkteve joushqimore”</w:t>
      </w:r>
      <w:r>
        <w:rPr>
          <w:sz w:val="21"/>
          <w:szCs w:val="21"/>
          <w:lang w:val="sq-AL"/>
        </w:rPr>
        <w:t>.</w:t>
      </w:r>
      <w:r w:rsidRPr="00B44F6F">
        <w:rPr>
          <w:sz w:val="21"/>
          <w:szCs w:val="21"/>
          <w:lang w:val="sq-AL"/>
        </w:rPr>
        <w:t xml:space="preserve">”. </w:t>
      </w:r>
    </w:p>
    <w:p w:rsidR="000F7EE5" w:rsidRPr="00B44F6F" w:rsidRDefault="000F7EE5" w:rsidP="000F7EE5">
      <w:pPr>
        <w:pStyle w:val="Paragrafi"/>
        <w:rPr>
          <w:sz w:val="21"/>
          <w:szCs w:val="21"/>
          <w:lang w:val="sq-AL"/>
        </w:rPr>
      </w:pPr>
      <w:r w:rsidRPr="00B44F6F">
        <w:rPr>
          <w:sz w:val="21"/>
          <w:szCs w:val="21"/>
          <w:lang w:val="sq-AL"/>
        </w:rPr>
        <w:t>2. Në pikën 3 fjala “thelbësore” hiqet.</w:t>
      </w:r>
    </w:p>
    <w:p w:rsidR="000F7EE5" w:rsidRPr="00B44F6F" w:rsidRDefault="000F7EE5" w:rsidP="000F7EE5">
      <w:pPr>
        <w:pStyle w:val="Paragrafi"/>
        <w:rPr>
          <w:sz w:val="21"/>
          <w:szCs w:val="21"/>
          <w:lang w:val="sq-AL"/>
        </w:rPr>
      </w:pPr>
      <w:r w:rsidRPr="00B44F6F">
        <w:rPr>
          <w:sz w:val="21"/>
          <w:szCs w:val="21"/>
          <w:lang w:val="sq-AL"/>
        </w:rPr>
        <w:t xml:space="preserve">3. Në pikën 4, pas shkronjës “b” shtohet shkronja “c” me këtë përmbajtje: </w:t>
      </w:r>
    </w:p>
    <w:p w:rsidR="000F7EE5" w:rsidRPr="00B44F6F" w:rsidRDefault="000F7EE5" w:rsidP="000F7EE5">
      <w:pPr>
        <w:pStyle w:val="Paragrafi"/>
        <w:rPr>
          <w:sz w:val="21"/>
          <w:szCs w:val="21"/>
          <w:lang w:val="sq-AL"/>
        </w:rPr>
      </w:pPr>
      <w:r w:rsidRPr="00B44F6F">
        <w:rPr>
          <w:sz w:val="21"/>
          <w:szCs w:val="21"/>
          <w:lang w:val="sq-AL"/>
        </w:rPr>
        <w:t xml:space="preserve">“c) Instalime të tensionit të ulët, të projektuara për tension alternativ 50 – 1 000 volt dhe për tension të vazhduar 75 – 1 500 volt.”. </w:t>
      </w:r>
      <w:r w:rsidRPr="00B44F6F">
        <w:rPr>
          <w:color w:val="FF0000"/>
          <w:sz w:val="21"/>
          <w:szCs w:val="21"/>
          <w:lang w:val="sq-AL"/>
        </w:rPr>
        <w:tab/>
      </w:r>
    </w:p>
    <w:p w:rsidR="000F7EE5" w:rsidRPr="00B44F6F" w:rsidRDefault="000F7EE5" w:rsidP="000F7EE5">
      <w:pPr>
        <w:pStyle w:val="Paragrafi"/>
        <w:rPr>
          <w:sz w:val="21"/>
          <w:szCs w:val="21"/>
          <w:lang w:val="sq-AL"/>
        </w:rPr>
      </w:pPr>
      <w:r w:rsidRPr="00B44F6F">
        <w:rPr>
          <w:sz w:val="21"/>
          <w:szCs w:val="21"/>
          <w:lang w:val="sq-AL"/>
        </w:rPr>
        <w:t xml:space="preserve">4. Kudo në këtë nen emërtimi “Inspektorati Shtetëror i Punës” zëvendësohet me emërtimin “Inspektorati shtetëror që mbulon fushën e punës”. </w:t>
      </w:r>
    </w:p>
    <w:p w:rsidR="000F7EE5" w:rsidRPr="00B44F6F" w:rsidRDefault="000F7EE5" w:rsidP="000F7EE5">
      <w:pPr>
        <w:pStyle w:val="Paragrafi"/>
        <w:rPr>
          <w:sz w:val="21"/>
          <w:szCs w:val="21"/>
          <w:lang w:val="sq-AL"/>
        </w:rPr>
      </w:pPr>
    </w:p>
    <w:p w:rsidR="000F7EE5" w:rsidRPr="00B44F6F" w:rsidRDefault="000F7EE5" w:rsidP="000F7EE5">
      <w:pPr>
        <w:pStyle w:val="NeniNr"/>
        <w:keepNext w:val="0"/>
        <w:rPr>
          <w:sz w:val="21"/>
          <w:szCs w:val="21"/>
          <w:lang w:val="sq-AL"/>
        </w:rPr>
      </w:pPr>
      <w:r w:rsidRPr="00B44F6F">
        <w:rPr>
          <w:sz w:val="21"/>
          <w:szCs w:val="21"/>
          <w:lang w:val="sq-AL"/>
        </w:rPr>
        <w:t>Neni 3</w:t>
      </w:r>
    </w:p>
    <w:p w:rsidR="000F7EE5" w:rsidRPr="00B44F6F" w:rsidRDefault="000F7EE5" w:rsidP="000F7EE5">
      <w:pPr>
        <w:pStyle w:val="Paragrafi"/>
        <w:rPr>
          <w:sz w:val="21"/>
          <w:szCs w:val="21"/>
          <w:lang w:val="sq-AL"/>
        </w:rPr>
      </w:pPr>
    </w:p>
    <w:p w:rsidR="000F7EE5" w:rsidRPr="00B44F6F" w:rsidRDefault="000F7EE5" w:rsidP="000F7EE5">
      <w:pPr>
        <w:pStyle w:val="Paragrafi"/>
        <w:rPr>
          <w:sz w:val="21"/>
          <w:szCs w:val="21"/>
          <w:lang w:val="sq-AL"/>
        </w:rPr>
      </w:pPr>
      <w:r w:rsidRPr="00B44F6F">
        <w:rPr>
          <w:sz w:val="21"/>
          <w:szCs w:val="21"/>
          <w:lang w:val="sq-AL"/>
        </w:rPr>
        <w:t>Neni 3 ndryshohet si më poshtë:</w:t>
      </w:r>
    </w:p>
    <w:p w:rsidR="000F7EE5" w:rsidRPr="00B44F6F" w:rsidRDefault="000F7EE5" w:rsidP="000F7EE5">
      <w:pPr>
        <w:pStyle w:val="Paragrafi"/>
        <w:rPr>
          <w:sz w:val="21"/>
          <w:szCs w:val="21"/>
          <w:lang w:val="sq-AL"/>
        </w:rPr>
      </w:pPr>
    </w:p>
    <w:p w:rsidR="000F7EE5" w:rsidRPr="00B44F6F" w:rsidRDefault="000F7EE5" w:rsidP="000F7EE5">
      <w:pPr>
        <w:pStyle w:val="NeniNr"/>
        <w:keepNext w:val="0"/>
        <w:rPr>
          <w:sz w:val="21"/>
          <w:szCs w:val="21"/>
          <w:lang w:val="sq-AL"/>
        </w:rPr>
      </w:pPr>
      <w:r w:rsidRPr="00B44F6F">
        <w:rPr>
          <w:sz w:val="21"/>
          <w:szCs w:val="21"/>
          <w:lang w:val="sq-AL"/>
        </w:rPr>
        <w:t>“Neni 3</w:t>
      </w:r>
    </w:p>
    <w:p w:rsidR="000F7EE5" w:rsidRPr="00B44F6F" w:rsidRDefault="000F7EE5" w:rsidP="000F7EE5">
      <w:pPr>
        <w:pStyle w:val="NeniTitull"/>
        <w:keepNext w:val="0"/>
        <w:rPr>
          <w:sz w:val="21"/>
          <w:szCs w:val="21"/>
          <w:lang w:val="sq-AL"/>
        </w:rPr>
      </w:pPr>
      <w:r w:rsidRPr="00B44F6F">
        <w:rPr>
          <w:sz w:val="21"/>
          <w:szCs w:val="21"/>
          <w:lang w:val="sq-AL"/>
        </w:rPr>
        <w:t>Kërkesat e sigurisë</w:t>
      </w:r>
    </w:p>
    <w:p w:rsidR="000F7EE5" w:rsidRPr="00B44F6F" w:rsidRDefault="000F7EE5" w:rsidP="000F7EE5">
      <w:pPr>
        <w:pStyle w:val="Paragrafi"/>
        <w:rPr>
          <w:sz w:val="21"/>
          <w:szCs w:val="21"/>
          <w:lang w:val="sq-AL"/>
        </w:rPr>
      </w:pPr>
    </w:p>
    <w:p w:rsidR="000F7EE5" w:rsidRPr="00B44F6F" w:rsidRDefault="000F7EE5" w:rsidP="000F7EE5">
      <w:pPr>
        <w:pStyle w:val="Paragrafi"/>
        <w:rPr>
          <w:sz w:val="21"/>
          <w:szCs w:val="21"/>
          <w:lang w:val="sq-AL"/>
        </w:rPr>
      </w:pPr>
      <w:r w:rsidRPr="00B44F6F">
        <w:rPr>
          <w:sz w:val="21"/>
          <w:szCs w:val="21"/>
          <w:lang w:val="sq-AL"/>
        </w:rPr>
        <w:t>1. Pajisjet, instalimet dhe rrjetet elektrike duhet të plotësojnë kërkesat e sigurisë, të përcaktuara në rregulloret në fuqi të projektimit, përdorimit, shfrytëzimit dhe vlerësimit të konformitetit.</w:t>
      </w:r>
    </w:p>
    <w:p w:rsidR="000F7EE5" w:rsidRPr="00B44F6F" w:rsidRDefault="000F7EE5" w:rsidP="000F7EE5">
      <w:pPr>
        <w:pStyle w:val="Paragrafi"/>
        <w:rPr>
          <w:sz w:val="21"/>
          <w:szCs w:val="21"/>
          <w:lang w:val="sq-AL"/>
        </w:rPr>
      </w:pPr>
      <w:r w:rsidRPr="00B44F6F">
        <w:rPr>
          <w:sz w:val="21"/>
          <w:szCs w:val="21"/>
          <w:lang w:val="sq-AL"/>
        </w:rPr>
        <w:t>2. Ngarkohet Këshilli i Ministrave të nxjerrë rregullat teknike në zbatim të pikës 1 të këtij neni.</w:t>
      </w:r>
      <w:r>
        <w:rPr>
          <w:sz w:val="21"/>
          <w:szCs w:val="21"/>
          <w:lang w:val="sq-AL"/>
        </w:rPr>
        <w:t>”.</w:t>
      </w:r>
    </w:p>
    <w:p w:rsidR="000F7EE5" w:rsidRPr="00B44F6F" w:rsidRDefault="000F7EE5" w:rsidP="000F7EE5">
      <w:pPr>
        <w:pStyle w:val="Paragrafi"/>
        <w:rPr>
          <w:sz w:val="21"/>
          <w:szCs w:val="21"/>
          <w:lang w:val="sq-AL"/>
        </w:rPr>
      </w:pPr>
    </w:p>
    <w:p w:rsidR="000F7EE5" w:rsidRPr="00B44F6F" w:rsidRDefault="000F7EE5" w:rsidP="000F7EE5">
      <w:pPr>
        <w:pStyle w:val="NeniNr"/>
        <w:keepNext w:val="0"/>
        <w:rPr>
          <w:sz w:val="21"/>
          <w:szCs w:val="21"/>
          <w:lang w:val="sq-AL"/>
        </w:rPr>
      </w:pPr>
      <w:r w:rsidRPr="00B44F6F">
        <w:rPr>
          <w:sz w:val="21"/>
          <w:szCs w:val="21"/>
          <w:lang w:val="sq-AL"/>
        </w:rPr>
        <w:t>Neni 4</w:t>
      </w:r>
    </w:p>
    <w:p w:rsidR="000F7EE5" w:rsidRPr="00B44F6F" w:rsidRDefault="000F7EE5" w:rsidP="000F7EE5">
      <w:pPr>
        <w:pStyle w:val="Paragrafi"/>
        <w:rPr>
          <w:sz w:val="21"/>
          <w:szCs w:val="21"/>
          <w:lang w:val="sq-AL"/>
        </w:rPr>
      </w:pPr>
    </w:p>
    <w:p w:rsidR="000F7EE5" w:rsidRPr="00B44F6F" w:rsidRDefault="000F7EE5" w:rsidP="000F7EE5">
      <w:pPr>
        <w:pStyle w:val="Paragrafi"/>
        <w:rPr>
          <w:sz w:val="21"/>
          <w:szCs w:val="21"/>
          <w:lang w:val="sq-AL"/>
        </w:rPr>
      </w:pPr>
      <w:r w:rsidRPr="00B44F6F">
        <w:rPr>
          <w:sz w:val="21"/>
          <w:szCs w:val="21"/>
          <w:lang w:val="sq-AL"/>
        </w:rPr>
        <w:t>Neni 4 ndryshohet si më poshtë:</w:t>
      </w:r>
    </w:p>
    <w:p w:rsidR="000F7EE5" w:rsidRPr="00B44F6F" w:rsidRDefault="000F7EE5" w:rsidP="000F7EE5">
      <w:pPr>
        <w:pStyle w:val="Paragrafi"/>
        <w:rPr>
          <w:sz w:val="21"/>
          <w:szCs w:val="21"/>
          <w:lang w:val="sq-AL"/>
        </w:rPr>
      </w:pPr>
    </w:p>
    <w:p w:rsidR="000F7EE5" w:rsidRPr="00B44F6F" w:rsidRDefault="000F7EE5" w:rsidP="000F7EE5">
      <w:pPr>
        <w:pStyle w:val="NeniNr"/>
        <w:keepNext w:val="0"/>
        <w:rPr>
          <w:sz w:val="21"/>
          <w:szCs w:val="21"/>
          <w:lang w:val="sq-AL"/>
        </w:rPr>
      </w:pPr>
      <w:r w:rsidRPr="00B44F6F">
        <w:rPr>
          <w:sz w:val="21"/>
          <w:szCs w:val="21"/>
          <w:lang w:val="sq-AL"/>
        </w:rPr>
        <w:t>“Neni 4</w:t>
      </w:r>
    </w:p>
    <w:p w:rsidR="000F7EE5" w:rsidRPr="00B44F6F" w:rsidRDefault="000F7EE5" w:rsidP="000F7EE5">
      <w:pPr>
        <w:pStyle w:val="NeniTitull"/>
      </w:pPr>
      <w:proofErr w:type="spellStart"/>
      <w:r w:rsidRPr="00B44F6F">
        <w:t>Vendosja</w:t>
      </w:r>
      <w:proofErr w:type="spellEnd"/>
      <w:r w:rsidRPr="00B44F6F">
        <w:t xml:space="preserve">  </w:t>
      </w:r>
      <w:proofErr w:type="spellStart"/>
      <w:r w:rsidRPr="00B44F6F">
        <w:t>në</w:t>
      </w:r>
      <w:proofErr w:type="spellEnd"/>
      <w:r w:rsidRPr="00B44F6F">
        <w:t xml:space="preserve"> </w:t>
      </w:r>
      <w:proofErr w:type="spellStart"/>
      <w:r w:rsidRPr="00B44F6F">
        <w:t>treg</w:t>
      </w:r>
      <w:proofErr w:type="spellEnd"/>
      <w:r w:rsidRPr="00B44F6F">
        <w:t>/</w:t>
      </w:r>
      <w:proofErr w:type="spellStart"/>
      <w:r w:rsidRPr="00B44F6F">
        <w:t>në</w:t>
      </w:r>
      <w:proofErr w:type="spellEnd"/>
      <w:r w:rsidRPr="00B44F6F">
        <w:t xml:space="preserve"> </w:t>
      </w:r>
      <w:proofErr w:type="spellStart"/>
      <w:r w:rsidRPr="00B44F6F">
        <w:t>shfrytëzim</w:t>
      </w:r>
      <w:proofErr w:type="spellEnd"/>
      <w:r w:rsidRPr="00B44F6F">
        <w:tab/>
      </w:r>
    </w:p>
    <w:p w:rsidR="000F7EE5" w:rsidRPr="00B44F6F" w:rsidRDefault="000F7EE5" w:rsidP="000F7EE5">
      <w:pPr>
        <w:pStyle w:val="Paragrafi"/>
        <w:rPr>
          <w:sz w:val="21"/>
          <w:szCs w:val="21"/>
          <w:lang w:val="sq-AL"/>
        </w:rPr>
      </w:pPr>
      <w:r w:rsidRPr="00B44F6F">
        <w:rPr>
          <w:sz w:val="21"/>
          <w:szCs w:val="21"/>
          <w:lang w:val="sq-AL"/>
        </w:rPr>
        <w:br/>
      </w:r>
      <w:r w:rsidRPr="00B44F6F">
        <w:rPr>
          <w:sz w:val="21"/>
          <w:szCs w:val="21"/>
          <w:lang w:val="sq-AL"/>
        </w:rPr>
        <w:tab/>
        <w:t>Pajisjet dhe materialet elektrike lejohen të vendosen në treg dhe të vihen në shfrytëzim</w:t>
      </w:r>
      <w:r w:rsidRPr="00B44F6F">
        <w:rPr>
          <w:rStyle w:val="apple-converted-space"/>
          <w:color w:val="000000"/>
          <w:sz w:val="21"/>
          <w:szCs w:val="21"/>
          <w:lang w:val="sq-AL"/>
        </w:rPr>
        <w:t> </w:t>
      </w:r>
      <w:r w:rsidRPr="00B44F6F">
        <w:rPr>
          <w:sz w:val="21"/>
          <w:szCs w:val="21"/>
          <w:lang w:val="sq-AL"/>
        </w:rPr>
        <w:t>vetëm nëse nuk rrezikojnë sigurinë e njerëzve dhe, kur është rasti, të kafshëve shtëpiake ose të vlerave materiale.”.</w:t>
      </w:r>
    </w:p>
    <w:p w:rsidR="000F7EE5" w:rsidRPr="00B44F6F" w:rsidRDefault="000F7EE5" w:rsidP="000F7EE5">
      <w:pPr>
        <w:pStyle w:val="Paragrafi"/>
        <w:rPr>
          <w:sz w:val="21"/>
          <w:szCs w:val="21"/>
          <w:lang w:val="sq-AL"/>
        </w:rPr>
      </w:pPr>
    </w:p>
    <w:p w:rsidR="000F7EE5" w:rsidRPr="00B44F6F" w:rsidRDefault="000F7EE5" w:rsidP="000F7EE5">
      <w:pPr>
        <w:pStyle w:val="NeniNr"/>
        <w:keepNext w:val="0"/>
        <w:rPr>
          <w:sz w:val="21"/>
          <w:szCs w:val="21"/>
          <w:lang w:val="sq-AL"/>
        </w:rPr>
      </w:pPr>
      <w:r w:rsidRPr="00B44F6F">
        <w:rPr>
          <w:sz w:val="21"/>
          <w:szCs w:val="21"/>
          <w:lang w:val="sq-AL"/>
        </w:rPr>
        <w:t>Neni 5</w:t>
      </w:r>
    </w:p>
    <w:p w:rsidR="000F7EE5" w:rsidRPr="00B44F6F" w:rsidRDefault="000F7EE5" w:rsidP="000F7EE5">
      <w:pPr>
        <w:pStyle w:val="Paragrafi"/>
        <w:rPr>
          <w:sz w:val="21"/>
          <w:szCs w:val="21"/>
          <w:lang w:val="sq-AL"/>
        </w:rPr>
      </w:pPr>
    </w:p>
    <w:p w:rsidR="000F7EE5" w:rsidRPr="00B44F6F" w:rsidRDefault="000F7EE5" w:rsidP="000F7EE5">
      <w:pPr>
        <w:pStyle w:val="Paragrafi"/>
        <w:rPr>
          <w:sz w:val="21"/>
          <w:szCs w:val="21"/>
          <w:lang w:val="sq-AL"/>
        </w:rPr>
      </w:pPr>
      <w:r w:rsidRPr="00B44F6F">
        <w:rPr>
          <w:sz w:val="21"/>
          <w:szCs w:val="21"/>
          <w:lang w:val="sq-AL"/>
        </w:rPr>
        <w:t>Neni 5 ndryshohet si më poshtë:</w:t>
      </w:r>
    </w:p>
    <w:p w:rsidR="000F7EE5" w:rsidRPr="00B44F6F" w:rsidRDefault="000F7EE5" w:rsidP="000F7EE5">
      <w:pPr>
        <w:pStyle w:val="Paragrafi"/>
        <w:rPr>
          <w:sz w:val="21"/>
          <w:szCs w:val="21"/>
          <w:lang w:val="sq-AL"/>
        </w:rPr>
      </w:pPr>
    </w:p>
    <w:p w:rsidR="000F7EE5" w:rsidRPr="00B44F6F" w:rsidRDefault="000F7EE5" w:rsidP="000F7EE5">
      <w:pPr>
        <w:pStyle w:val="NeniNr"/>
        <w:keepNext w:val="0"/>
        <w:rPr>
          <w:sz w:val="21"/>
          <w:szCs w:val="21"/>
          <w:lang w:val="sq-AL"/>
        </w:rPr>
      </w:pPr>
      <w:r w:rsidRPr="00B44F6F">
        <w:rPr>
          <w:sz w:val="21"/>
          <w:szCs w:val="21"/>
          <w:lang w:val="sq-AL"/>
        </w:rPr>
        <w:t>“Neni 5</w:t>
      </w:r>
    </w:p>
    <w:p w:rsidR="000F7EE5" w:rsidRPr="00B44F6F" w:rsidRDefault="000F7EE5" w:rsidP="000F7EE5">
      <w:pPr>
        <w:pStyle w:val="NeniTitull"/>
        <w:keepNext w:val="0"/>
        <w:rPr>
          <w:sz w:val="21"/>
          <w:szCs w:val="21"/>
          <w:lang w:val="sq-AL"/>
        </w:rPr>
      </w:pPr>
      <w:r w:rsidRPr="00B44F6F">
        <w:rPr>
          <w:sz w:val="21"/>
          <w:szCs w:val="21"/>
          <w:lang w:val="sq-AL"/>
        </w:rPr>
        <w:t>Mbikëqyrja dhe heqja nga tregu</w:t>
      </w:r>
    </w:p>
    <w:p w:rsidR="000F7EE5" w:rsidRPr="00B44F6F" w:rsidRDefault="000F7EE5" w:rsidP="000F7EE5">
      <w:pPr>
        <w:pStyle w:val="Paragrafi"/>
        <w:rPr>
          <w:sz w:val="21"/>
          <w:szCs w:val="21"/>
          <w:lang w:val="sq-AL"/>
        </w:rPr>
      </w:pPr>
    </w:p>
    <w:p w:rsidR="000F7EE5" w:rsidRPr="00B44F6F" w:rsidRDefault="000F7EE5" w:rsidP="000F7EE5">
      <w:pPr>
        <w:pStyle w:val="Paragrafi"/>
        <w:rPr>
          <w:sz w:val="21"/>
          <w:szCs w:val="21"/>
          <w:lang w:val="sq-AL"/>
        </w:rPr>
      </w:pPr>
      <w:r w:rsidRPr="00B44F6F">
        <w:rPr>
          <w:sz w:val="21"/>
          <w:szCs w:val="21"/>
          <w:lang w:val="sq-AL"/>
        </w:rPr>
        <w:t>1. Kur inspektori vëren se një pajisje ose instalim elektrik, i përcaktuar sipas nenit 2  dhe i përdorur në përputhje me destinimin e saj, rrezikon sigurinë e njerëzve dhe, kur është rasti, të kafshëve shtëpiake ose të vlerave materiale, merr masat urgjente të nevojshme për të hequr pajisjen ose instalimin nga tregu dhe nga shfrytëzimi, si dhe çdo masë tjetër urgjente, në përputhje me këtë ligj dhe ligjin nr. 10 433, datë 16.6.2011 “Për inspektimin në Republikën e Shqipërisë”.</w:t>
      </w:r>
    </w:p>
    <w:p w:rsidR="000F7EE5" w:rsidRPr="00B44F6F" w:rsidRDefault="000F7EE5" w:rsidP="000F7EE5">
      <w:pPr>
        <w:pStyle w:val="Paragrafi"/>
        <w:rPr>
          <w:sz w:val="21"/>
          <w:szCs w:val="21"/>
          <w:lang w:val="sq-AL"/>
        </w:rPr>
      </w:pPr>
      <w:r w:rsidRPr="00B44F6F">
        <w:rPr>
          <w:sz w:val="21"/>
          <w:szCs w:val="21"/>
          <w:lang w:val="sq-AL"/>
        </w:rPr>
        <w:t>2. Ankimi ndaj vendimit që vendos marrjen e masës urgjente bëhet në përputhje me ligjin për inspektimin.”.</w:t>
      </w:r>
    </w:p>
    <w:p w:rsidR="000F7EE5" w:rsidRPr="00B44F6F" w:rsidRDefault="000F7EE5" w:rsidP="000F7EE5">
      <w:pPr>
        <w:pStyle w:val="Paragrafi"/>
        <w:rPr>
          <w:sz w:val="21"/>
          <w:szCs w:val="21"/>
          <w:lang w:val="sq-AL"/>
        </w:rPr>
      </w:pPr>
    </w:p>
    <w:p w:rsidR="000F7EE5" w:rsidRPr="00B44F6F" w:rsidRDefault="000F7EE5" w:rsidP="000F7EE5">
      <w:pPr>
        <w:pStyle w:val="NeniNr"/>
        <w:keepNext w:val="0"/>
        <w:rPr>
          <w:sz w:val="21"/>
          <w:szCs w:val="21"/>
          <w:lang w:val="sq-AL"/>
        </w:rPr>
      </w:pPr>
      <w:r w:rsidRPr="00B44F6F">
        <w:rPr>
          <w:sz w:val="21"/>
          <w:szCs w:val="21"/>
          <w:lang w:val="sq-AL"/>
        </w:rPr>
        <w:t>Neni 6</w:t>
      </w:r>
    </w:p>
    <w:p w:rsidR="000F7EE5" w:rsidRPr="00B44F6F" w:rsidRDefault="000F7EE5" w:rsidP="000F7EE5">
      <w:pPr>
        <w:pStyle w:val="Paragrafi"/>
        <w:rPr>
          <w:sz w:val="21"/>
          <w:szCs w:val="21"/>
          <w:lang w:val="sq-AL"/>
        </w:rPr>
      </w:pPr>
    </w:p>
    <w:p w:rsidR="000F7EE5" w:rsidRPr="00B44F6F" w:rsidRDefault="000F7EE5" w:rsidP="000F7EE5">
      <w:pPr>
        <w:pStyle w:val="Paragrafi"/>
        <w:rPr>
          <w:sz w:val="21"/>
          <w:szCs w:val="21"/>
          <w:lang w:val="sq-AL"/>
        </w:rPr>
      </w:pPr>
      <w:r w:rsidRPr="00B44F6F">
        <w:rPr>
          <w:sz w:val="21"/>
          <w:szCs w:val="21"/>
          <w:lang w:val="sq-AL"/>
        </w:rPr>
        <w:t xml:space="preserve">Në nenin 6 bëhen këto ndryshime: </w:t>
      </w:r>
    </w:p>
    <w:p w:rsidR="000F7EE5" w:rsidRPr="00B44F6F" w:rsidRDefault="000F7EE5" w:rsidP="000F7EE5">
      <w:pPr>
        <w:pStyle w:val="Paragrafi"/>
        <w:rPr>
          <w:sz w:val="21"/>
          <w:szCs w:val="21"/>
          <w:lang w:val="sq-AL"/>
        </w:rPr>
      </w:pPr>
      <w:r w:rsidRPr="00B44F6F">
        <w:rPr>
          <w:sz w:val="21"/>
          <w:szCs w:val="21"/>
          <w:lang w:val="sq-AL"/>
        </w:rPr>
        <w:t>1. Në pikën 2, fjalët “Ministria përgjegjëse” zëvendësohen me fjalët “Këshilli i Ministrave”.</w:t>
      </w:r>
    </w:p>
    <w:p w:rsidR="000F7EE5" w:rsidRPr="00B44F6F" w:rsidRDefault="000F7EE5" w:rsidP="000F7EE5">
      <w:pPr>
        <w:pStyle w:val="Paragrafi"/>
        <w:rPr>
          <w:sz w:val="21"/>
          <w:szCs w:val="21"/>
          <w:lang w:val="sq-AL"/>
        </w:rPr>
      </w:pPr>
      <w:r w:rsidRPr="00B44F6F">
        <w:rPr>
          <w:sz w:val="21"/>
          <w:szCs w:val="21"/>
          <w:lang w:val="sq-AL"/>
        </w:rPr>
        <w:t>2. Në pikën 5, shkronja “c” shfuqizohet.</w:t>
      </w:r>
    </w:p>
    <w:p w:rsidR="000F7EE5" w:rsidRPr="00B44F6F" w:rsidRDefault="000F7EE5" w:rsidP="000F7EE5">
      <w:pPr>
        <w:pStyle w:val="Paragrafi"/>
        <w:rPr>
          <w:sz w:val="21"/>
          <w:szCs w:val="21"/>
          <w:lang w:val="sq-AL"/>
        </w:rPr>
      </w:pPr>
    </w:p>
    <w:p w:rsidR="000F7EE5" w:rsidRPr="00B44F6F" w:rsidRDefault="000F7EE5" w:rsidP="000F7EE5">
      <w:pPr>
        <w:pStyle w:val="NeniNr"/>
        <w:keepNext w:val="0"/>
        <w:rPr>
          <w:sz w:val="21"/>
          <w:szCs w:val="21"/>
          <w:lang w:val="sq-AL"/>
        </w:rPr>
      </w:pPr>
      <w:r w:rsidRPr="00B44F6F">
        <w:rPr>
          <w:sz w:val="21"/>
          <w:szCs w:val="21"/>
          <w:lang w:val="sq-AL"/>
        </w:rPr>
        <w:t>Neni 7</w:t>
      </w:r>
    </w:p>
    <w:p w:rsidR="000F7EE5" w:rsidRPr="00B44F6F" w:rsidRDefault="000F7EE5" w:rsidP="000F7EE5">
      <w:pPr>
        <w:pStyle w:val="Paragrafi"/>
        <w:rPr>
          <w:sz w:val="21"/>
          <w:szCs w:val="21"/>
          <w:lang w:val="sq-AL"/>
        </w:rPr>
      </w:pPr>
    </w:p>
    <w:p w:rsidR="000F7EE5" w:rsidRPr="00B44F6F" w:rsidRDefault="000F7EE5" w:rsidP="000F7EE5">
      <w:pPr>
        <w:pStyle w:val="Paragrafi"/>
        <w:rPr>
          <w:sz w:val="21"/>
          <w:szCs w:val="21"/>
          <w:lang w:val="sq-AL"/>
        </w:rPr>
      </w:pPr>
      <w:r w:rsidRPr="00B44F6F">
        <w:rPr>
          <w:sz w:val="21"/>
          <w:szCs w:val="21"/>
          <w:lang w:val="sq-AL"/>
        </w:rPr>
        <w:t>Në nenin 9, shkronja “a” e pikës 1 ndryshohet si më poshtë:</w:t>
      </w:r>
    </w:p>
    <w:p w:rsidR="000F7EE5" w:rsidRPr="00B44F6F" w:rsidRDefault="000F7EE5" w:rsidP="000F7EE5">
      <w:pPr>
        <w:pStyle w:val="Paragrafi"/>
        <w:rPr>
          <w:sz w:val="21"/>
          <w:szCs w:val="21"/>
          <w:lang w:val="sq-AL"/>
        </w:rPr>
      </w:pPr>
      <w:r w:rsidRPr="00B44F6F">
        <w:rPr>
          <w:sz w:val="21"/>
          <w:szCs w:val="21"/>
          <w:lang w:val="sq-AL"/>
        </w:rPr>
        <w:t>“a) Përdorimi i pajisjeve elektrike bëhet nga punëmarrës që kanë përgatitje të mjaftueshme, të dokumentuar me dëshmi aftësie, të lëshuar nga një organ i akredituar certifikues personeli për fushën përkatëse.”.</w:t>
      </w:r>
    </w:p>
    <w:p w:rsidR="000F7EE5" w:rsidRPr="00B44F6F" w:rsidRDefault="000F7EE5" w:rsidP="000F7EE5">
      <w:pPr>
        <w:pStyle w:val="Paragrafi"/>
        <w:rPr>
          <w:sz w:val="21"/>
          <w:szCs w:val="21"/>
          <w:lang w:val="sq-AL"/>
        </w:rPr>
      </w:pPr>
    </w:p>
    <w:p w:rsidR="000F7EE5" w:rsidRPr="00B44F6F" w:rsidRDefault="000F7EE5" w:rsidP="000F7EE5">
      <w:pPr>
        <w:pStyle w:val="NeniNr"/>
        <w:keepNext w:val="0"/>
        <w:rPr>
          <w:sz w:val="21"/>
          <w:szCs w:val="21"/>
          <w:lang w:val="sq-AL"/>
        </w:rPr>
      </w:pPr>
      <w:r w:rsidRPr="00B44F6F">
        <w:rPr>
          <w:sz w:val="21"/>
          <w:szCs w:val="21"/>
          <w:lang w:val="sq-AL"/>
        </w:rPr>
        <w:t>Neni 8</w:t>
      </w:r>
    </w:p>
    <w:p w:rsidR="000F7EE5" w:rsidRPr="00B44F6F" w:rsidRDefault="000F7EE5" w:rsidP="000F7EE5">
      <w:pPr>
        <w:pStyle w:val="Paragrafi"/>
        <w:rPr>
          <w:sz w:val="21"/>
          <w:szCs w:val="21"/>
          <w:lang w:val="sq-AL"/>
        </w:rPr>
      </w:pPr>
    </w:p>
    <w:p w:rsidR="000F7EE5" w:rsidRPr="00B44F6F" w:rsidRDefault="000F7EE5" w:rsidP="000F7EE5">
      <w:pPr>
        <w:pStyle w:val="Paragrafi"/>
        <w:rPr>
          <w:sz w:val="21"/>
          <w:szCs w:val="21"/>
          <w:lang w:val="sq-AL"/>
        </w:rPr>
      </w:pPr>
      <w:r w:rsidRPr="00B44F6F">
        <w:rPr>
          <w:sz w:val="21"/>
          <w:szCs w:val="21"/>
          <w:lang w:val="sq-AL"/>
        </w:rPr>
        <w:t>Titulli i kreut III bëhet “Inspektorati që mbulon fushën e pajisjeve dhe instalimeve elektrike”.</w:t>
      </w:r>
    </w:p>
    <w:p w:rsidR="000F7EE5" w:rsidRPr="00B44F6F" w:rsidRDefault="000F7EE5" w:rsidP="000F7EE5">
      <w:pPr>
        <w:pStyle w:val="Paragrafi"/>
        <w:rPr>
          <w:sz w:val="21"/>
          <w:szCs w:val="21"/>
          <w:lang w:val="sq-AL"/>
        </w:rPr>
      </w:pPr>
    </w:p>
    <w:p w:rsidR="000F7EE5" w:rsidRPr="00B44F6F" w:rsidRDefault="000F7EE5" w:rsidP="000F7EE5">
      <w:pPr>
        <w:pStyle w:val="NeniNr"/>
        <w:keepNext w:val="0"/>
        <w:rPr>
          <w:sz w:val="21"/>
          <w:szCs w:val="21"/>
          <w:lang w:val="sq-AL"/>
        </w:rPr>
      </w:pPr>
      <w:r w:rsidRPr="00B44F6F">
        <w:rPr>
          <w:sz w:val="21"/>
          <w:szCs w:val="21"/>
          <w:lang w:val="sq-AL"/>
        </w:rPr>
        <w:t>Neni 9</w:t>
      </w:r>
    </w:p>
    <w:p w:rsidR="000F7EE5" w:rsidRPr="00B44F6F" w:rsidRDefault="000F7EE5" w:rsidP="000F7EE5">
      <w:pPr>
        <w:pStyle w:val="Paragrafi"/>
        <w:rPr>
          <w:sz w:val="21"/>
          <w:szCs w:val="21"/>
          <w:lang w:val="sq-AL"/>
        </w:rPr>
      </w:pPr>
    </w:p>
    <w:p w:rsidR="000F7EE5" w:rsidRPr="00B44F6F" w:rsidRDefault="000F7EE5" w:rsidP="000F7EE5">
      <w:pPr>
        <w:pStyle w:val="Paragrafi"/>
        <w:rPr>
          <w:sz w:val="21"/>
          <w:szCs w:val="21"/>
          <w:lang w:val="sq-AL"/>
        </w:rPr>
      </w:pPr>
      <w:r w:rsidRPr="00B44F6F">
        <w:rPr>
          <w:sz w:val="21"/>
          <w:szCs w:val="21"/>
          <w:lang w:val="sq-AL"/>
        </w:rPr>
        <w:t>Në nenin 14, shkronjat “a” dhe “b” të pikës 2 ndryshohen si më poshtë:</w:t>
      </w:r>
    </w:p>
    <w:p w:rsidR="000F7EE5" w:rsidRPr="00B44F6F" w:rsidRDefault="000F7EE5" w:rsidP="000F7EE5">
      <w:pPr>
        <w:pStyle w:val="Paragrafi"/>
        <w:rPr>
          <w:sz w:val="21"/>
          <w:szCs w:val="21"/>
          <w:lang w:val="sq-AL"/>
        </w:rPr>
      </w:pPr>
      <w:r w:rsidRPr="00B44F6F">
        <w:rPr>
          <w:sz w:val="21"/>
          <w:szCs w:val="21"/>
          <w:lang w:val="sq-AL"/>
        </w:rPr>
        <w:t>“a) cakton detyra dhe afate për mënjanimin e shkeljeve;</w:t>
      </w:r>
    </w:p>
    <w:p w:rsidR="000F7EE5" w:rsidRPr="00B44F6F" w:rsidRDefault="000F7EE5" w:rsidP="000F7EE5">
      <w:pPr>
        <w:pStyle w:val="Paragrafi"/>
        <w:rPr>
          <w:sz w:val="21"/>
          <w:szCs w:val="21"/>
          <w:lang w:val="sq-AL"/>
        </w:rPr>
      </w:pPr>
      <w:r w:rsidRPr="00B44F6F">
        <w:rPr>
          <w:sz w:val="21"/>
          <w:szCs w:val="21"/>
          <w:lang w:val="sq-AL"/>
        </w:rPr>
        <w:t>b) pezullon veprimtarinë për një periudhë të caktuar kohe ose e pushon atë përgjithmonë, kur gjykon se një pajisje ose instalim elektrik nuk garanton sigurinë;”.</w:t>
      </w:r>
    </w:p>
    <w:p w:rsidR="000F7EE5" w:rsidRPr="00B44F6F" w:rsidRDefault="000F7EE5" w:rsidP="000F7EE5">
      <w:pPr>
        <w:pStyle w:val="Paragrafi"/>
        <w:rPr>
          <w:sz w:val="21"/>
          <w:szCs w:val="21"/>
          <w:lang w:val="sq-AL"/>
        </w:rPr>
      </w:pPr>
    </w:p>
    <w:p w:rsidR="000F7EE5" w:rsidRPr="00B44F6F" w:rsidRDefault="000F7EE5" w:rsidP="000F7EE5">
      <w:pPr>
        <w:pStyle w:val="NeniNr"/>
        <w:keepNext w:val="0"/>
        <w:rPr>
          <w:sz w:val="21"/>
          <w:szCs w:val="21"/>
          <w:lang w:val="sq-AL"/>
        </w:rPr>
      </w:pPr>
      <w:r w:rsidRPr="00B44F6F">
        <w:rPr>
          <w:sz w:val="21"/>
          <w:szCs w:val="21"/>
          <w:lang w:val="sq-AL"/>
        </w:rPr>
        <w:t>Neni 10</w:t>
      </w:r>
    </w:p>
    <w:p w:rsidR="000F7EE5" w:rsidRPr="00B44F6F" w:rsidRDefault="000F7EE5" w:rsidP="000F7EE5">
      <w:pPr>
        <w:pStyle w:val="Paragrafi"/>
        <w:rPr>
          <w:sz w:val="21"/>
          <w:szCs w:val="21"/>
          <w:lang w:val="sq-AL"/>
        </w:rPr>
      </w:pPr>
    </w:p>
    <w:p w:rsidR="000F7EE5" w:rsidRPr="00B44F6F" w:rsidRDefault="000F7EE5" w:rsidP="000F7EE5">
      <w:pPr>
        <w:pStyle w:val="Paragrafi"/>
        <w:rPr>
          <w:sz w:val="21"/>
          <w:szCs w:val="21"/>
          <w:lang w:val="sq-AL"/>
        </w:rPr>
      </w:pPr>
      <w:r w:rsidRPr="00B44F6F">
        <w:rPr>
          <w:sz w:val="21"/>
          <w:szCs w:val="21"/>
          <w:lang w:val="sq-AL"/>
        </w:rPr>
        <w:t>Në nenin 17 bëhen këto shtesa dhe ndryshime:</w:t>
      </w:r>
    </w:p>
    <w:p w:rsidR="000F7EE5" w:rsidRPr="00B44F6F" w:rsidRDefault="000F7EE5" w:rsidP="000F7EE5">
      <w:pPr>
        <w:pStyle w:val="Paragrafi"/>
        <w:rPr>
          <w:sz w:val="21"/>
          <w:szCs w:val="21"/>
          <w:lang w:val="sq-AL"/>
        </w:rPr>
      </w:pPr>
      <w:r w:rsidRPr="00B44F6F">
        <w:rPr>
          <w:sz w:val="21"/>
          <w:szCs w:val="21"/>
          <w:lang w:val="sq-AL"/>
        </w:rPr>
        <w:t>1. Në pikën 1, pas fjalës “gjobë” shtohen fjalët “si dënim  kryesor”.</w:t>
      </w:r>
    </w:p>
    <w:p w:rsidR="000F7EE5" w:rsidRPr="00B44F6F" w:rsidRDefault="000F7EE5" w:rsidP="000F7EE5">
      <w:pPr>
        <w:pStyle w:val="Paragrafi"/>
        <w:rPr>
          <w:sz w:val="21"/>
          <w:szCs w:val="21"/>
          <w:lang w:val="sq-AL"/>
        </w:rPr>
      </w:pPr>
      <w:r w:rsidRPr="00B44F6F">
        <w:rPr>
          <w:sz w:val="21"/>
          <w:szCs w:val="21"/>
          <w:lang w:val="sq-AL"/>
        </w:rPr>
        <w:t xml:space="preserve">2. Pikat 3, 4 dhe 5 ndryshohen si më poshtë: </w:t>
      </w:r>
    </w:p>
    <w:p w:rsidR="000F7EE5" w:rsidRPr="00B44F6F" w:rsidRDefault="000F7EE5" w:rsidP="000F7EE5">
      <w:pPr>
        <w:pStyle w:val="Paragrafi"/>
        <w:rPr>
          <w:sz w:val="21"/>
          <w:szCs w:val="21"/>
          <w:lang w:val="sq-AL"/>
        </w:rPr>
      </w:pPr>
      <w:r w:rsidRPr="00B44F6F">
        <w:rPr>
          <w:sz w:val="21"/>
          <w:szCs w:val="21"/>
          <w:lang w:val="sq-AL"/>
        </w:rPr>
        <w:t>“3. Mënyra e llogaritjes së gjobës bëhet sipas rregullores së metodologjisë së përcaktimit të dënimeve, të miratuar në përputhje me ligjin për inspektimin.</w:t>
      </w:r>
    </w:p>
    <w:p w:rsidR="000F7EE5" w:rsidRPr="00B44F6F" w:rsidRDefault="000F7EE5" w:rsidP="000F7EE5">
      <w:pPr>
        <w:pStyle w:val="Paragrafi"/>
        <w:rPr>
          <w:sz w:val="21"/>
          <w:szCs w:val="21"/>
          <w:lang w:val="sq-AL"/>
        </w:rPr>
      </w:pPr>
      <w:r w:rsidRPr="00B44F6F">
        <w:rPr>
          <w:sz w:val="21"/>
          <w:szCs w:val="21"/>
          <w:lang w:val="sq-AL"/>
        </w:rPr>
        <w:t>4. Inspektorati, që mbulon fushën e sigurisë së instalimeve dhe pajisjeve elektrike, vendos gjobën në përputhje me ligjin për inspektimin.</w:t>
      </w:r>
    </w:p>
    <w:p w:rsidR="000F7EE5" w:rsidRPr="00B44F6F" w:rsidRDefault="000F7EE5" w:rsidP="000F7EE5">
      <w:pPr>
        <w:pStyle w:val="Paragrafi"/>
        <w:rPr>
          <w:sz w:val="21"/>
          <w:szCs w:val="21"/>
          <w:lang w:val="sq-AL"/>
        </w:rPr>
      </w:pPr>
      <w:r w:rsidRPr="00B44F6F">
        <w:rPr>
          <w:sz w:val="21"/>
          <w:szCs w:val="21"/>
          <w:lang w:val="sq-AL"/>
        </w:rPr>
        <w:t>5. Shqyrtimi, marrja e vendimit përfundimtar dhe ankimi ndaj vendimit të inspektorit bëhen në përputhje me ligjin për inspektimin.”.</w:t>
      </w:r>
      <w:r w:rsidRPr="00B44F6F">
        <w:rPr>
          <w:sz w:val="21"/>
          <w:szCs w:val="21"/>
          <w:lang w:val="sq-AL"/>
        </w:rPr>
        <w:tab/>
      </w:r>
    </w:p>
    <w:p w:rsidR="000F7EE5" w:rsidRPr="00B44F6F" w:rsidRDefault="000F7EE5" w:rsidP="000F7EE5">
      <w:pPr>
        <w:pStyle w:val="Paragrafi"/>
        <w:rPr>
          <w:sz w:val="21"/>
          <w:szCs w:val="21"/>
          <w:lang w:val="sq-AL"/>
        </w:rPr>
      </w:pPr>
      <w:r w:rsidRPr="00B44F6F">
        <w:rPr>
          <w:sz w:val="21"/>
          <w:szCs w:val="21"/>
          <w:lang w:val="sq-AL"/>
        </w:rPr>
        <w:t xml:space="preserve">3. Pika 6 shfuqizohet. </w:t>
      </w:r>
    </w:p>
    <w:p w:rsidR="000F7EE5" w:rsidRPr="00B44F6F" w:rsidRDefault="000F7EE5" w:rsidP="000F7EE5">
      <w:pPr>
        <w:pStyle w:val="Paragrafi"/>
        <w:rPr>
          <w:sz w:val="14"/>
          <w:szCs w:val="21"/>
          <w:lang w:val="sq-AL"/>
        </w:rPr>
      </w:pPr>
    </w:p>
    <w:p w:rsidR="000F7EE5" w:rsidRPr="00B44F6F" w:rsidRDefault="000F7EE5" w:rsidP="000F7EE5">
      <w:pPr>
        <w:pStyle w:val="NeniNr"/>
        <w:keepNext w:val="0"/>
        <w:rPr>
          <w:sz w:val="21"/>
          <w:szCs w:val="21"/>
          <w:lang w:val="sq-AL"/>
        </w:rPr>
      </w:pPr>
      <w:r w:rsidRPr="00B44F6F">
        <w:rPr>
          <w:sz w:val="21"/>
          <w:szCs w:val="21"/>
          <w:lang w:val="sq-AL"/>
        </w:rPr>
        <w:t>Neni 11</w:t>
      </w:r>
    </w:p>
    <w:p w:rsidR="000F7EE5" w:rsidRPr="00B44F6F" w:rsidRDefault="000F7EE5" w:rsidP="000F7EE5">
      <w:pPr>
        <w:pStyle w:val="Paragrafi"/>
        <w:rPr>
          <w:sz w:val="21"/>
          <w:szCs w:val="21"/>
          <w:lang w:val="sq-AL"/>
        </w:rPr>
      </w:pPr>
    </w:p>
    <w:p w:rsidR="000F7EE5" w:rsidRPr="00B44F6F" w:rsidRDefault="000F7EE5" w:rsidP="000F7EE5">
      <w:pPr>
        <w:pStyle w:val="Paragrafi"/>
        <w:rPr>
          <w:sz w:val="21"/>
          <w:szCs w:val="21"/>
          <w:lang w:val="sq-AL"/>
        </w:rPr>
      </w:pPr>
      <w:r w:rsidRPr="00B44F6F">
        <w:rPr>
          <w:sz w:val="21"/>
          <w:szCs w:val="21"/>
          <w:lang w:val="sq-AL"/>
        </w:rPr>
        <w:t xml:space="preserve">Në nenin 18, paragrafi i dytë i pikës 1 ndryshohet si më poshtë: </w:t>
      </w:r>
    </w:p>
    <w:p w:rsidR="000F7EE5" w:rsidRPr="00B44F6F" w:rsidRDefault="000F7EE5" w:rsidP="000F7EE5">
      <w:pPr>
        <w:pStyle w:val="Paragrafi"/>
        <w:rPr>
          <w:sz w:val="21"/>
          <w:szCs w:val="21"/>
          <w:lang w:val="sq-AL"/>
        </w:rPr>
      </w:pPr>
      <w:r w:rsidRPr="00B44F6F">
        <w:rPr>
          <w:sz w:val="21"/>
          <w:szCs w:val="21"/>
          <w:lang w:val="sq-AL"/>
        </w:rPr>
        <w:t>“Pas kalimit të këtij afati, për çdo ditë vonesë paguhet një kamatë prej 2 për qind deri në 30 ditë. Kur pas këtij afati gjoba nuk paguhet, zbatohet legjislacioni në fuqi për kundërvajtjet administrative.”.</w:t>
      </w:r>
    </w:p>
    <w:p w:rsidR="000F7EE5" w:rsidRPr="00B44F6F" w:rsidRDefault="000F7EE5" w:rsidP="000F7EE5">
      <w:pPr>
        <w:pStyle w:val="Paragrafi"/>
        <w:rPr>
          <w:sz w:val="21"/>
          <w:szCs w:val="21"/>
          <w:lang w:val="sq-AL"/>
        </w:rPr>
      </w:pPr>
      <w:r w:rsidRPr="00B44F6F">
        <w:rPr>
          <w:sz w:val="21"/>
          <w:szCs w:val="21"/>
          <w:lang w:val="sq-AL"/>
        </w:rPr>
        <w:tab/>
      </w:r>
    </w:p>
    <w:p w:rsidR="000F7EE5" w:rsidRPr="00B44F6F" w:rsidRDefault="000F7EE5" w:rsidP="000F7EE5">
      <w:pPr>
        <w:pStyle w:val="NeniNr"/>
        <w:keepNext w:val="0"/>
        <w:rPr>
          <w:sz w:val="21"/>
          <w:szCs w:val="21"/>
          <w:lang w:val="sq-AL"/>
        </w:rPr>
      </w:pPr>
      <w:r w:rsidRPr="00B44F6F">
        <w:rPr>
          <w:sz w:val="21"/>
          <w:szCs w:val="21"/>
          <w:lang w:val="sq-AL"/>
        </w:rPr>
        <w:t>Neni 12</w:t>
      </w:r>
    </w:p>
    <w:p w:rsidR="000F7EE5" w:rsidRPr="00B44F6F" w:rsidRDefault="000F7EE5" w:rsidP="000F7EE5">
      <w:pPr>
        <w:pStyle w:val="NeniTitull"/>
        <w:keepNext w:val="0"/>
        <w:rPr>
          <w:sz w:val="21"/>
          <w:szCs w:val="21"/>
          <w:lang w:val="sq-AL"/>
        </w:rPr>
      </w:pPr>
      <w:r w:rsidRPr="00B44F6F">
        <w:rPr>
          <w:sz w:val="21"/>
          <w:szCs w:val="21"/>
          <w:lang w:val="sq-AL"/>
        </w:rPr>
        <w:t>Dispozitë kalimtare</w:t>
      </w:r>
    </w:p>
    <w:p w:rsidR="000F7EE5" w:rsidRPr="00B44F6F" w:rsidRDefault="000F7EE5" w:rsidP="000F7EE5">
      <w:pPr>
        <w:pStyle w:val="Paragrafi"/>
        <w:rPr>
          <w:sz w:val="14"/>
          <w:szCs w:val="21"/>
          <w:lang w:val="sq-AL"/>
        </w:rPr>
      </w:pPr>
    </w:p>
    <w:p w:rsidR="000F7EE5" w:rsidRPr="00B44F6F" w:rsidRDefault="000F7EE5" w:rsidP="000F7EE5">
      <w:pPr>
        <w:pStyle w:val="Paragrafi"/>
        <w:rPr>
          <w:sz w:val="21"/>
          <w:szCs w:val="21"/>
          <w:lang w:val="sq-AL"/>
        </w:rPr>
      </w:pPr>
      <w:r w:rsidRPr="00B44F6F">
        <w:rPr>
          <w:sz w:val="21"/>
          <w:szCs w:val="21"/>
          <w:lang w:val="sq-AL"/>
        </w:rPr>
        <w:t>1. Deri një vit pas hyrjes në fuqi të këtij ligji, detyrat e organit të akredituar certifikues të personelit, sipas nenit 9 të ligjit, mund të kryhen nga një komision i miratuar nga ministri përgjegjës për energjinë, anëtarët e të cilit duhet të jenë inxhinierë elektrikë me eksperiencë pune 15-vjeçare në fushën e montimit dhe mirëmbajtjes së impianteve, instalimeve dhe objekteve elektro-energjetike.</w:t>
      </w:r>
    </w:p>
    <w:p w:rsidR="000F7EE5" w:rsidRPr="00B44F6F" w:rsidRDefault="000F7EE5" w:rsidP="000F7EE5">
      <w:pPr>
        <w:pStyle w:val="Paragrafi"/>
        <w:rPr>
          <w:sz w:val="21"/>
          <w:szCs w:val="21"/>
          <w:lang w:val="sq-AL"/>
        </w:rPr>
      </w:pPr>
      <w:r w:rsidRPr="00B44F6F">
        <w:rPr>
          <w:sz w:val="21"/>
          <w:szCs w:val="21"/>
          <w:lang w:val="sq-AL"/>
        </w:rPr>
        <w:t>2. Organi ekzistues inspektues vazhdon të ushtrojë funksionin e vet sipas organizimit aktual deri në krijimin e organit të ri, sikurse parashikohet në ndryshimet e bëra në këtë ligj.</w:t>
      </w:r>
    </w:p>
    <w:p w:rsidR="000F7EE5" w:rsidRPr="00B44F6F" w:rsidRDefault="000F7EE5" w:rsidP="000F7EE5">
      <w:pPr>
        <w:pStyle w:val="NeniNr"/>
        <w:keepNext w:val="0"/>
        <w:rPr>
          <w:sz w:val="21"/>
          <w:szCs w:val="21"/>
          <w:lang w:val="sq-AL"/>
        </w:rPr>
      </w:pPr>
      <w:r w:rsidRPr="00B44F6F">
        <w:rPr>
          <w:sz w:val="21"/>
          <w:szCs w:val="21"/>
          <w:lang w:val="sq-AL"/>
        </w:rPr>
        <w:t>Neni 13</w:t>
      </w:r>
    </w:p>
    <w:p w:rsidR="000F7EE5" w:rsidRPr="00B44F6F" w:rsidRDefault="000F7EE5" w:rsidP="000F7EE5">
      <w:pPr>
        <w:pStyle w:val="Paragrafi"/>
        <w:rPr>
          <w:sz w:val="21"/>
          <w:szCs w:val="21"/>
          <w:lang w:val="sq-AL"/>
        </w:rPr>
      </w:pPr>
    </w:p>
    <w:p w:rsidR="000F7EE5" w:rsidRPr="00B44F6F" w:rsidRDefault="000F7EE5" w:rsidP="000F7EE5">
      <w:pPr>
        <w:pStyle w:val="Paragrafi"/>
        <w:rPr>
          <w:sz w:val="21"/>
          <w:szCs w:val="21"/>
          <w:lang w:val="sq-AL"/>
        </w:rPr>
      </w:pPr>
      <w:r w:rsidRPr="00B44F6F">
        <w:rPr>
          <w:sz w:val="21"/>
          <w:szCs w:val="21"/>
          <w:lang w:val="sq-AL"/>
        </w:rPr>
        <w:t>Ky ligj hyn në fuqi 15 ditë pas botimit në Fletoren Zyrtare.</w:t>
      </w:r>
    </w:p>
    <w:p w:rsidR="000F7EE5" w:rsidRPr="00B44F6F" w:rsidRDefault="000F7EE5" w:rsidP="000F7EE5">
      <w:pPr>
        <w:pStyle w:val="Paragrafi"/>
        <w:ind w:firstLine="0"/>
        <w:rPr>
          <w:sz w:val="21"/>
          <w:szCs w:val="21"/>
          <w:lang w:val="sq-AL"/>
        </w:rPr>
      </w:pPr>
    </w:p>
    <w:p w:rsidR="000F7EE5" w:rsidRPr="00B44F6F" w:rsidRDefault="000F7EE5" w:rsidP="000F7EE5">
      <w:pPr>
        <w:pStyle w:val="Paragrafi"/>
        <w:rPr>
          <w:sz w:val="21"/>
          <w:szCs w:val="21"/>
          <w:lang w:val="sq-AL"/>
        </w:rPr>
      </w:pPr>
      <w:r w:rsidRPr="00B44F6F">
        <w:rPr>
          <w:sz w:val="21"/>
          <w:szCs w:val="21"/>
          <w:lang w:val="sq-AL"/>
        </w:rPr>
        <w:t>Miratuar në datën 14.2.2013</w:t>
      </w:r>
    </w:p>
    <w:p w:rsidR="000F7EE5" w:rsidRPr="00B44F6F" w:rsidRDefault="000F7EE5" w:rsidP="000F7EE5">
      <w:pPr>
        <w:pStyle w:val="Paragrafi"/>
        <w:rPr>
          <w:sz w:val="21"/>
          <w:szCs w:val="21"/>
          <w:lang w:val="sq-AL"/>
        </w:rPr>
      </w:pPr>
    </w:p>
    <w:p w:rsidR="000F7EE5" w:rsidRPr="00B44F6F" w:rsidRDefault="000F7EE5" w:rsidP="000F7EE5">
      <w:pPr>
        <w:pStyle w:val="Shpallja"/>
        <w:rPr>
          <w:sz w:val="23"/>
          <w:szCs w:val="23"/>
        </w:rPr>
      </w:pPr>
      <w:r w:rsidRPr="00B44F6F">
        <w:rPr>
          <w:sz w:val="23"/>
          <w:szCs w:val="23"/>
        </w:rPr>
        <w:t>Shpallur me dekretin nr. 7972, datë 1.3.2013 të Presidentit të Republikës së Shqipërisë, Bujar Nishani</w:t>
      </w:r>
    </w:p>
    <w:sectPr w:rsidR="000F7EE5" w:rsidRPr="00B44F6F" w:rsidSect="00E55A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F7EE5"/>
    <w:rsid w:val="000F7EE5"/>
    <w:rsid w:val="00944BA6"/>
    <w:rsid w:val="00E55A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34427CA6-A867-49B0-B816-373A360C7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5A3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0F7EE5"/>
    <w:pPr>
      <w:keepNext/>
      <w:widowControl w:val="0"/>
      <w:jc w:val="center"/>
      <w:outlineLvl w:val="0"/>
    </w:pPr>
    <w:rPr>
      <w:rFonts w:ascii="CG Times" w:eastAsia="MS Mincho" w:hAnsi="CG Times" w:cs="CG Times"/>
      <w:b/>
      <w:bCs/>
      <w:caps/>
      <w:color w:val="000000"/>
      <w:sz w:val="22"/>
      <w:szCs w:val="22"/>
      <w:lang w:val="en-GB"/>
    </w:rPr>
  </w:style>
  <w:style w:type="paragraph" w:customStyle="1" w:styleId="Institucioni">
    <w:name w:val="Institucioni"/>
    <w:next w:val="Normal"/>
    <w:rsid w:val="000F7EE5"/>
    <w:pPr>
      <w:keepNext/>
      <w:widowControl w:val="0"/>
      <w:jc w:val="center"/>
    </w:pPr>
    <w:rPr>
      <w:rFonts w:ascii="CG Times" w:eastAsia="MS Mincho" w:hAnsi="CG Times" w:cs="CG Times"/>
      <w:caps/>
      <w:sz w:val="22"/>
      <w:szCs w:val="22"/>
      <w:lang w:val="en-GB"/>
    </w:rPr>
  </w:style>
  <w:style w:type="paragraph" w:customStyle="1" w:styleId="NeniNr">
    <w:name w:val="Neni_Nr"/>
    <w:next w:val="Normal"/>
    <w:link w:val="NeniNrChar"/>
    <w:rsid w:val="000F7EE5"/>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0F7EE5"/>
    <w:pPr>
      <w:keepNext/>
      <w:widowControl w:val="0"/>
      <w:jc w:val="center"/>
      <w:outlineLvl w:val="2"/>
    </w:pPr>
    <w:rPr>
      <w:rFonts w:ascii="CG Times" w:eastAsia="MS Mincho" w:hAnsi="CG Times" w:cs="CG Times"/>
      <w:b/>
      <w:bCs/>
      <w:sz w:val="22"/>
      <w:szCs w:val="22"/>
      <w:lang w:val="en-GB"/>
    </w:rPr>
  </w:style>
  <w:style w:type="paragraph" w:customStyle="1" w:styleId="NumriData">
    <w:name w:val="Numri_Data"/>
    <w:next w:val="Normal"/>
    <w:link w:val="NumriDataChar"/>
    <w:rsid w:val="000F7EE5"/>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0F7EE5"/>
    <w:rPr>
      <w:rFonts w:ascii="CG Times" w:eastAsia="MS Mincho" w:hAnsi="CG Times" w:cs="CG Times"/>
      <w:b/>
      <w:bCs/>
      <w:sz w:val="22"/>
      <w:szCs w:val="22"/>
      <w:lang w:val="en-GB" w:eastAsia="en-US" w:bidi="ar-SA"/>
    </w:rPr>
  </w:style>
  <w:style w:type="paragraph" w:customStyle="1" w:styleId="Paragrafi">
    <w:name w:val="Paragrafi"/>
    <w:link w:val="ParagrafiChar"/>
    <w:rsid w:val="000F7EE5"/>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0F7EE5"/>
    <w:rPr>
      <w:rFonts w:ascii="CG Times" w:eastAsia="MS Mincho" w:hAnsi="CG Times" w:cs="CG Times"/>
      <w:sz w:val="22"/>
      <w:szCs w:val="22"/>
      <w:lang w:val="en-US" w:eastAsia="en-US" w:bidi="ar-SA"/>
    </w:rPr>
  </w:style>
  <w:style w:type="paragraph" w:customStyle="1" w:styleId="Shpallja">
    <w:name w:val="Shpallja"/>
    <w:rsid w:val="000F7EE5"/>
    <w:pPr>
      <w:widowControl w:val="0"/>
      <w:jc w:val="both"/>
    </w:pPr>
    <w:rPr>
      <w:rFonts w:ascii="CG Times" w:eastAsia="MS Mincho" w:hAnsi="CG Times" w:cs="CG Times"/>
      <w:b/>
      <w:bCs/>
      <w:color w:val="000000"/>
      <w:sz w:val="22"/>
      <w:szCs w:val="22"/>
      <w:lang w:val="sq-AL"/>
    </w:rPr>
  </w:style>
  <w:style w:type="paragraph" w:customStyle="1" w:styleId="Titulli">
    <w:name w:val="Titulli"/>
    <w:next w:val="Normal"/>
    <w:link w:val="TitulliChar"/>
    <w:rsid w:val="000F7EE5"/>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0F7EE5"/>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0F7EE5"/>
    <w:rPr>
      <w:rFonts w:ascii="CG Times" w:eastAsia="MS Mincho" w:hAnsi="CG Times" w:cs="CG Times"/>
      <w:caps/>
      <w:sz w:val="22"/>
      <w:szCs w:val="22"/>
      <w:lang w:val="en-GB" w:eastAsia="en-US" w:bidi="ar-SA"/>
    </w:rPr>
  </w:style>
  <w:style w:type="character" w:customStyle="1" w:styleId="apple-converted-space">
    <w:name w:val="apple-converted-space"/>
    <w:basedOn w:val="DefaultParagraphFont"/>
    <w:rsid w:val="000F7EE5"/>
  </w:style>
  <w:style w:type="character" w:customStyle="1" w:styleId="TitulliChar">
    <w:name w:val="Titulli Char"/>
    <w:basedOn w:val="DefaultParagraphFont"/>
    <w:link w:val="Titulli"/>
    <w:rsid w:val="000F7EE5"/>
    <w:rPr>
      <w:rFonts w:ascii="CG Times" w:eastAsia="MS Mincho" w:hAnsi="CG Times" w:cs="CG Times"/>
      <w:b/>
      <w:bCs/>
      <w:caps/>
      <w:sz w:val="22"/>
      <w:szCs w:val="22"/>
      <w:lang w:val="en-GB" w:eastAsia="en-US" w:bidi="ar-SA"/>
    </w:rPr>
  </w:style>
  <w:style w:type="character" w:customStyle="1" w:styleId="NeniNrChar">
    <w:name w:val="Neni_Nr Char"/>
    <w:basedOn w:val="DefaultParagraphFont"/>
    <w:link w:val="NeniNr"/>
    <w:rsid w:val="000F7EE5"/>
    <w:rPr>
      <w:rFonts w:ascii="CG Times" w:eastAsia="MS Mincho" w:hAnsi="CG Times" w:cs="CG Times"/>
      <w:sz w:val="22"/>
      <w:szCs w:val="22"/>
      <w:lang w:val="en-GB" w:eastAsia="en-US" w:bidi="ar-SA"/>
    </w:rPr>
  </w:style>
  <w:style w:type="character" w:customStyle="1" w:styleId="AktiChar">
    <w:name w:val="Akti Char"/>
    <w:basedOn w:val="DefaultParagraphFont"/>
    <w:link w:val="Akti"/>
    <w:rsid w:val="000F7EE5"/>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800</Words>
  <Characters>4561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2019-03-18T13:15:00Z</dcterms:created>
  <dcterms:modified xsi:type="dcterms:W3CDTF">2019-03-18T13:15:00Z</dcterms:modified>
</cp:coreProperties>
</file>