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6E5" w:rsidRPr="00B44F6F" w:rsidRDefault="007936E5" w:rsidP="007936E5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44F6F">
        <w:rPr>
          <w:sz w:val="21"/>
          <w:szCs w:val="21"/>
          <w:lang w:val="sq-AL"/>
        </w:rPr>
        <w:t>LIGJ</w:t>
      </w:r>
    </w:p>
    <w:p w:rsidR="007936E5" w:rsidRPr="00B44F6F" w:rsidRDefault="007936E5" w:rsidP="007936E5">
      <w:pPr>
        <w:pStyle w:val="NumriData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Nr. 16/2013</w:t>
      </w:r>
    </w:p>
    <w:p w:rsidR="007936E5" w:rsidRPr="00B44F6F" w:rsidRDefault="007936E5" w:rsidP="007936E5">
      <w:pPr>
        <w:pStyle w:val="Titull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br/>
        <w:t>PËR DISA NDRYSHIME DHE SHTESA NË LIGJIN NR. 10 480, DATË 17.11.2011 “PËR SIGURINË E PËRGJITHSHME TË PRODUKTEVE JOUSHQIMORE”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KUVENDI</w:t>
      </w:r>
    </w:p>
    <w:p w:rsidR="007936E5" w:rsidRPr="00B44F6F" w:rsidRDefault="007936E5" w:rsidP="007936E5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I REPUBLIKËS SË SHQIPËRISË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VENDOS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VENDOSI: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ligjin nr. 10 480, datë 17.11.2011 “Për sigurinë e përgjithshme të produkteve joushqimore”, bëhen këto ndryshime dhe shtesa:</w:t>
      </w:r>
    </w:p>
    <w:p w:rsidR="007936E5" w:rsidRPr="00B44F6F" w:rsidRDefault="007936E5" w:rsidP="007936E5">
      <w:pPr>
        <w:pStyle w:val="Paragrafi"/>
        <w:rPr>
          <w:sz w:val="14"/>
          <w:szCs w:val="21"/>
          <w:lang w:val="sq-AL"/>
        </w:rPr>
      </w:pPr>
    </w:p>
    <w:p w:rsidR="007936E5" w:rsidRPr="00B44F6F" w:rsidRDefault="007936E5" w:rsidP="007936E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</w:t>
      </w:r>
    </w:p>
    <w:p w:rsidR="007936E5" w:rsidRPr="00B44F6F" w:rsidRDefault="007936E5" w:rsidP="007936E5">
      <w:pPr>
        <w:pStyle w:val="Paragrafi"/>
        <w:rPr>
          <w:sz w:val="16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nenin 9 bëhen këto ndryshime dhe shtesa: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1. Pika 2 ndryshohet si më poshtë: 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“2. Përveçse kur parashikohet drejtpërdrejt nga ligji, strukturat përgjegjëse për kryerjen e funksioneve të mbikëqyrjes së tregut sipas produkteve apo grup produkteve, miratohen apo përcaktohen me vendim të Këshillit të Ministrave.”.</w:t>
      </w:r>
      <w:r w:rsidRPr="00B44F6F">
        <w:rPr>
          <w:sz w:val="21"/>
          <w:szCs w:val="21"/>
          <w:lang w:val="sq-AL"/>
        </w:rPr>
        <w:tab/>
      </w:r>
    </w:p>
    <w:p w:rsidR="007936E5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2. Pas pikës 2 shtohen pikat 3 dhe 4 me këtë përmbajtje: 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“3. Struktura përgjegjëse për mbikëqyrjen e tregut i ushtron përgjegjësitë e veta në zbatim të këtij ligji, në përputhje me ligjin nr. 10 433, datë 16.6.2011 “Për inspektimin në Republikën e Shqipërisë”, përveçse kur parashikohet shprehimisht ndryshe në këtë ligj.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4. Procedurat standarde operacionale të veprimtarisë së mbikëqyrjes së tregut, të detyrueshme për të gjitha strukturat e mbikëqyrjes së tregut, miratohen me urdhër të ministrit.”.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2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11, pas pikës 6 shtohet pika 7 me këtë përmbajtje: 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“7. Krahas masave të parashikuara në këtë nen dhe në nenin 10 të këtij ligji, struktura përgjegjëse merr çdo masë tjetër urgjente të nevojshme, në përputhje me ligjin për inspektimin.”.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3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13 ndryshohet si më poshtë: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13</w:t>
      </w:r>
    </w:p>
    <w:p w:rsidR="007936E5" w:rsidRPr="00B44F6F" w:rsidRDefault="007936E5" w:rsidP="007936E5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Vendime për riskun serioz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Këshilli i Ministrave nxjerr vendime për ndalimin e tregtimit, importit ose/dhe eksportit për ato produkte që paraqesin risk të lartë e serioz për shëndetin dhe sigurinë e konsumatorëve, në rastet kur ka evidenca shkencore ose/dhe faktike për natyrën serioze të riskut, që kërkon ndërhyrje të menjëhershme në nivel kombëtar të mënjanimit të tij.”.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4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25, pas pikës 6 shtohet pika 7 me këtë përmbajtje:                        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“7. Gjoba është dënim kryesor dhe ajo mund të shoqërohet edhe me një apo disa dënime plotësuese, të përcaktuara në nenet 10 dhe 11 të këtij ligji.”.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ab/>
      </w:r>
    </w:p>
    <w:p w:rsidR="007936E5" w:rsidRPr="00B44F6F" w:rsidRDefault="007936E5" w:rsidP="007936E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5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Neni 26 ndryshohet si më poshtë: 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26</w:t>
      </w:r>
    </w:p>
    <w:p w:rsidR="007936E5" w:rsidRPr="00B44F6F" w:rsidRDefault="007936E5" w:rsidP="007936E5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Shqyrtimi i shkeljeve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Shkeljet me karakter administrativ shqyrtohen dhe dënohen nga struktura përgjegjëse për mbikëqyrjen e tregut, në përputhje me dispozitat në fuqi.”.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6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Nenet  27 dhe 31 shfuqizohen.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7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Neni 28 ndryshohet si më poshtë: 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28</w:t>
      </w:r>
    </w:p>
    <w:p w:rsidR="007936E5" w:rsidRPr="00B44F6F" w:rsidRDefault="007936E5" w:rsidP="007936E5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Ankimi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Ndaj vendimit të strukturës përgjegjëse për marrjen e masave të parashikuara në nenet 20 dhe 21, si dhe për marrjen e masave të tjera urgjente mund të bëhet ankim i veçantë, sipas ligjit për inspektimin.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Kundër vendimit të strukturës përgjegjëse për dënimin kryesor me gjobë dhe dënimeve plotësuese, mund të bëhet ankim në përputhje me ligjin për inspektimin.”.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8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29 ndryshohet si më poshtë: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29</w:t>
      </w:r>
    </w:p>
    <w:p w:rsidR="007936E5" w:rsidRPr="00B44F6F" w:rsidRDefault="007936E5" w:rsidP="007936E5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Ekzekutimi i vendimit të strukturës përgjegjëse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Ekzekutimi i vendimit bëhet në përputhje me legjislacionin në fuqi për inspektimin dhe për kundërvajtjet administrative.”.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9</w:t>
      </w:r>
    </w:p>
    <w:p w:rsidR="007936E5" w:rsidRPr="00B44F6F" w:rsidRDefault="007936E5" w:rsidP="007936E5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Dispozitë kalimtare</w:t>
      </w: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7936E5" w:rsidRPr="00B44F6F" w:rsidRDefault="007936E5" w:rsidP="007936E5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</w:p>
    <w:p w:rsidR="007936E5" w:rsidRPr="00B44F6F" w:rsidRDefault="007936E5" w:rsidP="007936E5">
      <w:pPr>
        <w:pStyle w:val="NeniNr"/>
        <w:keepNext w:val="0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Neni 10</w:t>
      </w:r>
    </w:p>
    <w:p w:rsidR="007936E5" w:rsidRPr="00B44F6F" w:rsidRDefault="007936E5" w:rsidP="007936E5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Ky ligj hyn në fuqi 15 ditë pas botimit në Fletoren Zyrtare.</w:t>
      </w:r>
    </w:p>
    <w:p w:rsidR="007936E5" w:rsidRPr="00B44F6F" w:rsidRDefault="007936E5" w:rsidP="007936E5">
      <w:pPr>
        <w:pStyle w:val="Paragrafi"/>
        <w:ind w:firstLine="0"/>
        <w:rPr>
          <w:rStyle w:val="apple-style-span"/>
          <w:color w:val="000000"/>
          <w:sz w:val="21"/>
          <w:szCs w:val="21"/>
          <w:lang w:val="sq-AL"/>
        </w:rPr>
      </w:pPr>
    </w:p>
    <w:p w:rsidR="007936E5" w:rsidRPr="00B44F6F" w:rsidRDefault="007936E5" w:rsidP="007936E5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Miratuar në datën 14.2.2013</w:t>
      </w:r>
    </w:p>
    <w:p w:rsidR="007936E5" w:rsidRPr="00B44F6F" w:rsidRDefault="007936E5" w:rsidP="007936E5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</w:p>
    <w:p w:rsidR="007936E5" w:rsidRPr="00B44F6F" w:rsidRDefault="007936E5" w:rsidP="007936E5">
      <w:pPr>
        <w:pStyle w:val="Shpallja"/>
        <w:rPr>
          <w:sz w:val="23"/>
          <w:szCs w:val="23"/>
        </w:rPr>
      </w:pPr>
      <w:r w:rsidRPr="00B44F6F">
        <w:rPr>
          <w:sz w:val="23"/>
          <w:szCs w:val="23"/>
        </w:rPr>
        <w:t>Shpallur me dekretin nr. 7975, datë 1.3.2013 të Presidentit të Republikës së Shqipërisë, Bujar Nishani</w:t>
      </w:r>
    </w:p>
    <w:sectPr w:rsidR="007936E5" w:rsidRPr="00B44F6F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936E5"/>
    <w:rsid w:val="0073137D"/>
    <w:rsid w:val="007936E5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763F07D-161C-466D-9D4B-DFD3D7CB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936E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7936E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7936E5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7936E5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936E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936E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936E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936E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7936E5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7936E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936E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936E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pple-style-span">
    <w:name w:val="apple-style-span"/>
    <w:basedOn w:val="DefaultParagraphFont"/>
    <w:rsid w:val="007936E5"/>
  </w:style>
  <w:style w:type="character" w:customStyle="1" w:styleId="TitulliChar">
    <w:name w:val="Titulli Char"/>
    <w:basedOn w:val="DefaultParagraphFont"/>
    <w:link w:val="Titulli"/>
    <w:rsid w:val="007936E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7936E5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936E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2019-03-18T13:15:00Z</dcterms:created>
  <dcterms:modified xsi:type="dcterms:W3CDTF">2019-03-18T13:15:00Z</dcterms:modified>
</cp:coreProperties>
</file>