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37" w:rsidRPr="00924567" w:rsidRDefault="00C85F37" w:rsidP="00C85F3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C85F37" w:rsidRPr="00924567" w:rsidRDefault="00C85F37" w:rsidP="00C85F37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49/2013</w:t>
      </w:r>
    </w:p>
    <w:p w:rsidR="00C85F37" w:rsidRPr="00924567" w:rsidRDefault="00C85F37" w:rsidP="00C85F37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 xml:space="preserve">PËR DISA NDRYSHIME DHE SHTESA NË LIGJIN NR. 9636, DATË 6.11.2006 </w:t>
      </w:r>
    </w:p>
    <w:p w:rsidR="00C85F37" w:rsidRPr="00924567" w:rsidRDefault="00C85F37" w:rsidP="00C85F37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“PËR MBROJTJEN  E SHËNDETIT NGA PRODUKTET E DUHANIT”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C85F37" w:rsidRPr="00924567" w:rsidRDefault="00C85F37" w:rsidP="00C85F37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9636, datë 6.11.2006 “Për mbrojtjen e shëndetit nga produktet e duhanit”, bëhen këto ndryshime dhe shtesa: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Default="00C85F37" w:rsidP="00C85F37">
      <w:pPr>
        <w:pStyle w:val="NeniNr"/>
        <w:keepNext w:val="0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të gjithë ligjin, emërtimi “Policia Tatimore” zëvendësohet me emërtimin “Organet tatimore”.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3 bëhen këto ndryshime: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Pika 12 ndryshohet si më poshtë: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“12. “Mjedis publik” është çdo mjedis i hapur për publikun.”.   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Në fund të pikës 13, fjalët “që frekuentohet gjatë orarit të punës” hiqen.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Pas pikës 17 shtohet pika 18 me këtë përmbajtje: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“18. “Mjedis i mbyllur” është: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a) një mjedis që ka tavan ose çati, dyer, dritare ose rrugëkalime që mund të jenë të hapura apo të mbyllura dhe është i kufizuar plotësisht me mure të përhershme ose të përkohshme;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b) një mjedis, që ka tavan ose çati, dyer, dritare ose rrugëkalime që mund të jenë të hapura apo të mbyllura dhe është i kufizuar me mure të përhershme ose të përkohshme, muret e të cilit kanë hapje të përhershme, që nuk mund të hapen apo të mbyllen, me sipërfaqe më pak se 50 për qind e sipërfaqes së përgjithshme të mureve.”.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4 bëhen këto ndryshime: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Në paragrafin e parë, pas fjalës “paralajmëruese” shtohen fjalët  “në tekst dhe/ose në figurë”.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Në paragrafin e fundit, fjala “teksti” zëvendësohet me fjalën “përmbajtje”.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15, shkronja “dh” ndryshohet si më poshtë: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“dh) Mjedise të tjera  publike të mbyllura.”.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fund të nenit 16 shtohet një fjali me këtë përmbajtje: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“Forma dhe teksti i shenjave paralajmëruese përcaktohen nga KNMSHPD-ja.”.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19 bëhen këto ndryshime: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Emërtimi “Inspektorati Sanitar Shtetëror” zëvendësohet me emërtimin “Inspektorati që mbulon fushën e shëndetit”.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2. Pas paragrafit të fundit shtohet një paragraf me këtë përmbajtje: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“Organet e kontrollit, sipas përcaktimit të këtij neni, bëjnë verifikimin e respektimit të kërkesave ligjore që burojnë nga ky ligj, në përputhje me  këtë ligj dhe ligjin nr. 10 433, datë 16.6.2011 “Për inspektimin në Republikën e Shqipërisë”.”.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7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20 bëhen këto ndryshime dhe shtesa: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Shkronjat “c” dhe “ë” ndryshohen si më poshtë: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“c) shkelja e nenit 10 dënohet me konfiskim të produkteve të duhanit dhe 100 000 (njëqind mijë) lekë gjobë, sipas rastit, subjektit shitës me pakicë ose pronar i veprimtarisë së parashikuar;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ë) mospërmbushja e detyrimeve të parashikuara në nenet 15 dhe 16 nga pronari/administratori apo personi i caktuar përgjegjës prej tyre dënohet me 50 000 (pesëdhjetë mijë) lekë gjobë për pronarin/administratorin e mjediseve apo personin e caktuar prej tyre.”.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2. Pas shkronjës “ë” shtohet një paragraf me këtë përmbajtje: 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“Masa e konfiskimit dhe asgjësimit janë dënime kryesore, ndërsa masa e gjobës është dënim kryesor kur parashikohet si dënim më vete dhe dënim plotësues kur jepet njëkohësisht me masën e konfiskimit ose asgjësimit.”.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Paragrafi i fundit ndryshohet si më poshtë: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“Ankimi ndaj vendimeve të inspektoratit që mbul</w:t>
      </w:r>
      <w:r>
        <w:rPr>
          <w:sz w:val="21"/>
          <w:szCs w:val="21"/>
          <w:lang w:val="sq-AL"/>
        </w:rPr>
        <w:t xml:space="preserve">on fushën e shëndetit bëhet në </w:t>
      </w:r>
      <w:r w:rsidRPr="00924567">
        <w:rPr>
          <w:sz w:val="21"/>
          <w:szCs w:val="21"/>
          <w:lang w:val="sq-AL"/>
        </w:rPr>
        <w:t>përputhje me ligjin për inspektimin, ndërsa ankimi ndaj organeve tatimore, doganore, Policisë Bashkiake ose të komunës bëhet sipas legjislacionit në fuqi.”.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8</w:t>
      </w:r>
    </w:p>
    <w:p w:rsidR="00C85F37" w:rsidRPr="00924567" w:rsidRDefault="00C85F37" w:rsidP="00C85F37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9</w:t>
      </w:r>
    </w:p>
    <w:p w:rsidR="00C85F37" w:rsidRPr="00924567" w:rsidRDefault="00C85F37" w:rsidP="00C85F37">
      <w:pPr>
        <w:pStyle w:val="Paragrafi"/>
        <w:rPr>
          <w:sz w:val="21"/>
          <w:szCs w:val="21"/>
          <w:highlight w:val="darkMagenta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C85F37" w:rsidRPr="00924567" w:rsidRDefault="00C85F37" w:rsidP="00C85F37">
      <w:pPr>
        <w:pStyle w:val="Paragrafi"/>
        <w:rPr>
          <w:sz w:val="21"/>
          <w:szCs w:val="21"/>
          <w:lang w:val="sq-AL"/>
        </w:rPr>
      </w:pPr>
    </w:p>
    <w:p w:rsidR="00C85F37" w:rsidRPr="00672671" w:rsidRDefault="00C85F37" w:rsidP="00C85F37">
      <w:pPr>
        <w:pStyle w:val="Shpallja"/>
        <w:rPr>
          <w:sz w:val="23"/>
          <w:szCs w:val="23"/>
        </w:rPr>
      </w:pPr>
      <w:r w:rsidRPr="00672671">
        <w:rPr>
          <w:sz w:val="23"/>
          <w:szCs w:val="23"/>
        </w:rPr>
        <w:t>Shpallur me dekretin nr. 8008, datë 1.3.2013 të Presidentit të Republikës së Shqipërisë, Bujar Nishani</w:t>
      </w:r>
    </w:p>
    <w:sectPr w:rsidR="00C85F37" w:rsidRPr="00672671" w:rsidSect="004C5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5F37"/>
    <w:rsid w:val="000A11EC"/>
    <w:rsid w:val="004C59A4"/>
    <w:rsid w:val="00C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EAAAFF-16D4-4343-A1F0-7179ED72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85F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C85F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85F3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C85F37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85F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85F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85F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85F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C85F37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C85F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85F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85F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85F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85F3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85F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