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D0F" w:rsidRPr="00632B19" w:rsidRDefault="00D36D0F" w:rsidP="00D36D0F">
      <w:pPr>
        <w:pStyle w:val="Akti"/>
        <w:keepNext w:val="0"/>
        <w:rPr>
          <w:sz w:val="21"/>
          <w:szCs w:val="21"/>
          <w:lang w:val="sq-AL"/>
        </w:rPr>
      </w:pPr>
      <w:bookmarkStart w:id="0" w:name="_GoBack"/>
      <w:bookmarkEnd w:id="0"/>
      <w:r w:rsidRPr="00632B19">
        <w:rPr>
          <w:sz w:val="21"/>
          <w:szCs w:val="21"/>
          <w:lang w:val="sq-AL"/>
        </w:rPr>
        <w:t>LIGJ</w:t>
      </w:r>
    </w:p>
    <w:p w:rsidR="00D36D0F" w:rsidRPr="00632B19" w:rsidRDefault="00D36D0F" w:rsidP="00D36D0F">
      <w:pPr>
        <w:pStyle w:val="NumriData"/>
        <w:keepNext w:val="0"/>
        <w:rPr>
          <w:sz w:val="21"/>
          <w:szCs w:val="21"/>
          <w:lang w:val="sq-AL"/>
        </w:rPr>
      </w:pPr>
      <w:r w:rsidRPr="00632B19">
        <w:rPr>
          <w:sz w:val="21"/>
          <w:szCs w:val="21"/>
          <w:lang w:val="sq-AL"/>
        </w:rPr>
        <w:t>Nr. 60/2013</w:t>
      </w:r>
    </w:p>
    <w:p w:rsidR="00D36D0F" w:rsidRPr="00632B19" w:rsidRDefault="00D36D0F" w:rsidP="00D36D0F">
      <w:pPr>
        <w:pStyle w:val="Paragrafi"/>
        <w:rPr>
          <w:sz w:val="21"/>
          <w:szCs w:val="21"/>
          <w:lang w:val="sq-AL"/>
        </w:rPr>
      </w:pPr>
    </w:p>
    <w:p w:rsidR="00D36D0F" w:rsidRPr="00632B19" w:rsidRDefault="00D36D0F" w:rsidP="00D36D0F">
      <w:pPr>
        <w:pStyle w:val="Titulli"/>
        <w:keepNext w:val="0"/>
        <w:rPr>
          <w:sz w:val="21"/>
          <w:szCs w:val="21"/>
          <w:lang w:val="sq-AL"/>
        </w:rPr>
      </w:pPr>
      <w:r w:rsidRPr="00632B19">
        <w:rPr>
          <w:sz w:val="21"/>
          <w:szCs w:val="21"/>
          <w:lang w:val="sq-AL"/>
        </w:rPr>
        <w:t>PËR DISA SHTESA DHE NDRYSHIME NË LIGJIN NR. 10 454, DATË 21.7.2011 “PËR TRANSPLANTIMIN E INDEVE, TË QELIZAVE DHE TË ORGANEVE NË REPUBLIKËN E SHQIPËRISË”</w:t>
      </w:r>
    </w:p>
    <w:p w:rsidR="00D36D0F" w:rsidRPr="00632B19" w:rsidRDefault="00D36D0F" w:rsidP="00D36D0F">
      <w:pPr>
        <w:pStyle w:val="Paragrafi"/>
        <w:rPr>
          <w:sz w:val="21"/>
          <w:szCs w:val="21"/>
          <w:lang w:val="sq-AL"/>
        </w:rPr>
      </w:pPr>
    </w:p>
    <w:p w:rsidR="00D36D0F" w:rsidRPr="00632B19" w:rsidRDefault="00D36D0F" w:rsidP="00D36D0F">
      <w:pPr>
        <w:pStyle w:val="Paragrafi"/>
        <w:rPr>
          <w:sz w:val="21"/>
          <w:szCs w:val="21"/>
          <w:lang w:val="sq-AL"/>
        </w:rPr>
      </w:pPr>
      <w:r w:rsidRPr="00632B19">
        <w:rPr>
          <w:sz w:val="21"/>
          <w:szCs w:val="21"/>
          <w:lang w:val="sq-AL"/>
        </w:rPr>
        <w:t xml:space="preserve">Në mbështetje të neneve 78 dhe 83 pika 1 të Kushtetutës, me propozimin e Këshillit të Ministrave, </w:t>
      </w:r>
    </w:p>
    <w:p w:rsidR="00D36D0F" w:rsidRPr="00632B19" w:rsidRDefault="00D36D0F" w:rsidP="00D36D0F">
      <w:pPr>
        <w:pStyle w:val="Paragrafi"/>
        <w:rPr>
          <w:sz w:val="21"/>
          <w:szCs w:val="21"/>
          <w:lang w:val="sq-AL"/>
        </w:rPr>
      </w:pPr>
    </w:p>
    <w:p w:rsidR="00D36D0F" w:rsidRPr="00632B19" w:rsidRDefault="00D36D0F" w:rsidP="00D36D0F">
      <w:pPr>
        <w:pStyle w:val="Institucioni"/>
        <w:keepNext w:val="0"/>
        <w:rPr>
          <w:sz w:val="21"/>
          <w:szCs w:val="21"/>
          <w:lang w:val="sq-AL"/>
        </w:rPr>
      </w:pPr>
      <w:r w:rsidRPr="00632B19">
        <w:rPr>
          <w:sz w:val="21"/>
          <w:szCs w:val="21"/>
          <w:lang w:val="sq-AL"/>
        </w:rPr>
        <w:t>KUVENDI</w:t>
      </w:r>
    </w:p>
    <w:p w:rsidR="00D36D0F" w:rsidRPr="00632B19" w:rsidRDefault="00D36D0F" w:rsidP="00D36D0F">
      <w:pPr>
        <w:pStyle w:val="Institucioni"/>
        <w:keepNext w:val="0"/>
        <w:rPr>
          <w:sz w:val="21"/>
          <w:szCs w:val="21"/>
          <w:lang w:val="sq-AL"/>
        </w:rPr>
      </w:pPr>
      <w:r w:rsidRPr="00632B19">
        <w:rPr>
          <w:sz w:val="21"/>
          <w:szCs w:val="21"/>
          <w:lang w:val="sq-AL"/>
        </w:rPr>
        <w:t>I REPUBLIKËS SË SHQIPËRISË</w:t>
      </w:r>
    </w:p>
    <w:p w:rsidR="00D36D0F" w:rsidRPr="00632B19" w:rsidRDefault="00D36D0F" w:rsidP="00D36D0F">
      <w:pPr>
        <w:pStyle w:val="Paragrafi"/>
        <w:rPr>
          <w:sz w:val="21"/>
          <w:szCs w:val="21"/>
          <w:lang w:val="sq-AL"/>
        </w:rPr>
      </w:pPr>
    </w:p>
    <w:p w:rsidR="00D36D0F" w:rsidRPr="00632B19" w:rsidRDefault="00D36D0F" w:rsidP="00D36D0F">
      <w:pPr>
        <w:pStyle w:val="VENDOSI"/>
        <w:keepNext w:val="0"/>
        <w:rPr>
          <w:sz w:val="21"/>
          <w:szCs w:val="21"/>
          <w:lang w:val="sq-AL"/>
        </w:rPr>
      </w:pPr>
      <w:r w:rsidRPr="00632B19">
        <w:rPr>
          <w:sz w:val="21"/>
          <w:szCs w:val="21"/>
          <w:lang w:val="sq-AL"/>
        </w:rPr>
        <w:t>VENDOSI:</w:t>
      </w:r>
    </w:p>
    <w:p w:rsidR="00D36D0F" w:rsidRPr="00632B19" w:rsidRDefault="00D36D0F" w:rsidP="00D36D0F">
      <w:pPr>
        <w:pStyle w:val="Paragrafi"/>
        <w:rPr>
          <w:sz w:val="21"/>
          <w:szCs w:val="21"/>
          <w:lang w:val="sq-AL"/>
        </w:rPr>
      </w:pPr>
    </w:p>
    <w:p w:rsidR="00D36D0F" w:rsidRPr="00632B19" w:rsidRDefault="00D36D0F" w:rsidP="00D36D0F">
      <w:pPr>
        <w:pStyle w:val="Paragrafi"/>
        <w:rPr>
          <w:sz w:val="21"/>
          <w:szCs w:val="21"/>
          <w:lang w:val="sq-AL"/>
        </w:rPr>
      </w:pPr>
      <w:r w:rsidRPr="00632B19">
        <w:rPr>
          <w:sz w:val="21"/>
          <w:szCs w:val="21"/>
          <w:lang w:val="sq-AL"/>
        </w:rPr>
        <w:t>Në ligjin nr. 10 454, datë 21.7.2011 “Për transplantimin e indeve, të qelizave dhe të organeve në Republikën e Shqipërisë”, bëhen këto shtesa dhe ndryshime:</w:t>
      </w:r>
    </w:p>
    <w:p w:rsidR="00D36D0F" w:rsidRPr="00632B19" w:rsidRDefault="00D36D0F" w:rsidP="00D36D0F">
      <w:pPr>
        <w:pStyle w:val="Paragrafi"/>
        <w:rPr>
          <w:sz w:val="21"/>
          <w:szCs w:val="21"/>
          <w:lang w:val="sq-AL"/>
        </w:rPr>
      </w:pPr>
    </w:p>
    <w:p w:rsidR="00D36D0F" w:rsidRPr="00632B19" w:rsidRDefault="00D36D0F" w:rsidP="00D36D0F">
      <w:pPr>
        <w:pStyle w:val="NeniNr"/>
        <w:keepNext w:val="0"/>
        <w:rPr>
          <w:sz w:val="21"/>
          <w:szCs w:val="21"/>
          <w:lang w:val="sq-AL"/>
        </w:rPr>
      </w:pPr>
      <w:r w:rsidRPr="00632B19">
        <w:rPr>
          <w:sz w:val="21"/>
          <w:szCs w:val="21"/>
          <w:lang w:val="sq-AL"/>
        </w:rPr>
        <w:t>Neni 1</w:t>
      </w:r>
    </w:p>
    <w:p w:rsidR="00D36D0F" w:rsidRPr="00632B19" w:rsidRDefault="00D36D0F" w:rsidP="00D36D0F">
      <w:pPr>
        <w:pStyle w:val="Paragrafi"/>
        <w:rPr>
          <w:sz w:val="21"/>
          <w:szCs w:val="21"/>
          <w:lang w:val="sq-AL"/>
        </w:rPr>
      </w:pPr>
    </w:p>
    <w:p w:rsidR="00D36D0F" w:rsidRPr="00632B19" w:rsidRDefault="00D36D0F" w:rsidP="00D36D0F">
      <w:pPr>
        <w:pStyle w:val="Paragrafi"/>
        <w:rPr>
          <w:sz w:val="21"/>
          <w:szCs w:val="21"/>
          <w:lang w:val="sq-AL"/>
        </w:rPr>
      </w:pPr>
      <w:r w:rsidRPr="00632B19">
        <w:rPr>
          <w:sz w:val="21"/>
          <w:szCs w:val="21"/>
          <w:lang w:val="sq-AL"/>
        </w:rPr>
        <w:t>Në nenin 9 pika 1, pas fjalës “shëndetësore” shtohet fjala “publike”.</w:t>
      </w:r>
    </w:p>
    <w:p w:rsidR="00D36D0F" w:rsidRPr="00632B19" w:rsidRDefault="00D36D0F" w:rsidP="00D36D0F">
      <w:pPr>
        <w:pStyle w:val="Paragrafi"/>
        <w:rPr>
          <w:sz w:val="21"/>
          <w:szCs w:val="21"/>
          <w:lang w:val="sq-AL"/>
        </w:rPr>
      </w:pPr>
      <w:r w:rsidRPr="00632B19">
        <w:rPr>
          <w:sz w:val="21"/>
          <w:szCs w:val="21"/>
          <w:lang w:val="sq-AL"/>
        </w:rPr>
        <w:tab/>
      </w:r>
    </w:p>
    <w:p w:rsidR="00D36D0F" w:rsidRPr="00632B19" w:rsidRDefault="00D36D0F" w:rsidP="00D36D0F">
      <w:pPr>
        <w:pStyle w:val="NeniNr"/>
        <w:keepNext w:val="0"/>
        <w:rPr>
          <w:sz w:val="21"/>
          <w:szCs w:val="21"/>
          <w:lang w:val="sq-AL"/>
        </w:rPr>
      </w:pPr>
      <w:r w:rsidRPr="00632B19">
        <w:rPr>
          <w:sz w:val="21"/>
          <w:szCs w:val="21"/>
          <w:lang w:val="sq-AL"/>
        </w:rPr>
        <w:t>Neni 2</w:t>
      </w:r>
    </w:p>
    <w:p w:rsidR="00D36D0F" w:rsidRPr="00632B19" w:rsidRDefault="00D36D0F" w:rsidP="00D36D0F">
      <w:pPr>
        <w:pStyle w:val="Paragrafi"/>
        <w:rPr>
          <w:sz w:val="21"/>
          <w:szCs w:val="21"/>
          <w:lang w:val="sq-AL"/>
        </w:rPr>
      </w:pPr>
    </w:p>
    <w:p w:rsidR="00D36D0F" w:rsidRPr="00632B19" w:rsidRDefault="00D36D0F" w:rsidP="00D36D0F">
      <w:pPr>
        <w:pStyle w:val="Paragrafi"/>
        <w:rPr>
          <w:sz w:val="21"/>
          <w:szCs w:val="21"/>
          <w:lang w:val="sq-AL"/>
        </w:rPr>
      </w:pPr>
      <w:r w:rsidRPr="00632B19">
        <w:rPr>
          <w:sz w:val="21"/>
          <w:szCs w:val="21"/>
          <w:lang w:val="sq-AL"/>
        </w:rPr>
        <w:t>Në nenin 21, pika 2 ndryshohet si më poshtë:</w:t>
      </w:r>
    </w:p>
    <w:p w:rsidR="00D36D0F" w:rsidRPr="00632B19" w:rsidRDefault="00D36D0F" w:rsidP="00D36D0F">
      <w:pPr>
        <w:pStyle w:val="Paragrafi"/>
        <w:rPr>
          <w:sz w:val="21"/>
          <w:szCs w:val="21"/>
          <w:lang w:val="sq-AL"/>
        </w:rPr>
      </w:pPr>
      <w:r w:rsidRPr="00632B19">
        <w:rPr>
          <w:sz w:val="21"/>
          <w:szCs w:val="21"/>
          <w:lang w:val="sq-AL"/>
        </w:rPr>
        <w:t>“2. Heqja e organit apo indit nga një person që nuk jeton mund të realizohet vetëm në rastin kur vdekja provohet në përputhje me kriteret mjekësore, të miratuara me vendim të Këshillit të Ministrave.”.</w:t>
      </w:r>
    </w:p>
    <w:p w:rsidR="00D36D0F" w:rsidRPr="00632B19" w:rsidRDefault="00D36D0F" w:rsidP="00D36D0F">
      <w:pPr>
        <w:pStyle w:val="Paragrafi"/>
        <w:rPr>
          <w:sz w:val="21"/>
          <w:szCs w:val="21"/>
          <w:lang w:val="sq-AL"/>
        </w:rPr>
      </w:pPr>
    </w:p>
    <w:p w:rsidR="00D36D0F" w:rsidRPr="00632B19" w:rsidRDefault="00D36D0F" w:rsidP="00D36D0F">
      <w:pPr>
        <w:pStyle w:val="NeniNr"/>
        <w:keepNext w:val="0"/>
        <w:rPr>
          <w:sz w:val="21"/>
          <w:szCs w:val="21"/>
          <w:lang w:val="sq-AL"/>
        </w:rPr>
      </w:pPr>
      <w:r w:rsidRPr="00632B19">
        <w:rPr>
          <w:sz w:val="21"/>
          <w:szCs w:val="21"/>
          <w:lang w:val="sq-AL"/>
        </w:rPr>
        <w:t>Neni 3</w:t>
      </w:r>
    </w:p>
    <w:p w:rsidR="00D36D0F" w:rsidRPr="00632B19" w:rsidRDefault="00D36D0F" w:rsidP="00D36D0F">
      <w:pPr>
        <w:pStyle w:val="Paragrafi"/>
        <w:rPr>
          <w:sz w:val="21"/>
          <w:szCs w:val="21"/>
          <w:lang w:val="sq-AL"/>
        </w:rPr>
      </w:pPr>
    </w:p>
    <w:p w:rsidR="00D36D0F" w:rsidRPr="00632B19" w:rsidRDefault="00D36D0F" w:rsidP="00D36D0F">
      <w:pPr>
        <w:pStyle w:val="Paragrafi"/>
        <w:rPr>
          <w:sz w:val="21"/>
          <w:szCs w:val="21"/>
          <w:lang w:val="sq-AL"/>
        </w:rPr>
      </w:pPr>
      <w:r w:rsidRPr="00632B19">
        <w:rPr>
          <w:sz w:val="21"/>
          <w:szCs w:val="21"/>
          <w:lang w:val="sq-AL"/>
        </w:rPr>
        <w:t>Neni 30 ndryshohet si më poshtë:</w:t>
      </w:r>
    </w:p>
    <w:p w:rsidR="00D36D0F" w:rsidRPr="00632B19" w:rsidRDefault="00D36D0F" w:rsidP="00D36D0F">
      <w:pPr>
        <w:pStyle w:val="Paragrafi"/>
        <w:rPr>
          <w:sz w:val="21"/>
          <w:szCs w:val="21"/>
          <w:lang w:val="sq-AL"/>
        </w:rPr>
      </w:pPr>
    </w:p>
    <w:p w:rsidR="00D36D0F" w:rsidRPr="00632B19" w:rsidRDefault="00D36D0F" w:rsidP="00D36D0F">
      <w:pPr>
        <w:pStyle w:val="Paragrafi"/>
        <w:rPr>
          <w:sz w:val="21"/>
          <w:szCs w:val="21"/>
          <w:lang w:val="sq-AL"/>
        </w:rPr>
      </w:pPr>
    </w:p>
    <w:p w:rsidR="00D36D0F" w:rsidRPr="00632B19" w:rsidRDefault="00D36D0F" w:rsidP="00D36D0F">
      <w:pPr>
        <w:pStyle w:val="Paragrafi"/>
        <w:rPr>
          <w:sz w:val="21"/>
          <w:szCs w:val="21"/>
          <w:lang w:val="sq-AL"/>
        </w:rPr>
      </w:pPr>
    </w:p>
    <w:p w:rsidR="00D36D0F" w:rsidRPr="00632B19" w:rsidRDefault="00D36D0F" w:rsidP="00D36D0F">
      <w:pPr>
        <w:pStyle w:val="Paragrafi"/>
        <w:rPr>
          <w:sz w:val="21"/>
          <w:szCs w:val="21"/>
          <w:lang w:val="sq-AL"/>
        </w:rPr>
      </w:pPr>
    </w:p>
    <w:p w:rsidR="00D36D0F" w:rsidRPr="00632B19" w:rsidRDefault="00D36D0F" w:rsidP="00D36D0F">
      <w:pPr>
        <w:pStyle w:val="NeniNr"/>
        <w:keepNext w:val="0"/>
        <w:rPr>
          <w:sz w:val="21"/>
          <w:szCs w:val="21"/>
          <w:lang w:val="sq-AL"/>
        </w:rPr>
      </w:pPr>
      <w:r w:rsidRPr="00632B19">
        <w:rPr>
          <w:sz w:val="21"/>
          <w:szCs w:val="21"/>
          <w:lang w:val="sq-AL"/>
        </w:rPr>
        <w:t>“Neni 30</w:t>
      </w:r>
    </w:p>
    <w:p w:rsidR="00D36D0F" w:rsidRPr="00632B19" w:rsidRDefault="00D36D0F" w:rsidP="00D36D0F">
      <w:pPr>
        <w:pStyle w:val="NeniTitull"/>
        <w:keepNext w:val="0"/>
        <w:rPr>
          <w:sz w:val="21"/>
          <w:szCs w:val="21"/>
          <w:lang w:val="sq-AL"/>
        </w:rPr>
      </w:pPr>
      <w:r w:rsidRPr="00632B19">
        <w:rPr>
          <w:sz w:val="21"/>
          <w:szCs w:val="21"/>
          <w:lang w:val="sq-AL"/>
        </w:rPr>
        <w:t>Inspektimi</w:t>
      </w:r>
    </w:p>
    <w:p w:rsidR="00D36D0F" w:rsidRPr="00632B19" w:rsidRDefault="00D36D0F" w:rsidP="00D36D0F">
      <w:pPr>
        <w:pStyle w:val="Paragrafi"/>
        <w:rPr>
          <w:sz w:val="21"/>
          <w:szCs w:val="21"/>
          <w:lang w:val="sq-AL"/>
        </w:rPr>
      </w:pPr>
    </w:p>
    <w:p w:rsidR="00D36D0F" w:rsidRPr="00632B19" w:rsidRDefault="00D36D0F" w:rsidP="00D36D0F">
      <w:pPr>
        <w:pStyle w:val="Paragrafi"/>
        <w:rPr>
          <w:sz w:val="21"/>
          <w:szCs w:val="21"/>
          <w:lang w:val="sq-AL"/>
        </w:rPr>
      </w:pPr>
      <w:r w:rsidRPr="00632B19">
        <w:rPr>
          <w:sz w:val="21"/>
          <w:szCs w:val="21"/>
          <w:lang w:val="sq-AL"/>
        </w:rPr>
        <w:t>Inspektimi i strukturave shëndetësore të transplantimit kryhet nga inspektorati që  mbulon fushën e shëndetit në përputhje me këtë ligj dhe ligjin nr. 10 433, datë 16.6.2011 “Për inspektimin në Republikën e Shqipërisë””.</w:t>
      </w:r>
    </w:p>
    <w:p w:rsidR="00D36D0F" w:rsidRPr="00632B19" w:rsidRDefault="00D36D0F" w:rsidP="00D36D0F">
      <w:pPr>
        <w:pStyle w:val="Paragrafi"/>
        <w:rPr>
          <w:sz w:val="12"/>
          <w:szCs w:val="21"/>
          <w:lang w:val="sq-AL"/>
        </w:rPr>
      </w:pPr>
      <w:r w:rsidRPr="00632B19">
        <w:rPr>
          <w:sz w:val="21"/>
          <w:szCs w:val="21"/>
          <w:lang w:val="sq-AL"/>
        </w:rPr>
        <w:tab/>
      </w:r>
    </w:p>
    <w:p w:rsidR="00D36D0F" w:rsidRPr="00632B19" w:rsidRDefault="00D36D0F" w:rsidP="00D36D0F">
      <w:pPr>
        <w:pStyle w:val="NeniNr"/>
        <w:keepNext w:val="0"/>
        <w:rPr>
          <w:sz w:val="21"/>
          <w:szCs w:val="21"/>
          <w:lang w:val="sq-AL"/>
        </w:rPr>
      </w:pPr>
      <w:r w:rsidRPr="00632B19">
        <w:rPr>
          <w:sz w:val="21"/>
          <w:szCs w:val="21"/>
          <w:lang w:val="sq-AL"/>
        </w:rPr>
        <w:t>Neni 4</w:t>
      </w:r>
    </w:p>
    <w:p w:rsidR="00D36D0F" w:rsidRPr="00632B19" w:rsidRDefault="00D36D0F" w:rsidP="00D36D0F">
      <w:pPr>
        <w:pStyle w:val="Paragrafi"/>
        <w:rPr>
          <w:sz w:val="12"/>
          <w:szCs w:val="21"/>
          <w:lang w:val="sq-AL"/>
        </w:rPr>
      </w:pPr>
    </w:p>
    <w:p w:rsidR="00D36D0F" w:rsidRPr="00632B19" w:rsidRDefault="00D36D0F" w:rsidP="00D36D0F">
      <w:pPr>
        <w:pStyle w:val="Paragrafi"/>
        <w:rPr>
          <w:sz w:val="21"/>
          <w:szCs w:val="21"/>
          <w:lang w:val="sq-AL"/>
        </w:rPr>
      </w:pPr>
      <w:r w:rsidRPr="00632B19">
        <w:rPr>
          <w:sz w:val="21"/>
          <w:szCs w:val="21"/>
          <w:lang w:val="sq-AL"/>
        </w:rPr>
        <w:t>Në nenin 34 bëhen këto ndryshime e shtesa:</w:t>
      </w:r>
    </w:p>
    <w:p w:rsidR="00D36D0F" w:rsidRPr="00632B19" w:rsidRDefault="00D36D0F" w:rsidP="00D36D0F">
      <w:pPr>
        <w:pStyle w:val="Paragrafi"/>
        <w:rPr>
          <w:sz w:val="21"/>
          <w:szCs w:val="21"/>
          <w:lang w:val="sq-AL"/>
        </w:rPr>
      </w:pPr>
      <w:r w:rsidRPr="00632B19">
        <w:rPr>
          <w:sz w:val="21"/>
          <w:szCs w:val="21"/>
          <w:lang w:val="sq-AL"/>
        </w:rPr>
        <w:t xml:space="preserve">1. Pika 3 ndryshohet si më poshtë: </w:t>
      </w:r>
    </w:p>
    <w:p w:rsidR="00D36D0F" w:rsidRPr="00632B19" w:rsidRDefault="00D36D0F" w:rsidP="00D36D0F">
      <w:pPr>
        <w:pStyle w:val="Paragrafi"/>
        <w:rPr>
          <w:sz w:val="21"/>
          <w:szCs w:val="21"/>
          <w:lang w:val="sq-AL"/>
        </w:rPr>
      </w:pPr>
      <w:r w:rsidRPr="00632B19">
        <w:rPr>
          <w:sz w:val="21"/>
          <w:szCs w:val="21"/>
          <w:lang w:val="sq-AL"/>
        </w:rPr>
        <w:t>“3. Autoriteti përgjegjës për vënien dhe ekzekutimin e gjobës është Inspektorati që mbulon fushën e shëndetit.”.</w:t>
      </w:r>
    </w:p>
    <w:p w:rsidR="00D36D0F" w:rsidRPr="00632B19" w:rsidRDefault="00D36D0F" w:rsidP="00D36D0F">
      <w:pPr>
        <w:pStyle w:val="Paragrafi"/>
        <w:rPr>
          <w:sz w:val="21"/>
          <w:szCs w:val="21"/>
          <w:lang w:val="sq-AL"/>
        </w:rPr>
      </w:pPr>
      <w:r w:rsidRPr="00632B19">
        <w:rPr>
          <w:sz w:val="21"/>
          <w:szCs w:val="21"/>
          <w:lang w:val="sq-AL"/>
        </w:rPr>
        <w:t>2. Pika 4 shfuqizohet.</w:t>
      </w:r>
    </w:p>
    <w:p w:rsidR="00D36D0F" w:rsidRPr="00632B19" w:rsidRDefault="00D36D0F" w:rsidP="00D36D0F">
      <w:pPr>
        <w:pStyle w:val="Paragrafi"/>
        <w:rPr>
          <w:sz w:val="21"/>
          <w:szCs w:val="21"/>
          <w:lang w:val="sq-AL"/>
        </w:rPr>
      </w:pPr>
      <w:r w:rsidRPr="00632B19">
        <w:rPr>
          <w:sz w:val="21"/>
          <w:szCs w:val="21"/>
          <w:lang w:val="sq-AL"/>
        </w:rPr>
        <w:t>3. Pas pikës 3 shtohen pikat 4, 5 dhe 6 me këtë përmbajtje:</w:t>
      </w:r>
    </w:p>
    <w:p w:rsidR="00D36D0F" w:rsidRPr="00632B19" w:rsidRDefault="00D36D0F" w:rsidP="00D36D0F">
      <w:pPr>
        <w:pStyle w:val="Paragrafi"/>
        <w:rPr>
          <w:sz w:val="21"/>
          <w:szCs w:val="21"/>
          <w:lang w:val="sq-AL"/>
        </w:rPr>
      </w:pPr>
      <w:r w:rsidRPr="00632B19">
        <w:rPr>
          <w:sz w:val="21"/>
          <w:szCs w:val="21"/>
          <w:lang w:val="sq-AL"/>
        </w:rPr>
        <w:t>“4. Dënimi me gjobë është dënim kryesor kur parashikohet si dënim më vete dhe dënim plotësues kur jepet njëkohësisht me masën e heqjes së të drejtës së ushtrimit të profesionit dhe  revokim të titullit të strukturës përkatëse, sipas legjislacionit në fuqi.</w:t>
      </w:r>
    </w:p>
    <w:p w:rsidR="00D36D0F" w:rsidRPr="00632B19" w:rsidRDefault="00D36D0F" w:rsidP="00D36D0F">
      <w:pPr>
        <w:pStyle w:val="Paragrafi"/>
        <w:rPr>
          <w:sz w:val="21"/>
          <w:szCs w:val="21"/>
          <w:lang w:val="sq-AL"/>
        </w:rPr>
      </w:pPr>
      <w:r w:rsidRPr="00632B19">
        <w:rPr>
          <w:sz w:val="21"/>
          <w:szCs w:val="21"/>
          <w:lang w:val="sq-AL"/>
        </w:rPr>
        <w:t xml:space="preserve">5. Ankimi ndaj vendimit të inspektoratit bëhet në përputhje me ligjin për inspektimin. </w:t>
      </w:r>
    </w:p>
    <w:p w:rsidR="00D36D0F" w:rsidRPr="00632B19" w:rsidRDefault="00D36D0F" w:rsidP="00D36D0F">
      <w:pPr>
        <w:pStyle w:val="Paragrafi"/>
        <w:rPr>
          <w:sz w:val="21"/>
          <w:szCs w:val="21"/>
          <w:lang w:val="sq-AL"/>
        </w:rPr>
      </w:pPr>
      <w:r w:rsidRPr="00632B19">
        <w:rPr>
          <w:sz w:val="21"/>
          <w:szCs w:val="21"/>
          <w:lang w:val="sq-AL"/>
        </w:rPr>
        <w:t xml:space="preserve">6. Ekzekutimi i vendimeve bëhet sipas legjislacionit në fuqi për kundërvajtjet administrative.”. </w:t>
      </w:r>
    </w:p>
    <w:p w:rsidR="00D36D0F" w:rsidRPr="00632B19" w:rsidRDefault="00D36D0F" w:rsidP="00D36D0F">
      <w:pPr>
        <w:pStyle w:val="Paragrafi"/>
        <w:rPr>
          <w:sz w:val="14"/>
          <w:szCs w:val="21"/>
          <w:lang w:val="sq-AL"/>
        </w:rPr>
      </w:pPr>
    </w:p>
    <w:p w:rsidR="00D36D0F" w:rsidRPr="00632B19" w:rsidRDefault="00D36D0F" w:rsidP="00D36D0F">
      <w:pPr>
        <w:pStyle w:val="NeniNr"/>
        <w:keepNext w:val="0"/>
        <w:rPr>
          <w:sz w:val="21"/>
          <w:szCs w:val="21"/>
          <w:lang w:val="sq-AL"/>
        </w:rPr>
      </w:pPr>
      <w:r w:rsidRPr="00632B19">
        <w:rPr>
          <w:sz w:val="21"/>
          <w:szCs w:val="21"/>
          <w:lang w:val="sq-AL"/>
        </w:rPr>
        <w:t>Neni 5</w:t>
      </w:r>
    </w:p>
    <w:p w:rsidR="00D36D0F" w:rsidRPr="00632B19" w:rsidRDefault="00D36D0F" w:rsidP="00D36D0F">
      <w:pPr>
        <w:pStyle w:val="NeniTitull"/>
        <w:keepNext w:val="0"/>
        <w:rPr>
          <w:sz w:val="21"/>
          <w:szCs w:val="21"/>
          <w:lang w:val="sq-AL"/>
        </w:rPr>
      </w:pPr>
      <w:r w:rsidRPr="00632B19">
        <w:rPr>
          <w:sz w:val="21"/>
          <w:szCs w:val="21"/>
          <w:lang w:val="sq-AL"/>
        </w:rPr>
        <w:t>Dispozitë kalimtare</w:t>
      </w:r>
    </w:p>
    <w:p w:rsidR="00D36D0F" w:rsidRPr="00632B19" w:rsidRDefault="00D36D0F" w:rsidP="00D36D0F">
      <w:pPr>
        <w:pStyle w:val="Paragrafi"/>
        <w:rPr>
          <w:sz w:val="21"/>
          <w:szCs w:val="21"/>
          <w:lang w:val="sq-AL"/>
        </w:rPr>
      </w:pPr>
    </w:p>
    <w:p w:rsidR="00D36D0F" w:rsidRPr="00632B19" w:rsidRDefault="00D36D0F" w:rsidP="00D36D0F">
      <w:pPr>
        <w:pStyle w:val="Paragrafi"/>
        <w:rPr>
          <w:sz w:val="21"/>
          <w:szCs w:val="21"/>
          <w:lang w:val="sq-AL"/>
        </w:rPr>
      </w:pPr>
      <w:r w:rsidRPr="00632B19">
        <w:rPr>
          <w:sz w:val="21"/>
          <w:szCs w:val="21"/>
          <w:lang w:val="sq-AL"/>
        </w:rPr>
        <w:t>Organi ekzistues inspektues vazhdon të ushtrojë funksionin e vet sipas organizimit aktual deri në krijimin e organit të ri, sikurse parashikohet në ndryshimet e bëra në këtë ligj.</w:t>
      </w:r>
    </w:p>
    <w:p w:rsidR="00D36D0F" w:rsidRPr="00632B19" w:rsidRDefault="00D36D0F" w:rsidP="00D36D0F">
      <w:pPr>
        <w:pStyle w:val="Paragrafi"/>
        <w:rPr>
          <w:sz w:val="14"/>
          <w:szCs w:val="21"/>
          <w:lang w:val="sq-AL"/>
        </w:rPr>
      </w:pPr>
    </w:p>
    <w:p w:rsidR="00D36D0F" w:rsidRPr="00632B19" w:rsidRDefault="00D36D0F" w:rsidP="00D36D0F">
      <w:pPr>
        <w:pStyle w:val="NeniNr"/>
        <w:keepNext w:val="0"/>
        <w:rPr>
          <w:sz w:val="21"/>
          <w:szCs w:val="21"/>
          <w:lang w:val="sq-AL"/>
        </w:rPr>
      </w:pPr>
      <w:r w:rsidRPr="00632B19">
        <w:rPr>
          <w:sz w:val="21"/>
          <w:szCs w:val="21"/>
          <w:lang w:val="sq-AL"/>
        </w:rPr>
        <w:t>Neni 6</w:t>
      </w:r>
    </w:p>
    <w:p w:rsidR="00D36D0F" w:rsidRPr="00632B19" w:rsidRDefault="00D36D0F" w:rsidP="00D36D0F">
      <w:pPr>
        <w:pStyle w:val="Paragrafi"/>
        <w:rPr>
          <w:sz w:val="14"/>
          <w:szCs w:val="21"/>
          <w:lang w:val="sq-AL"/>
        </w:rPr>
      </w:pPr>
    </w:p>
    <w:p w:rsidR="00D36D0F" w:rsidRPr="00632B19" w:rsidRDefault="00D36D0F" w:rsidP="00D36D0F">
      <w:pPr>
        <w:pStyle w:val="Paragrafi"/>
        <w:rPr>
          <w:sz w:val="21"/>
          <w:szCs w:val="21"/>
          <w:lang w:val="sq-AL"/>
        </w:rPr>
      </w:pPr>
      <w:r w:rsidRPr="00632B19">
        <w:rPr>
          <w:sz w:val="21"/>
          <w:szCs w:val="21"/>
          <w:lang w:val="sq-AL"/>
        </w:rPr>
        <w:t>Ky ligj hyn në fuqi 15 ditë pas botimit në Fletoren Zyrtare.</w:t>
      </w:r>
    </w:p>
    <w:p w:rsidR="00D36D0F" w:rsidRPr="00632B19" w:rsidRDefault="00D36D0F" w:rsidP="00D36D0F">
      <w:pPr>
        <w:pStyle w:val="Paragrafi"/>
        <w:rPr>
          <w:sz w:val="21"/>
          <w:szCs w:val="21"/>
          <w:lang w:val="sq-AL"/>
        </w:rPr>
      </w:pPr>
    </w:p>
    <w:p w:rsidR="00D36D0F" w:rsidRPr="00632B19" w:rsidRDefault="00D36D0F" w:rsidP="00D36D0F">
      <w:pPr>
        <w:pStyle w:val="Paragrafi"/>
        <w:rPr>
          <w:rFonts w:ascii="Times New Roman" w:hAnsi="Times New Roman"/>
          <w:sz w:val="21"/>
          <w:szCs w:val="21"/>
          <w:lang w:val="sq-AL"/>
        </w:rPr>
      </w:pPr>
      <w:r w:rsidRPr="00632B19">
        <w:rPr>
          <w:rFonts w:ascii="Times New Roman" w:hAnsi="Times New Roman"/>
          <w:sz w:val="21"/>
          <w:szCs w:val="21"/>
          <w:lang w:val="sq-AL"/>
        </w:rPr>
        <w:t>Miratuar në datën 14.2.2013</w:t>
      </w:r>
    </w:p>
    <w:p w:rsidR="00D36D0F" w:rsidRPr="00632B19" w:rsidRDefault="00D36D0F" w:rsidP="00D36D0F">
      <w:pPr>
        <w:pStyle w:val="Paragrafi"/>
        <w:rPr>
          <w:sz w:val="14"/>
          <w:szCs w:val="21"/>
          <w:lang w:val="sq-AL"/>
        </w:rPr>
      </w:pPr>
    </w:p>
    <w:p w:rsidR="00D36D0F" w:rsidRPr="00632B19" w:rsidRDefault="00D36D0F" w:rsidP="00D36D0F">
      <w:pPr>
        <w:pStyle w:val="Shpallja"/>
        <w:rPr>
          <w:sz w:val="23"/>
          <w:szCs w:val="23"/>
        </w:rPr>
      </w:pPr>
      <w:r w:rsidRPr="00632B19">
        <w:rPr>
          <w:sz w:val="23"/>
          <w:szCs w:val="23"/>
        </w:rPr>
        <w:t>Shpallur me dekretin nr. 8019, datë 1.3.2013 të Presidentit të Republikës së Shqipërisë, Bujar Nishani</w:t>
      </w:r>
    </w:p>
    <w:sectPr w:rsidR="00D36D0F" w:rsidRPr="00632B19" w:rsidSect="003245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36D0F"/>
    <w:rsid w:val="00324543"/>
    <w:rsid w:val="00B13AB0"/>
    <w:rsid w:val="00D36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8666D68-4C7B-42C0-9F91-10A1D8D0F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54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36D0F"/>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D36D0F"/>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D36D0F"/>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D36D0F"/>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D36D0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36D0F"/>
    <w:rPr>
      <w:rFonts w:ascii="CG Times" w:eastAsia="MS Mincho" w:hAnsi="CG Times" w:cs="CG Times"/>
      <w:b/>
      <w:bCs/>
      <w:sz w:val="22"/>
      <w:szCs w:val="22"/>
      <w:lang w:val="en-GB" w:eastAsia="en-US" w:bidi="ar-SA"/>
    </w:rPr>
  </w:style>
  <w:style w:type="paragraph" w:customStyle="1" w:styleId="Paragrafi">
    <w:name w:val="Paragrafi"/>
    <w:link w:val="ParagrafiChar"/>
    <w:rsid w:val="00D36D0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36D0F"/>
    <w:rPr>
      <w:rFonts w:ascii="CG Times" w:eastAsia="MS Mincho" w:hAnsi="CG Times" w:cs="CG Times"/>
      <w:sz w:val="22"/>
      <w:szCs w:val="22"/>
      <w:lang w:val="en-US" w:eastAsia="en-US" w:bidi="ar-SA"/>
    </w:rPr>
  </w:style>
  <w:style w:type="paragraph" w:customStyle="1" w:styleId="Shpallja">
    <w:name w:val="Shpallja"/>
    <w:rsid w:val="00D36D0F"/>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D36D0F"/>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D36D0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36D0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36D0F"/>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D36D0F"/>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D36D0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2019-03-18T13:17:00Z</dcterms:created>
  <dcterms:modified xsi:type="dcterms:W3CDTF">2019-03-18T13:17:00Z</dcterms:modified>
</cp:coreProperties>
</file>