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4DE" w:rsidRPr="00990223" w:rsidRDefault="002344DE" w:rsidP="002344DE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90223">
        <w:rPr>
          <w:sz w:val="21"/>
          <w:szCs w:val="21"/>
          <w:lang w:val="sq-AL"/>
        </w:rPr>
        <w:t>LIGJ</w:t>
      </w:r>
    </w:p>
    <w:p w:rsidR="002344DE" w:rsidRPr="00990223" w:rsidRDefault="002344DE" w:rsidP="00D12D89">
      <w:pPr>
        <w:pStyle w:val="NumriData"/>
      </w:pPr>
      <w:r w:rsidRPr="00990223">
        <w:t>Nr. 92/2013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Titull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PËR DISA SHTESA DHE NDRYSHIME NË LIGJIN NR. 8788, DATË 7.5.2001 “PËR ORGANIZATAT JOFITIMPRURËSE”, TË NDRYSHUAR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2344DE" w:rsidRPr="00770BE2" w:rsidRDefault="002344DE" w:rsidP="002344DE">
      <w:pPr>
        <w:pStyle w:val="Paragrafi"/>
        <w:rPr>
          <w:sz w:val="12"/>
          <w:szCs w:val="21"/>
          <w:lang w:val="sq-AL"/>
        </w:rPr>
      </w:pPr>
    </w:p>
    <w:p w:rsidR="002344DE" w:rsidRPr="00990223" w:rsidRDefault="002344DE" w:rsidP="002344DE">
      <w:pPr>
        <w:pStyle w:val="VENDOS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KUVENDI</w:t>
      </w:r>
    </w:p>
    <w:p w:rsidR="002344DE" w:rsidRPr="00990223" w:rsidRDefault="002344DE" w:rsidP="002344DE">
      <w:pPr>
        <w:pStyle w:val="VENDOS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I REPUBLIKËS SË SHQIPËRISË</w:t>
      </w:r>
    </w:p>
    <w:p w:rsidR="002344DE" w:rsidRPr="00990223" w:rsidRDefault="002344DE" w:rsidP="002344DE">
      <w:pPr>
        <w:pStyle w:val="VENDOS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VENDOS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VENDOSI:</w:t>
      </w:r>
    </w:p>
    <w:p w:rsidR="002344DE" w:rsidRPr="00770BE2" w:rsidRDefault="002344DE" w:rsidP="002344DE">
      <w:pPr>
        <w:pStyle w:val="Paragrafi"/>
        <w:rPr>
          <w:sz w:val="14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Në ligjin nr. 8788, datë 7.5.2001 “Për organizatat jofitimprurëse”, të ndryshuar, bëhen shtesat dhe ndryshimet e mëposhtme:</w:t>
      </w:r>
    </w:p>
    <w:p w:rsidR="002344DE" w:rsidRPr="00990223" w:rsidRDefault="002344DE" w:rsidP="002344DE">
      <w:pPr>
        <w:pStyle w:val="Paragrafi"/>
        <w:rPr>
          <w:sz w:val="10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1</w:t>
      </w:r>
    </w:p>
    <w:p w:rsidR="002344DE" w:rsidRPr="00770BE2" w:rsidRDefault="002344DE" w:rsidP="002344DE">
      <w:pPr>
        <w:pStyle w:val="Paragrafi"/>
        <w:rPr>
          <w:sz w:val="10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Në nenin 2, pas pikës 4 shtohet pika 4/1 dhe pas pikës 6 shtohen pikat 7 dhe 8 me këtë përmbajtje: </w:t>
      </w:r>
    </w:p>
    <w:p w:rsidR="002344DE" w:rsidRPr="00990223" w:rsidRDefault="002344DE" w:rsidP="002344DE">
      <w:pPr>
        <w:pStyle w:val="Paragrafi"/>
        <w:rPr>
          <w:rFonts w:cs="Times New Roman"/>
          <w:sz w:val="21"/>
          <w:szCs w:val="21"/>
          <w:lang w:val="sq-AL"/>
        </w:rPr>
      </w:pPr>
      <w:r w:rsidRPr="00990223">
        <w:rPr>
          <w:rFonts w:cs="Times New Roman"/>
          <w:sz w:val="21"/>
          <w:szCs w:val="21"/>
          <w:lang w:val="sq-AL"/>
        </w:rPr>
        <w:t>“4/1. “Veprimtari ekonomike” kuptohet veprimtaria e organizuar nga një organizatë jofitimprurëse, me qëllim nxjerrjen e të ardhurave në këmbim të ofrimit të shërbimeve apo të mallrave të ofruara, për të mundësuar misionin e organizatës, me kushtin që veprimtaria ekonomike nuk përbën qëllimin parësor të organizatës, si dhe të përdoren për përmbushjen e qëllimeve të përcaktuara në statut dhe në aktin e themelimit.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990223">
        <w:rPr>
          <w:sz w:val="21"/>
          <w:szCs w:val="21"/>
          <w:lang w:val="sq-AL"/>
        </w:rPr>
        <w:t>7. “Grant” është ofrimi i fondeve ose i bazës materiale përmes një kontrate ose marrëveshjeje, sipas një procedure të përcaktuar konkurrimi, për realizimin e veprimtarisë së organizatës jofitimprurëse, në përputhje me qëllimin dhe fushën e veprimtarisë së saj, të përcaktuara në statut.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 </w:t>
      </w:r>
      <w:r w:rsidRPr="00990223">
        <w:rPr>
          <w:sz w:val="21"/>
          <w:szCs w:val="21"/>
          <w:lang w:val="sq-AL"/>
        </w:rPr>
        <w:t xml:space="preserve">8. “Dhurim” ose “donacion” është ofrimi i fondeve ose bazës materiale përmes një kontrate ose marrëveshjeje për të mbështetur realizimin e qëllimit të organizatës jofitimprurëse.”.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2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20 ndryshohet si më poshtë: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“Neni 20</w:t>
      </w:r>
    </w:p>
    <w:p w:rsidR="002344DE" w:rsidRPr="00990223" w:rsidRDefault="002344DE" w:rsidP="002344DE">
      <w:pPr>
        <w:pStyle w:val="NeniTitull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Detyrat e organit më të lartë vendimmarrës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Organi më i lartë vendimmarrës i organizatës jofitimprurëse, përveç çështjeve të tjera që çmon se duhet të shqyrtohen prej tij, ka këto detyra: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a) vendos për ndryshimin e statutit;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b) përcakton fushat dhe programet e veprimtarisë, si dhe mbikëqyr e kontrollon rregullisht realizimin e tyre;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c) shqyrton çështjet ekonomike, financiare dhe të administrimit;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ç) miraton pasqyrat financiare që paraqiten nga organi ekzekutiv, ku jepen me hollësi burimet materiale e financiare, përdorimet e tyre dhe pasuritë e organizatës;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d) miraton aktet më të rëndësishme në lidhje me buxhetin e organizatës</w:t>
      </w:r>
      <w:r>
        <w:rPr>
          <w:sz w:val="21"/>
          <w:szCs w:val="21"/>
          <w:lang w:val="sq-AL"/>
        </w:rPr>
        <w:t xml:space="preserve"> </w:t>
      </w:r>
      <w:r w:rsidRPr="00990223">
        <w:rPr>
          <w:sz w:val="21"/>
          <w:szCs w:val="21"/>
          <w:lang w:val="sq-AL"/>
        </w:rPr>
        <w:t xml:space="preserve">jofitimprurëse dhe shpenzimet për vitin e ardhshëm;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dh) kontrollon rast pas rasti shpenzimet financiare të kryera nga organizata gjatë realizimit të veprimtarisë së saj, duke përfshirë edhe ato të kryera për veprimtari të përbashkëta me organizata të tjera;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e) nxjerr norma për rregullimin e veprimtarisë, të organizimit dhe të strukturës së organizatës;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ë) zgjedh ose emëron dhe shkarkon anëtarët e organit më të lartë ekzekutiv;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f) krijon komitete të posaçme;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g) mbikëqyr veprimtarinë e organizatës jofitimprurëse, me qëllim parandalimin e përdorimit të burimeve të organizatës për qëllime terroriste, në përputhje me legjislacionin në fuqi për parandalimin e pastrimit të parave dhe financimit të terrorizmit;</w:t>
      </w:r>
      <w:r>
        <w:rPr>
          <w:sz w:val="21"/>
          <w:szCs w:val="21"/>
          <w:lang w:val="sq-AL"/>
        </w:rPr>
        <w:t xml:space="preserve">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gj) vendos edhe për çështje të tjera të parashikuara shprehimisht në ligj ose në statut.”.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3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Në nenin 22, pas paragrafit të dytë shtohen paragrafët me këtë përmbajtje: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“Organi ekzekutiv: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a) siguron mbarëvajtjen financiare të organizatës dhe ushtrimin e veprimtarisë së saj në përputhje me qëllimin e deklaruar;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b) përfaqëson organizatën në marrëdhënie me subjektet, private ose publike, të tilla si donatorë, klientë furnizues apo subjekte të tjera private, si dhe me të gjitha nivelet e qeverisjes që rregullojnë veprimtarinë e organizatës;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c) bashkëpunon me Drejtorinë e Përgjithshme të Parandalimit të Pastrimit të Parave për të siguruar që organizatat partnere dhe ato që sigurojnë financim, shërbime dhe mbështetje materiale nuk përdoren apo manipulohen për qëllime terroriste.”.</w:t>
      </w: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4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25 ndryshohet si më poshtë: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“Neni 25</w:t>
      </w:r>
    </w:p>
    <w:p w:rsidR="002344DE" w:rsidRPr="00990223" w:rsidRDefault="002344DE" w:rsidP="002344DE">
      <w:pPr>
        <w:pStyle w:val="NeniTitull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Përgjegjësi civile dhe penale e organizatave jofitimprurëse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Organizata jofitimprurëse ka përgjegjësi civile dhe penale si person juridik.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Anëtarët e organeve vendimmarrëse dhe ekzekutive, si dhe punonjësit e organizatës jofitimprurëse nuk përgjigjen për detyrimet e saj ndaj të tretëve, me përjashtim të rasteve kur gjatë ushtrimit të detyrës, me dashje ose nga pakujdesia e rëndë, i kanë shkaktuar dëm të tretëve.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Përgjegjësia penale e organizatave jofitimprurëse përcaktohet në përputhje me legjislacionin në fuqi për përgjegjësinë penale të personave juridikë.”.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5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Në nenin 29, pas paragrafit të parë shtohet një paragraf me këtë përmbajtje: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“Organizatat jofitimprurëse të huaja i nënshtrohen mbikëqyrjes nga organet kompetente vendase dhe të juridiksionit të huaj, të cilat kanë detyrimin për të shkëmbyer informacion ndërmjet tyre sa herë që është e nevojshme.”.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6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Në fund të nenit 37 shtohet paragrafi me këtë përmbajtje: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“Fondet e organizatave jofitimprurëse mbahen në llogari bankare dhe çdo transferim apo transaksion financiar në lidhje me këto fonde kryhet nëpërmjet sistemit bankar, në përputhje me dispozitat e legjislacionit në fuqi.”.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7</w:t>
      </w:r>
    </w:p>
    <w:p w:rsidR="002344DE" w:rsidRPr="00990223" w:rsidRDefault="002344DE" w:rsidP="002344DE">
      <w:pPr>
        <w:pStyle w:val="Paragrafi"/>
        <w:ind w:firstLine="0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Në fund të nenit 38 shtohet paragrafi me këtë përmbajtje: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“Kërkesat për donacione pasqyrojnë në mënyrë të hollësishme qëllimin për të cilin po mblidhen donacionet. Organizatat jofitimprurëse kanë detyrimin të vërtetojnë që fonde të tilla përdoren për qëllimin e deklaruar.”.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8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Neni 40 ndryshohet si më poshtë: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“Neni 40</w:t>
      </w:r>
    </w:p>
    <w:p w:rsidR="002344DE" w:rsidRPr="00990223" w:rsidRDefault="002344DE" w:rsidP="002344DE">
      <w:pPr>
        <w:pStyle w:val="NeniTitull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Lehtësimi dhe përjashtimi nga detyrimet fiskale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Organizatat jofitimprurëse, pavarësisht nga format e organizimit, qëllimi që ndjekin dhe veprimtaritë që ushtrojnë, përjashtohen nga tatimi mbi të ardhurat, që realizojnë nga dhurimet, grantet, interesat bankarë dhe kuotat e anëtarësisë.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Organizatat jofitimprurëse, që kryejnë veprimtari ekonomike në përputhje me nenin 36 të këtij ligji, i nënshtrohen tatimit mbi të ardhurat, vetëm në rast se të ardhurat e realizuara nuk destinohen për veprimtari, për të cilat organizata është regjistruar.”.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Neni 9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Pas nenit 40 shtohen nenet 40/1 dhe 40/2 me këtë përmbajtje: 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990223" w:rsidRDefault="002344DE" w:rsidP="002344DE">
      <w:pPr>
        <w:pStyle w:val="NeniNr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“Neni 40/1</w:t>
      </w:r>
    </w:p>
    <w:p w:rsidR="002344DE" w:rsidRPr="00990223" w:rsidRDefault="002344DE" w:rsidP="002344DE">
      <w:pPr>
        <w:pStyle w:val="NeniTitull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 xml:space="preserve">Ruajtja e të dhënave tatimore </w:t>
      </w:r>
    </w:p>
    <w:p w:rsidR="002344DE" w:rsidRPr="00990223" w:rsidRDefault="002344DE" w:rsidP="002344DE">
      <w:pPr>
        <w:pStyle w:val="Paragrafi"/>
        <w:rPr>
          <w:sz w:val="16"/>
          <w:szCs w:val="21"/>
          <w:lang w:val="sq-AL"/>
        </w:rPr>
      </w:pP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  <w:r w:rsidRPr="00990223">
        <w:rPr>
          <w:sz w:val="21"/>
          <w:szCs w:val="21"/>
          <w:lang w:val="sq-AL"/>
        </w:rPr>
        <w:t>Organizatat jofitimprurëse kanë detyrimin të ruajnë të dhënat tatimore në përputhje me rregullat e parashikuara nga legjislacioni në fuqi për procedurat tatimore në Republikën e Shqipërisë.</w:t>
      </w:r>
    </w:p>
    <w:p w:rsidR="002344DE" w:rsidRPr="00990223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770BE2" w:rsidRDefault="002344DE" w:rsidP="002344DE">
      <w:pPr>
        <w:pStyle w:val="NeniNr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>Neni 40/2</w:t>
      </w:r>
    </w:p>
    <w:p w:rsidR="002344DE" w:rsidRPr="00770BE2" w:rsidRDefault="002344DE" w:rsidP="002344DE">
      <w:pPr>
        <w:pStyle w:val="NeniTitull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>Publikimi i pasqyrave financiare</w:t>
      </w: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 xml:space="preserve">Pasqyrat financiare të organizatave jofitimprurëse publikohen në përputhje me rregullat e parashikuara nga legjislacioni në fuqi për kontabilitetin dhe pasqyrat financiare.”. </w:t>
      </w:r>
    </w:p>
    <w:p w:rsidR="002344DE" w:rsidRPr="00770BE2" w:rsidRDefault="002344DE" w:rsidP="002344DE">
      <w:pPr>
        <w:pStyle w:val="Paragrafi"/>
        <w:rPr>
          <w:i/>
          <w:sz w:val="21"/>
          <w:szCs w:val="21"/>
          <w:lang w:val="sq-AL"/>
        </w:rPr>
      </w:pPr>
    </w:p>
    <w:p w:rsidR="002344DE" w:rsidRPr="00770BE2" w:rsidRDefault="002344DE" w:rsidP="002344DE">
      <w:pPr>
        <w:pStyle w:val="NeniNr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>Neni 10</w:t>
      </w: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>Në fund të nenit 41 shtohet paragrafi me këtë përmbajtje:</w:t>
      </w: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>“Organ mbikëqyrës i OJF-ve, në kuptim të ligjit që mbulon parandalimin e pastrimit të parave dhe financimit të terrorizmit, konsiderohen organet tatimore. Raportet e kontabilitetit, të hartuara nga OJF-të për përdorimin e fondeve të donatorëve, si dhe pasqyrat financiare janë objekt kontrolli nga organet tatimore, si dhe Drejtoria e Përgjithshme e Parandalimit të Pastrimit të Parave sa herë që është e nevojshme. Rregullat e hollësishme të mbikëqyrjes së OJF-ve nga organet tatimore përcaktohen me udhëzim të Ministrit të Financave, i cili miratohet brenda 3 muajve nga hyrja në fuqi e këtij ligji.”.</w:t>
      </w: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770BE2" w:rsidRDefault="002344DE" w:rsidP="002344DE">
      <w:pPr>
        <w:pStyle w:val="NeniNr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>Neni 11</w:t>
      </w:r>
    </w:p>
    <w:p w:rsidR="002344DE" w:rsidRPr="00770BE2" w:rsidRDefault="002344DE" w:rsidP="002344DE">
      <w:pPr>
        <w:pStyle w:val="NeniTitull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>Hyrja në fuqi</w:t>
      </w: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  <w:r w:rsidRPr="00770BE2">
        <w:rPr>
          <w:sz w:val="21"/>
          <w:szCs w:val="21"/>
          <w:lang w:val="sq-AL"/>
        </w:rPr>
        <w:t xml:space="preserve">Ky ligj hyn në fuqi 15 ditë pas botimit në Fletoren Zyrtare. </w:t>
      </w:r>
    </w:p>
    <w:p w:rsidR="002344DE" w:rsidRPr="00770BE2" w:rsidRDefault="002344DE" w:rsidP="002344DE">
      <w:pPr>
        <w:pStyle w:val="Paragrafi"/>
        <w:rPr>
          <w:sz w:val="21"/>
          <w:szCs w:val="21"/>
          <w:lang w:val="sq-AL"/>
        </w:rPr>
      </w:pPr>
    </w:p>
    <w:p w:rsidR="002344DE" w:rsidRPr="00770BE2" w:rsidRDefault="002344DE" w:rsidP="002344DE">
      <w:pPr>
        <w:pStyle w:val="Paragrafi"/>
        <w:rPr>
          <w:rFonts w:eastAsia="Times New Roman"/>
          <w:sz w:val="21"/>
          <w:szCs w:val="21"/>
          <w:lang w:val="sq-AL"/>
        </w:rPr>
      </w:pPr>
      <w:r w:rsidRPr="00770BE2">
        <w:rPr>
          <w:rFonts w:eastAsia="Times New Roman"/>
          <w:sz w:val="21"/>
          <w:szCs w:val="21"/>
          <w:lang w:val="sq-AL"/>
        </w:rPr>
        <w:t>Miratuar në datën 28.2.2013</w:t>
      </w:r>
    </w:p>
    <w:p w:rsidR="002344DE" w:rsidRPr="00770BE2" w:rsidRDefault="002344DE" w:rsidP="002344DE">
      <w:pPr>
        <w:pStyle w:val="Paragrafi"/>
        <w:rPr>
          <w:rFonts w:eastAsia="Times New Roman"/>
          <w:sz w:val="21"/>
          <w:szCs w:val="21"/>
          <w:lang w:val="sq-AL"/>
        </w:rPr>
      </w:pPr>
    </w:p>
    <w:p w:rsidR="002344DE" w:rsidRPr="00127B62" w:rsidRDefault="002344DE" w:rsidP="002344DE">
      <w:pPr>
        <w:pStyle w:val="Paragrafi"/>
        <w:ind w:firstLine="0"/>
        <w:rPr>
          <w:b/>
          <w:sz w:val="23"/>
          <w:szCs w:val="23"/>
          <w:lang w:val="sq-AL"/>
        </w:rPr>
      </w:pPr>
      <w:r w:rsidRPr="00127B62">
        <w:rPr>
          <w:b/>
          <w:sz w:val="23"/>
          <w:szCs w:val="23"/>
          <w:lang w:val="sq-AL"/>
        </w:rPr>
        <w:t>Shpallur me dekretin nr. 8058, datë 15.3.2013 të Presidentit të Republikës së Shqipërisë, Bujar Nishani</w:t>
      </w:r>
    </w:p>
    <w:sectPr w:rsidR="002344DE" w:rsidRPr="00127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344DE"/>
    <w:rsid w:val="002344DE"/>
    <w:rsid w:val="007653E8"/>
    <w:rsid w:val="00D12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41EB1F-817E-4476-AE19-EC0F49F9A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344D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344D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2344DE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2344D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344D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344D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344D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344D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344D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344DE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styleId="BodyTextIndent">
    <w:name w:val="Body Text Indent"/>
    <w:basedOn w:val="Normal"/>
    <w:link w:val="BodyTextIndentChar"/>
    <w:rsid w:val="002344DE"/>
    <w:pPr>
      <w:spacing w:after="120" w:line="240" w:lineRule="auto"/>
      <w:ind w:left="360"/>
    </w:pPr>
    <w:rPr>
      <w:rFonts w:ascii="Times New Roman" w:eastAsia="MS Mincho" w:hAnsi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2344DE"/>
    <w:rPr>
      <w:rFonts w:ascii="Times New Roman" w:eastAsia="MS Mincho" w:hAnsi="Times New Roman" w:cs="Times New Roman"/>
      <w:sz w:val="20"/>
      <w:szCs w:val="20"/>
      <w:lang w:val="en-GB"/>
    </w:rPr>
  </w:style>
  <w:style w:type="paragraph" w:customStyle="1" w:styleId="Numri">
    <w:name w:val="Numri"/>
    <w:aliases w:val="data"/>
    <w:rsid w:val="002344D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2344D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link w:val="NumriDataChar"/>
    <w:rsid w:val="00D12D8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D12D8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