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Heading1"/>
        <w:spacing w:before="78"/>
        <w:ind w:left="4216" w:right="4214" w:firstLine="326"/>
        <w:jc w:val="left"/>
      </w:pPr>
      <w:r>
        <w:rPr/>
        <w:t>LIGJ Nr.</w:t>
      </w:r>
      <w:r>
        <w:rPr>
          <w:spacing w:val="10"/>
        </w:rPr>
        <w:t> </w:t>
      </w:r>
      <w:r>
        <w:rPr>
          <w:spacing w:val="-3"/>
        </w:rPr>
        <w:t>97/2013</w:t>
      </w:r>
      <w:hyperlink w:history="true" w:anchor="_bookmark0">
        <w:r>
          <w:rPr>
            <w:spacing w:val="-3"/>
            <w:vertAlign w:val="superscript"/>
          </w:rPr>
          <w:t>1</w:t>
        </w:r>
      </w:hyperlink>
    </w:p>
    <w:p>
      <w:pPr>
        <w:pStyle w:val="BodyText"/>
        <w:spacing w:before="6"/>
        <w:ind w:left="0" w:firstLine="0"/>
        <w:rPr>
          <w:b/>
          <w:sz w:val="21"/>
        </w:rPr>
      </w:pPr>
    </w:p>
    <w:p>
      <w:pPr>
        <w:spacing w:before="1"/>
        <w:ind w:left="146" w:right="146" w:firstLine="0"/>
        <w:jc w:val="center"/>
        <w:rPr>
          <w:sz w:val="22"/>
        </w:rPr>
      </w:pPr>
      <w:r>
        <w:rPr>
          <w:b/>
          <w:sz w:val="22"/>
        </w:rPr>
        <w:t>PËR MEDIAT AUDIOVIZIVE NË REPUBLIKËN E SHQIPËRISË</w:t>
      </w:r>
      <w:hyperlink w:history="true" w:anchor="_bookmark1">
        <w:r>
          <w:rPr>
            <w:sz w:val="22"/>
            <w:vertAlign w:val="superscript"/>
          </w:rPr>
          <w:t>2</w:t>
        </w:r>
      </w:hyperlink>
    </w:p>
    <w:p>
      <w:pPr>
        <w:spacing w:before="1"/>
        <w:ind w:left="146" w:right="144" w:firstLine="0"/>
        <w:jc w:val="center"/>
        <w:rPr>
          <w:i/>
          <w:sz w:val="22"/>
        </w:rPr>
      </w:pPr>
      <w:r>
        <w:rPr>
          <w:i/>
          <w:sz w:val="22"/>
        </w:rPr>
        <w:t>(Ndryshuar me ligjin nr. 22/2016</w:t>
      </w:r>
      <w:hyperlink w:history="true" w:anchor="_bookmark2">
        <w:r>
          <w:rPr>
            <w:i/>
            <w:sz w:val="22"/>
            <w:vertAlign w:val="superscript"/>
          </w:rPr>
          <w:t>3</w:t>
        </w:r>
      </w:hyperlink>
      <w:r>
        <w:rPr>
          <w:i/>
          <w:sz w:val="22"/>
          <w:vertAlign w:val="baseline"/>
        </w:rPr>
        <w:t>, datë 10.3.2016, vendimin e Gjykatës Kushtetuese nr. 56, datë </w:t>
      </w:r>
      <w:r>
        <w:rPr>
          <w:i/>
          <w:sz w:val="22"/>
          <w:vertAlign w:val="baseline"/>
        </w:rPr>
        <w:t>27.7.2016 dhe ligjin nr. 91/2017, datë 22.5.2017)</w:t>
      </w:r>
    </w:p>
    <w:p>
      <w:pPr>
        <w:spacing w:line="251" w:lineRule="exact" w:before="0"/>
        <w:ind w:left="8202" w:right="0" w:firstLine="0"/>
        <w:jc w:val="left"/>
        <w:rPr>
          <w:i/>
          <w:sz w:val="22"/>
        </w:rPr>
      </w:pPr>
      <w:r>
        <w:rPr>
          <w:i/>
          <w:sz w:val="22"/>
        </w:rPr>
        <w:t>(i përditësuar)</w:t>
      </w:r>
    </w:p>
    <w:p>
      <w:pPr>
        <w:pStyle w:val="BodyText"/>
        <w:spacing w:before="1"/>
        <w:ind w:left="839" w:firstLine="0"/>
      </w:pPr>
      <w:r>
        <w:rPr/>
        <w:t>Në mbështetje të neneve 78 dhe 83 pika 1 të Kushtetutës, me propozimin e një grupi deputetësh,</w:t>
      </w:r>
    </w:p>
    <w:p>
      <w:pPr>
        <w:pStyle w:val="BodyText"/>
        <w:ind w:left="0" w:firstLine="0"/>
      </w:pPr>
    </w:p>
    <w:p>
      <w:pPr>
        <w:pStyle w:val="BodyText"/>
        <w:spacing w:line="252" w:lineRule="exact"/>
        <w:ind w:left="146" w:right="146" w:firstLine="0"/>
        <w:jc w:val="center"/>
      </w:pPr>
      <w:r>
        <w:rPr/>
        <w:t>KUVENDI</w:t>
      </w:r>
    </w:p>
    <w:p>
      <w:pPr>
        <w:pStyle w:val="BodyText"/>
        <w:spacing w:line="480" w:lineRule="auto"/>
        <w:ind w:left="3261" w:right="3264" w:firstLine="0"/>
        <w:jc w:val="center"/>
      </w:pPr>
      <w:r>
        <w:rPr/>
        <w:t>I REPUBLIKËS SË</w:t>
      </w:r>
      <w:r>
        <w:rPr>
          <w:spacing w:val="-14"/>
        </w:rPr>
        <w:t> </w:t>
      </w:r>
      <w:r>
        <w:rPr/>
        <w:t>SHQIPËRISË VENDOSI:</w:t>
      </w:r>
    </w:p>
    <w:p>
      <w:pPr>
        <w:pStyle w:val="BodyText"/>
        <w:spacing w:before="1"/>
        <w:ind w:left="146" w:right="147" w:firstLine="0"/>
        <w:jc w:val="center"/>
      </w:pPr>
      <w:r>
        <w:rPr/>
        <w:t>KREU I</w:t>
      </w:r>
    </w:p>
    <w:p>
      <w:pPr>
        <w:pStyle w:val="BodyText"/>
        <w:ind w:left="0" w:firstLine="0"/>
      </w:pPr>
    </w:p>
    <w:p>
      <w:pPr>
        <w:pStyle w:val="BodyText"/>
        <w:ind w:left="146" w:right="146" w:firstLine="0"/>
        <w:jc w:val="center"/>
      </w:pPr>
      <w:r>
        <w:rPr/>
        <w:t>DISPOZITA TË PËRGJITHSHME</w:t>
      </w:r>
    </w:p>
    <w:p>
      <w:pPr>
        <w:pStyle w:val="BodyText"/>
        <w:spacing w:before="9"/>
        <w:ind w:left="0" w:firstLine="0"/>
        <w:rPr>
          <w:sz w:val="21"/>
        </w:rPr>
      </w:pPr>
    </w:p>
    <w:p>
      <w:pPr>
        <w:pStyle w:val="BodyText"/>
        <w:ind w:left="146" w:right="146" w:firstLine="0"/>
        <w:jc w:val="center"/>
      </w:pPr>
      <w:r>
        <w:rPr/>
        <w:t>Neni 1</w:t>
      </w:r>
    </w:p>
    <w:p>
      <w:pPr>
        <w:pStyle w:val="Heading1"/>
        <w:spacing w:before="7"/>
      </w:pPr>
      <w:r>
        <w:rPr/>
        <w:t>Objekti</w:t>
      </w:r>
    </w:p>
    <w:p>
      <w:pPr>
        <w:pStyle w:val="BodyText"/>
        <w:spacing w:before="7"/>
        <w:ind w:left="0" w:firstLine="0"/>
        <w:rPr>
          <w:b/>
          <w:sz w:val="21"/>
        </w:rPr>
      </w:pPr>
    </w:p>
    <w:p>
      <w:pPr>
        <w:pStyle w:val="BodyText"/>
        <w:ind w:left="119" w:firstLine="719"/>
      </w:pPr>
      <w:r>
        <w:rPr/>
        <w:t>Ky ligj rregullon veprimtarinë e mediave audiovizive dhe shërbimeve mbështetëse të tyre, mbi bazën e parimit të asnjanësisë teknologjike në territorin e Republikës së Shqipërisë.</w:t>
      </w:r>
    </w:p>
    <w:p>
      <w:pPr>
        <w:pStyle w:val="BodyText"/>
        <w:spacing w:before="10"/>
        <w:ind w:left="0" w:firstLine="0"/>
        <w:rPr>
          <w:sz w:val="21"/>
        </w:rPr>
      </w:pPr>
    </w:p>
    <w:p>
      <w:pPr>
        <w:pStyle w:val="BodyText"/>
        <w:spacing w:before="1"/>
        <w:ind w:left="146" w:right="146" w:firstLine="0"/>
        <w:jc w:val="center"/>
      </w:pPr>
      <w:r>
        <w:rPr/>
        <w:t>Neni 2</w:t>
      </w:r>
    </w:p>
    <w:p>
      <w:pPr>
        <w:pStyle w:val="Heading1"/>
        <w:spacing w:before="3"/>
        <w:ind w:right="145"/>
      </w:pPr>
      <w:r>
        <w:rPr/>
        <w:t>Fusha e zbatimit</w:t>
      </w:r>
    </w:p>
    <w:p>
      <w:pPr>
        <w:pStyle w:val="BodyText"/>
        <w:spacing w:before="7"/>
        <w:ind w:left="0" w:firstLine="0"/>
        <w:rPr>
          <w:b/>
          <w:sz w:val="21"/>
        </w:rPr>
      </w:pPr>
    </w:p>
    <w:p>
      <w:pPr>
        <w:pStyle w:val="BodyText"/>
      </w:pPr>
      <w:r>
        <w:rPr/>
        <w:t>Ky ligj zbatohet për transmetimet audiovizive lineare, transmetimet audiovizive jolineare dhe shërbimet mbështetëse të tyre. Ky ligj nuk zbatohet për median e shkruar.</w:t>
      </w:r>
    </w:p>
    <w:p>
      <w:pPr>
        <w:pStyle w:val="BodyText"/>
        <w:spacing w:before="11"/>
        <w:ind w:left="0" w:firstLine="0"/>
        <w:rPr>
          <w:sz w:val="21"/>
        </w:rPr>
      </w:pPr>
    </w:p>
    <w:p>
      <w:pPr>
        <w:pStyle w:val="BodyText"/>
        <w:ind w:left="146" w:right="146" w:firstLine="0"/>
        <w:jc w:val="center"/>
      </w:pPr>
      <w:r>
        <w:rPr/>
        <w:t>Neni 3</w:t>
      </w:r>
    </w:p>
    <w:p>
      <w:pPr>
        <w:pStyle w:val="Heading1"/>
        <w:spacing w:before="6"/>
      </w:pPr>
      <w:r>
        <w:rPr/>
        <w:t>Përkufizime</w:t>
      </w:r>
    </w:p>
    <w:p>
      <w:pPr>
        <w:pStyle w:val="BodyText"/>
        <w:spacing w:before="5"/>
        <w:ind w:left="0" w:firstLine="0"/>
        <w:rPr>
          <w:b/>
          <w:sz w:val="21"/>
        </w:rPr>
      </w:pPr>
    </w:p>
    <w:p>
      <w:pPr>
        <w:pStyle w:val="BodyText"/>
        <w:ind w:left="840" w:firstLine="0"/>
      </w:pPr>
      <w:r>
        <w:rPr/>
        <w:t>Në këtë ligj termat e mëposhtëm kanë këto kuptime:</w:t>
      </w:r>
    </w:p>
    <w:p>
      <w:pPr>
        <w:pStyle w:val="ListParagraph"/>
        <w:numPr>
          <w:ilvl w:val="0"/>
          <w:numId w:val="1"/>
        </w:numPr>
        <w:tabs>
          <w:tab w:pos="1158" w:val="left" w:leader="none"/>
        </w:tabs>
        <w:spacing w:line="240" w:lineRule="auto" w:before="2" w:after="0"/>
        <w:ind w:left="120" w:right="113" w:firstLine="720"/>
        <w:jc w:val="left"/>
        <w:rPr>
          <w:sz w:val="22"/>
        </w:rPr>
      </w:pPr>
      <w:r>
        <w:rPr>
          <w:sz w:val="22"/>
        </w:rPr>
        <w:t>“Abonim” është kontrata e shërbimit, lidhur midis ofruesit të shërbimeve mediatike audiovizive me pagesë dhe marrësit të këtyre</w:t>
      </w:r>
      <w:r>
        <w:rPr>
          <w:spacing w:val="-3"/>
          <w:sz w:val="22"/>
        </w:rPr>
        <w:t> </w:t>
      </w:r>
      <w:r>
        <w:rPr>
          <w:sz w:val="22"/>
        </w:rPr>
        <w:t>shërbimeve.</w:t>
      </w:r>
    </w:p>
    <w:p>
      <w:pPr>
        <w:pStyle w:val="ListParagraph"/>
        <w:numPr>
          <w:ilvl w:val="0"/>
          <w:numId w:val="1"/>
        </w:numPr>
        <w:tabs>
          <w:tab w:pos="1074" w:val="left" w:leader="none"/>
        </w:tabs>
        <w:spacing w:line="240" w:lineRule="auto" w:before="0" w:after="0"/>
        <w:ind w:left="120" w:right="115" w:firstLine="720"/>
        <w:jc w:val="left"/>
        <w:rPr>
          <w:sz w:val="22"/>
        </w:rPr>
      </w:pPr>
      <w:r>
        <w:rPr>
          <w:sz w:val="22"/>
        </w:rPr>
        <w:t>“Akses i kushtëzuar” është çdo masë dhe/ose rregullim teknik që mundëson marrjen në formë të kuptueshme të shërbimeve të mbrojtura, kundrejt një autorizimi individual</w:t>
      </w:r>
      <w:r>
        <w:rPr>
          <w:spacing w:val="-3"/>
          <w:sz w:val="22"/>
        </w:rPr>
        <w:t> </w:t>
      </w:r>
      <w:r>
        <w:rPr>
          <w:sz w:val="22"/>
        </w:rPr>
        <w:t>paraprak.</w:t>
      </w:r>
    </w:p>
    <w:p>
      <w:pPr>
        <w:pStyle w:val="ListParagraph"/>
        <w:numPr>
          <w:ilvl w:val="0"/>
          <w:numId w:val="1"/>
        </w:numPr>
        <w:tabs>
          <w:tab w:pos="1062" w:val="left" w:leader="none"/>
        </w:tabs>
        <w:spacing w:line="251" w:lineRule="exact" w:before="0" w:after="0"/>
        <w:ind w:left="1061" w:right="0" w:hanging="222"/>
        <w:jc w:val="left"/>
        <w:rPr>
          <w:sz w:val="22"/>
        </w:rPr>
      </w:pPr>
      <w:r>
        <w:rPr>
          <w:sz w:val="22"/>
        </w:rPr>
        <w:t>“AMA” është Autoriteti i Mediave</w:t>
      </w:r>
      <w:r>
        <w:rPr>
          <w:spacing w:val="-2"/>
          <w:sz w:val="22"/>
        </w:rPr>
        <w:t> </w:t>
      </w:r>
      <w:r>
        <w:rPr>
          <w:sz w:val="22"/>
        </w:rPr>
        <w:t>Audiovizive.</w:t>
      </w:r>
    </w:p>
    <w:p>
      <w:pPr>
        <w:pStyle w:val="BodyText"/>
        <w:spacing w:before="9"/>
        <w:ind w:left="0" w:firstLine="0"/>
        <w:rPr>
          <w:sz w:val="11"/>
        </w:rPr>
      </w:pPr>
      <w:r>
        <w:rPr/>
        <w:pict>
          <v:shape style="position:absolute;margin-left:72pt;margin-top:9.042105pt;width:144pt;height:.1pt;mso-position-horizontal-relative:page;mso-position-vertical-relative:paragraph;z-index:-251658240;mso-wrap-distance-left:0;mso-wrap-distance-right:0" coordorigin="1440,181" coordsize="2880,0" path="m1440,181l4320,181e" filled="false" stroked="true" strokeweight=".6pt" strokecolor="#000000">
            <v:path arrowok="t"/>
            <v:stroke dashstyle="solid"/>
            <w10:wrap type="topAndBottom"/>
          </v:shape>
        </w:pict>
      </w:r>
    </w:p>
    <w:p>
      <w:pPr>
        <w:spacing w:before="50"/>
        <w:ind w:left="220" w:right="2017" w:hanging="101"/>
        <w:jc w:val="left"/>
        <w:rPr>
          <w:sz w:val="20"/>
        </w:rPr>
      </w:pPr>
      <w:bookmarkStart w:name="_bookmark0" w:id="1"/>
      <w:bookmarkEnd w:id="1"/>
      <w:r>
        <w:rPr/>
      </w:r>
      <w:r>
        <w:rPr>
          <w:position w:val="9"/>
          <w:sz w:val="13"/>
        </w:rPr>
        <w:t>1 </w:t>
      </w:r>
      <w:r>
        <w:rPr>
          <w:sz w:val="20"/>
        </w:rPr>
        <w:t>Ligji nr. 97/2013, datë 4.3.2013 është botuar në Fletoren Zyrtare nr. 37, datë 19 mars 2013. Ligji nr. 22/2016, datë 10.3.2016 është botuar në Fletoren Zyrtare nr. 67, date 21 prill 2016.</w:t>
      </w:r>
    </w:p>
    <w:p>
      <w:pPr>
        <w:spacing w:before="1"/>
        <w:ind w:left="220" w:right="117" w:firstLine="0"/>
        <w:jc w:val="left"/>
        <w:rPr>
          <w:sz w:val="20"/>
        </w:rPr>
      </w:pPr>
      <w:r>
        <w:rPr>
          <w:sz w:val="20"/>
        </w:rPr>
        <w:t>Vendimi i Gjykatës Kushtetuese nr. 56, datë 27.7.2016 është botuar në Fletoren Zyrtare nr.152, date 12 gusht 2016. Ligji nr. 91/2017, datë 22.5.2017 është botuar në Fletoren Zyrtare nr. 118, date 23 maj 2017.</w:t>
      </w:r>
    </w:p>
    <w:p>
      <w:pPr>
        <w:spacing w:line="230" w:lineRule="exact" w:before="1"/>
        <w:ind w:left="119" w:right="116" w:firstLine="0"/>
        <w:jc w:val="both"/>
        <w:rPr>
          <w:i/>
          <w:sz w:val="20"/>
        </w:rPr>
      </w:pPr>
      <w:bookmarkStart w:name="_bookmark1" w:id="2"/>
      <w:bookmarkEnd w:id="2"/>
      <w:r>
        <w:rPr/>
      </w:r>
      <w:r>
        <w:rPr>
          <w:i/>
          <w:position w:val="9"/>
          <w:sz w:val="13"/>
        </w:rPr>
        <w:t>2</w:t>
      </w:r>
      <w:r>
        <w:rPr>
          <w:i/>
          <w:sz w:val="20"/>
        </w:rPr>
        <w:t>Ky ligj është përafruar plotësisht me direktivën 2010/13/BE të Parlamentit Evropian dhe Këshillit, datë 10 mars </w:t>
      </w:r>
      <w:r>
        <w:rPr>
          <w:i/>
          <w:sz w:val="20"/>
        </w:rPr>
        <w:t>2010 “Për koordinimin e disa dispozitave të parashikuara me ligj, rregullore apo akte administrative në shtetet anëtare, lidhur me ofrimin e shërbimit të transmetimeve me zë dhe figurë” (Direktiva për Shërbimin Mediatik me Zë dhe Figurë, versioni i kodifikuar), Numri CELEX: </w:t>
      </w:r>
      <w:r>
        <w:rPr>
          <w:b/>
          <w:i/>
          <w:sz w:val="20"/>
        </w:rPr>
        <w:t>32010L0013, </w:t>
      </w:r>
      <w:r>
        <w:rPr>
          <w:i/>
          <w:sz w:val="20"/>
        </w:rPr>
        <w:t>Fletore Zyrtare e BE-së, Seria L 95, datë 15. 4. </w:t>
      </w:r>
      <w:r>
        <w:rPr>
          <w:i/>
          <w:sz w:val="20"/>
        </w:rPr>
        <w:t>2010.</w:t>
      </w:r>
    </w:p>
    <w:p>
      <w:pPr>
        <w:pStyle w:val="BodyText"/>
        <w:spacing w:before="6"/>
        <w:ind w:left="0" w:firstLine="0"/>
        <w:rPr>
          <w:i/>
          <w:sz w:val="21"/>
        </w:rPr>
      </w:pPr>
    </w:p>
    <w:p>
      <w:pPr>
        <w:spacing w:before="0"/>
        <w:ind w:left="120" w:right="377" w:hanging="1"/>
        <w:jc w:val="left"/>
        <w:rPr>
          <w:sz w:val="20"/>
        </w:rPr>
      </w:pPr>
      <w:bookmarkStart w:name="_bookmark2" w:id="3"/>
      <w:bookmarkEnd w:id="3"/>
      <w:r>
        <w:rPr/>
      </w:r>
      <w:r>
        <w:rPr>
          <w:position w:val="9"/>
          <w:sz w:val="13"/>
        </w:rPr>
        <w:t>3 </w:t>
      </w:r>
      <w:r>
        <w:rPr>
          <w:sz w:val="20"/>
        </w:rPr>
        <w:t>Dispozitat e këtij ligji zbatohen edhe për zgjedhjet që janë duke u zhvilluar në momentin e hyrjes në fuqi të këtij ligji. (neni 5)</w:t>
      </w:r>
    </w:p>
    <w:p>
      <w:pPr>
        <w:spacing w:after="0"/>
        <w:jc w:val="left"/>
        <w:rPr>
          <w:sz w:val="20"/>
        </w:rPr>
        <w:sectPr>
          <w:type w:val="continuous"/>
          <w:pgSz w:w="12240" w:h="15840"/>
          <w:pgMar w:top="1360" w:bottom="280" w:left="1320" w:right="1320"/>
        </w:sectPr>
      </w:pPr>
    </w:p>
    <w:p>
      <w:pPr>
        <w:pStyle w:val="ListParagraph"/>
        <w:numPr>
          <w:ilvl w:val="0"/>
          <w:numId w:val="1"/>
        </w:numPr>
        <w:tabs>
          <w:tab w:pos="1083" w:val="left" w:leader="none"/>
        </w:tabs>
        <w:spacing w:line="240" w:lineRule="auto" w:before="74" w:after="0"/>
        <w:ind w:left="120" w:right="113" w:firstLine="720"/>
        <w:jc w:val="both"/>
        <w:rPr>
          <w:sz w:val="22"/>
        </w:rPr>
      </w:pPr>
      <w:r>
        <w:rPr>
          <w:sz w:val="22"/>
        </w:rPr>
        <w:t>“Aparat marrës” është bashkësia e pajisjeve elektronike, që realizon marrjen dhe shfaqjen e transmetimeve audiovizive për përdoruesit dhe çdo aparat tjetër apo program i lidhur me të për këtë qëllim.</w:t>
      </w:r>
    </w:p>
    <w:p>
      <w:pPr>
        <w:pStyle w:val="ListParagraph"/>
        <w:numPr>
          <w:ilvl w:val="0"/>
          <w:numId w:val="1"/>
        </w:numPr>
        <w:tabs>
          <w:tab w:pos="1109" w:val="left" w:leader="none"/>
        </w:tabs>
        <w:spacing w:line="240" w:lineRule="auto" w:before="0" w:after="0"/>
        <w:ind w:left="119" w:right="114" w:firstLine="720"/>
        <w:jc w:val="both"/>
        <w:rPr>
          <w:sz w:val="22"/>
        </w:rPr>
      </w:pPr>
      <w:r>
        <w:rPr>
          <w:sz w:val="22"/>
        </w:rPr>
        <w:t>“Autoritet i komunikimeve elektronike dhe postare ose AKEP” është autoriteti përgjegjës rregullator për komunikimet elektronike, sipas përcaktimeve të ligjit nr. 9918 datë 19.5.2008 “Për komunikimet elektronike në Republikën e Shqipërisë”.</w:t>
      </w:r>
    </w:p>
    <w:p>
      <w:pPr>
        <w:pStyle w:val="ListParagraph"/>
        <w:numPr>
          <w:ilvl w:val="0"/>
          <w:numId w:val="1"/>
        </w:numPr>
        <w:tabs>
          <w:tab w:pos="1109" w:val="left" w:leader="none"/>
        </w:tabs>
        <w:spacing w:line="240" w:lineRule="auto" w:before="0" w:after="0"/>
        <w:ind w:left="119" w:right="114" w:firstLine="720"/>
        <w:jc w:val="both"/>
        <w:rPr>
          <w:sz w:val="22"/>
        </w:rPr>
      </w:pPr>
      <w:r>
        <w:rPr>
          <w:sz w:val="22"/>
        </w:rPr>
        <w:t>“Dritare teleshitjesh” janë oferta të drejtpërdrejta për publikun gjatë transmetimit, të cilat zgjasin minimalisht 15 minuta, me qëllim shitjen e mallrave ose shërbimeve, përfshirë pasuri të paluajtshme, të luajtshme ose të drejta të tjera, kundrejt pagesës. Dritaret e teleshitjeve  mund</w:t>
      </w:r>
      <w:r>
        <w:rPr>
          <w:spacing w:val="27"/>
          <w:sz w:val="22"/>
        </w:rPr>
        <w:t> </w:t>
      </w:r>
      <w:r>
        <w:rPr>
          <w:sz w:val="22"/>
        </w:rPr>
        <w:t>të përfshijnë ose jo mundësinë e pagesës së atypëratyshme përkundrejt ofrimit të mallrave, shërbimeve apo të drejtave të tjera reale e intelektuale subjekt i</w:t>
      </w:r>
      <w:r>
        <w:rPr>
          <w:spacing w:val="-5"/>
          <w:sz w:val="22"/>
        </w:rPr>
        <w:t> </w:t>
      </w:r>
      <w:r>
        <w:rPr>
          <w:sz w:val="22"/>
        </w:rPr>
        <w:t>tyre.</w:t>
      </w:r>
    </w:p>
    <w:p>
      <w:pPr>
        <w:pStyle w:val="ListParagraph"/>
        <w:numPr>
          <w:ilvl w:val="0"/>
          <w:numId w:val="1"/>
        </w:numPr>
        <w:tabs>
          <w:tab w:pos="1100" w:val="left" w:leader="none"/>
        </w:tabs>
        <w:spacing w:line="240" w:lineRule="auto" w:before="0" w:after="0"/>
        <w:ind w:left="119" w:right="113" w:firstLine="720"/>
        <w:jc w:val="both"/>
        <w:rPr>
          <w:sz w:val="22"/>
        </w:rPr>
      </w:pPr>
      <w:r>
        <w:rPr>
          <w:sz w:val="22"/>
        </w:rPr>
        <w:t>“Komunikim i fshehtë audioviziv me natyrë tregtare” është paraqitja me fjalë ose figurë e mallrave, shërbimeve, emërtimit, markës së prodhimit ose i veprimtarive të një prodhuesi mallrash ose ofruesi shërbimesh, në programe, kur një paraqitje e tillë, nga ofruesi i shërbimit të mediave, ka për  qëllim të shërbejë si reklamë dhe mund të mashtrojë publikun mbi natyrën e tij. Një paraqitje e tillë konsiderohet se ka për qëllim të shërbejë si reklamë, kur bëhet kundrejt pagesës ose përfitimeve të</w:t>
      </w:r>
      <w:r>
        <w:rPr>
          <w:spacing w:val="-22"/>
          <w:sz w:val="22"/>
        </w:rPr>
        <w:t> </w:t>
      </w:r>
      <w:r>
        <w:rPr>
          <w:sz w:val="22"/>
        </w:rPr>
        <w:t>tjera.</w:t>
      </w:r>
    </w:p>
    <w:p>
      <w:pPr>
        <w:pStyle w:val="ListParagraph"/>
        <w:numPr>
          <w:ilvl w:val="0"/>
          <w:numId w:val="1"/>
        </w:numPr>
        <w:tabs>
          <w:tab w:pos="1063" w:val="left" w:leader="none"/>
        </w:tabs>
        <w:spacing w:line="240" w:lineRule="auto" w:before="0" w:after="0"/>
        <w:ind w:left="119" w:right="114" w:firstLine="720"/>
        <w:jc w:val="both"/>
        <w:rPr>
          <w:sz w:val="22"/>
        </w:rPr>
      </w:pPr>
      <w:r>
        <w:rPr>
          <w:sz w:val="22"/>
        </w:rPr>
        <w:t>“Komunikimi tregtar audioviziv” është mesazhi me zë ose imazhi me ose pa zë që është krijuar për të promovuar, drejtpërdrejt ose jo, mallrat, shërbimet ose imazhin e subjekteve që kryejnë një aktivitet ekonomik. Ai shoqërohet ose përfshihet në një program kundrejt pagesës ose shpërblimit të ngjashëm përkatës, apo për qëllime vetëpromovuese. Format e komunikimeve audiovizive me natyrë tregtare</w:t>
      </w:r>
      <w:r>
        <w:rPr>
          <w:spacing w:val="-21"/>
          <w:sz w:val="22"/>
        </w:rPr>
        <w:t> </w:t>
      </w:r>
      <w:r>
        <w:rPr>
          <w:sz w:val="22"/>
        </w:rPr>
        <w:t>janë:</w:t>
      </w:r>
    </w:p>
    <w:p>
      <w:pPr>
        <w:pStyle w:val="ListParagraph"/>
        <w:numPr>
          <w:ilvl w:val="0"/>
          <w:numId w:val="2"/>
        </w:numPr>
        <w:tabs>
          <w:tab w:pos="1068" w:val="left" w:leader="none"/>
        </w:tabs>
        <w:spacing w:line="251" w:lineRule="exact" w:before="0" w:after="0"/>
        <w:ind w:left="1067" w:right="0" w:hanging="229"/>
        <w:jc w:val="both"/>
        <w:rPr>
          <w:sz w:val="22"/>
        </w:rPr>
      </w:pPr>
      <w:r>
        <w:rPr>
          <w:sz w:val="22"/>
        </w:rPr>
        <w:t>reklamat në shërbimet</w:t>
      </w:r>
      <w:r>
        <w:rPr>
          <w:spacing w:val="1"/>
          <w:sz w:val="22"/>
        </w:rPr>
        <w:t> </w:t>
      </w:r>
      <w:r>
        <w:rPr>
          <w:sz w:val="22"/>
        </w:rPr>
        <w:t>audiovizive;</w:t>
      </w:r>
    </w:p>
    <w:p>
      <w:pPr>
        <w:pStyle w:val="ListParagraph"/>
        <w:numPr>
          <w:ilvl w:val="0"/>
          <w:numId w:val="2"/>
        </w:numPr>
        <w:tabs>
          <w:tab w:pos="1080" w:val="left" w:leader="none"/>
        </w:tabs>
        <w:spacing w:line="252" w:lineRule="exact" w:before="1" w:after="0"/>
        <w:ind w:left="1079" w:right="0" w:hanging="241"/>
        <w:jc w:val="both"/>
        <w:rPr>
          <w:sz w:val="22"/>
        </w:rPr>
      </w:pPr>
      <w:r>
        <w:rPr>
          <w:sz w:val="22"/>
        </w:rPr>
        <w:t>sponsorizimet;</w:t>
      </w:r>
    </w:p>
    <w:p>
      <w:pPr>
        <w:pStyle w:val="ListParagraph"/>
        <w:numPr>
          <w:ilvl w:val="0"/>
          <w:numId w:val="2"/>
        </w:numPr>
        <w:tabs>
          <w:tab w:pos="1068" w:val="left" w:leader="none"/>
        </w:tabs>
        <w:spacing w:line="240" w:lineRule="auto" w:before="0" w:after="0"/>
        <w:ind w:left="839" w:right="6538" w:firstLine="0"/>
        <w:jc w:val="left"/>
        <w:rPr>
          <w:sz w:val="22"/>
        </w:rPr>
      </w:pPr>
      <w:r>
        <w:rPr>
          <w:sz w:val="22"/>
        </w:rPr>
        <w:t>shitjet e drejtpërdrejta; ç) dritaret e</w:t>
      </w:r>
      <w:r>
        <w:rPr>
          <w:spacing w:val="-5"/>
          <w:sz w:val="22"/>
        </w:rPr>
        <w:t> </w:t>
      </w:r>
      <w:r>
        <w:rPr>
          <w:sz w:val="22"/>
        </w:rPr>
        <w:t>teleshitjeve;</w:t>
      </w:r>
    </w:p>
    <w:p>
      <w:pPr>
        <w:pStyle w:val="ListParagraph"/>
        <w:numPr>
          <w:ilvl w:val="0"/>
          <w:numId w:val="2"/>
        </w:numPr>
        <w:tabs>
          <w:tab w:pos="1080" w:val="left" w:leader="none"/>
        </w:tabs>
        <w:spacing w:line="252" w:lineRule="exact" w:before="0" w:after="0"/>
        <w:ind w:left="1079" w:right="0" w:hanging="241"/>
        <w:jc w:val="left"/>
        <w:rPr>
          <w:sz w:val="22"/>
        </w:rPr>
      </w:pPr>
      <w:r>
        <w:rPr>
          <w:sz w:val="22"/>
        </w:rPr>
        <w:t>vendosja e produkteve në</w:t>
      </w:r>
      <w:r>
        <w:rPr>
          <w:spacing w:val="-1"/>
          <w:sz w:val="22"/>
        </w:rPr>
        <w:t> </w:t>
      </w:r>
      <w:r>
        <w:rPr>
          <w:sz w:val="22"/>
        </w:rPr>
        <w:t>programe.</w:t>
      </w:r>
    </w:p>
    <w:p>
      <w:pPr>
        <w:pStyle w:val="ListParagraph"/>
        <w:numPr>
          <w:ilvl w:val="0"/>
          <w:numId w:val="1"/>
        </w:numPr>
        <w:tabs>
          <w:tab w:pos="1126" w:val="left" w:leader="none"/>
        </w:tabs>
        <w:spacing w:line="240" w:lineRule="auto" w:before="0" w:after="0"/>
        <w:ind w:left="119" w:right="116" w:firstLine="720"/>
        <w:jc w:val="both"/>
        <w:rPr>
          <w:sz w:val="22"/>
        </w:rPr>
      </w:pPr>
      <w:r>
        <w:rPr>
          <w:sz w:val="22"/>
        </w:rPr>
        <w:t>“Komunitet”, në kuptim të këtij ligji, është bashkësia e individëve në një vendndodhje gjeografike të caktuar, ose bashkësia e individëve që kanë një interes të veçantë të</w:t>
      </w:r>
      <w:r>
        <w:rPr>
          <w:spacing w:val="-16"/>
          <w:sz w:val="22"/>
        </w:rPr>
        <w:t> </w:t>
      </w:r>
      <w:r>
        <w:rPr>
          <w:sz w:val="22"/>
        </w:rPr>
        <w:t>përbashkët.</w:t>
      </w:r>
    </w:p>
    <w:p>
      <w:pPr>
        <w:pStyle w:val="ListParagraph"/>
        <w:numPr>
          <w:ilvl w:val="0"/>
          <w:numId w:val="1"/>
        </w:numPr>
        <w:tabs>
          <w:tab w:pos="1186" w:val="left" w:leader="none"/>
        </w:tabs>
        <w:spacing w:line="240" w:lineRule="auto" w:before="0" w:after="0"/>
        <w:ind w:left="119" w:right="115" w:firstLine="720"/>
        <w:jc w:val="both"/>
        <w:rPr>
          <w:sz w:val="22"/>
        </w:rPr>
      </w:pPr>
      <w:r>
        <w:rPr>
          <w:sz w:val="22"/>
        </w:rPr>
        <w:t>“Komunitet me nevoja të veçanta shqisore” është komuniteti me mangësi të pjesshme ose të plotë shikimi ose dëgjimi, aftësia e të cilëve për të perceptuar sinjale audio apo audiovizive është e kufizuar në atë masë që bën të pamundur gëzimin e së drejtës së</w:t>
      </w:r>
      <w:r>
        <w:rPr>
          <w:spacing w:val="-9"/>
          <w:sz w:val="22"/>
        </w:rPr>
        <w:t> </w:t>
      </w:r>
      <w:r>
        <w:rPr>
          <w:sz w:val="22"/>
        </w:rPr>
        <w:t>informimit.</w:t>
      </w:r>
    </w:p>
    <w:p>
      <w:pPr>
        <w:pStyle w:val="ListParagraph"/>
        <w:numPr>
          <w:ilvl w:val="0"/>
          <w:numId w:val="1"/>
        </w:numPr>
        <w:tabs>
          <w:tab w:pos="1212" w:val="left" w:leader="none"/>
        </w:tabs>
        <w:spacing w:line="240" w:lineRule="auto" w:before="0" w:after="0"/>
        <w:ind w:left="119" w:right="114" w:firstLine="720"/>
        <w:jc w:val="both"/>
        <w:rPr>
          <w:sz w:val="22"/>
        </w:rPr>
      </w:pPr>
      <w:r>
        <w:rPr>
          <w:sz w:val="22"/>
        </w:rPr>
        <w:t>“Mbulim i përgjithshëm” është mbulimi nga një shërbim pa pagesë i transmetimit për të paktën 95 për qind të popullsisë në Republikën e</w:t>
      </w:r>
      <w:r>
        <w:rPr>
          <w:spacing w:val="-4"/>
          <w:sz w:val="22"/>
        </w:rPr>
        <w:t> </w:t>
      </w:r>
      <w:r>
        <w:rPr>
          <w:sz w:val="22"/>
        </w:rPr>
        <w:t>Shqipërisë.</w:t>
      </w:r>
    </w:p>
    <w:p>
      <w:pPr>
        <w:pStyle w:val="ListParagraph"/>
        <w:numPr>
          <w:ilvl w:val="0"/>
          <w:numId w:val="1"/>
        </w:numPr>
        <w:tabs>
          <w:tab w:pos="1171" w:val="left" w:leader="none"/>
        </w:tabs>
        <w:spacing w:line="252" w:lineRule="exact" w:before="0" w:after="0"/>
        <w:ind w:left="1171" w:right="0" w:hanging="332"/>
        <w:jc w:val="both"/>
        <w:rPr>
          <w:sz w:val="22"/>
        </w:rPr>
      </w:pPr>
      <w:r>
        <w:rPr>
          <w:sz w:val="22"/>
        </w:rPr>
        <w:t>“Ministri” është ministri që mbulon fushën e komunikimeve</w:t>
      </w:r>
      <w:r>
        <w:rPr>
          <w:spacing w:val="-6"/>
          <w:sz w:val="22"/>
        </w:rPr>
        <w:t> </w:t>
      </w:r>
      <w:r>
        <w:rPr>
          <w:sz w:val="22"/>
        </w:rPr>
        <w:t>elektronike.</w:t>
      </w:r>
    </w:p>
    <w:p>
      <w:pPr>
        <w:pStyle w:val="ListParagraph"/>
        <w:numPr>
          <w:ilvl w:val="0"/>
          <w:numId w:val="1"/>
        </w:numPr>
        <w:tabs>
          <w:tab w:pos="1215" w:val="left" w:leader="none"/>
        </w:tabs>
        <w:spacing w:line="240" w:lineRule="auto" w:before="0" w:after="0"/>
        <w:ind w:left="119" w:right="113" w:firstLine="720"/>
        <w:jc w:val="left"/>
        <w:rPr>
          <w:sz w:val="22"/>
        </w:rPr>
      </w:pPr>
      <w:r>
        <w:rPr>
          <w:sz w:val="22"/>
        </w:rPr>
        <w:t>“Mjete tokësore për shpërndarjen e një shërbimi transmetimi audioviziv” janë mjetet për shpërndarjen e një shërbimi të tillë nëpërmjet</w:t>
      </w:r>
      <w:r>
        <w:rPr>
          <w:spacing w:val="-3"/>
          <w:sz w:val="22"/>
        </w:rPr>
        <w:t> </w:t>
      </w:r>
      <w:r>
        <w:rPr>
          <w:sz w:val="22"/>
        </w:rPr>
        <w:t>valëve.</w:t>
      </w:r>
    </w:p>
    <w:p>
      <w:pPr>
        <w:pStyle w:val="ListParagraph"/>
        <w:numPr>
          <w:ilvl w:val="0"/>
          <w:numId w:val="1"/>
        </w:numPr>
        <w:tabs>
          <w:tab w:pos="1191" w:val="left" w:leader="none"/>
        </w:tabs>
        <w:spacing w:line="240" w:lineRule="auto" w:before="0" w:after="0"/>
        <w:ind w:left="119" w:right="115" w:firstLine="720"/>
        <w:jc w:val="left"/>
        <w:rPr>
          <w:sz w:val="22"/>
        </w:rPr>
      </w:pPr>
      <w:r>
        <w:rPr>
          <w:sz w:val="22"/>
        </w:rPr>
        <w:t>“Multipleks”është një pajisje teknike për vijimin e sinjaleve numerike dhe bashkimin e tyre në një fluks numerik të</w:t>
      </w:r>
      <w:r>
        <w:rPr>
          <w:spacing w:val="-4"/>
          <w:sz w:val="22"/>
        </w:rPr>
        <w:t> </w:t>
      </w:r>
      <w:r>
        <w:rPr>
          <w:sz w:val="22"/>
        </w:rPr>
        <w:t>dhënash.</w:t>
      </w:r>
    </w:p>
    <w:p>
      <w:pPr>
        <w:pStyle w:val="ListParagraph"/>
        <w:numPr>
          <w:ilvl w:val="0"/>
          <w:numId w:val="1"/>
        </w:numPr>
        <w:tabs>
          <w:tab w:pos="1171" w:val="left" w:leader="none"/>
        </w:tabs>
        <w:spacing w:line="240" w:lineRule="auto" w:before="0" w:after="0"/>
        <w:ind w:left="119" w:right="156" w:firstLine="720"/>
        <w:jc w:val="left"/>
        <w:rPr>
          <w:sz w:val="22"/>
        </w:rPr>
      </w:pPr>
      <w:r>
        <w:rPr>
          <w:sz w:val="22"/>
        </w:rPr>
        <w:t>“Ndërfaqet e programeve aplikative” janë përshtatës programorë midis aplikimeve të vëna në dispozicion nga OSHMA-të dhe kapaciteteve të pajisjeve të përmirësuara të transmetimeve audiovizive numerike.</w:t>
      </w:r>
    </w:p>
    <w:p>
      <w:pPr>
        <w:pStyle w:val="ListParagraph"/>
        <w:numPr>
          <w:ilvl w:val="0"/>
          <w:numId w:val="1"/>
        </w:numPr>
        <w:tabs>
          <w:tab w:pos="1190" w:val="left" w:leader="none"/>
        </w:tabs>
        <w:spacing w:line="240" w:lineRule="auto" w:before="0" w:after="0"/>
        <w:ind w:left="119" w:right="114" w:firstLine="720"/>
        <w:jc w:val="left"/>
        <w:rPr>
          <w:sz w:val="22"/>
        </w:rPr>
      </w:pPr>
      <w:r>
        <w:rPr>
          <w:sz w:val="22"/>
        </w:rPr>
        <w:t>“Ngjarje me rëndësi të madhe” është një ngjarje me rëndësi publike në Shqipëri, ose në një pjesë të saj, me natyrë sportive ose josportive, e cila përmbush të paktën dy nga kushtet e</w:t>
      </w:r>
      <w:r>
        <w:rPr>
          <w:spacing w:val="-20"/>
          <w:sz w:val="22"/>
        </w:rPr>
        <w:t> </w:t>
      </w:r>
      <w:r>
        <w:rPr>
          <w:sz w:val="22"/>
        </w:rPr>
        <w:t>mëposhtme:</w:t>
      </w:r>
    </w:p>
    <w:p>
      <w:pPr>
        <w:pStyle w:val="ListParagraph"/>
        <w:numPr>
          <w:ilvl w:val="0"/>
          <w:numId w:val="3"/>
        </w:numPr>
        <w:tabs>
          <w:tab w:pos="1092" w:val="left" w:leader="none"/>
        </w:tabs>
        <w:spacing w:line="240" w:lineRule="auto" w:before="0" w:after="0"/>
        <w:ind w:left="119" w:right="113" w:firstLine="720"/>
        <w:jc w:val="left"/>
        <w:rPr>
          <w:sz w:val="22"/>
        </w:rPr>
      </w:pPr>
      <w:r>
        <w:rPr>
          <w:sz w:val="22"/>
        </w:rPr>
        <w:t>për ngjarjen ka një interes të veçantë dhe të përhapur në vend, ku personat e interesuar janë edhe të tjerë, përveç atyre, të cilët zakonisht ndjekin ngjarje të tilla përmes</w:t>
      </w:r>
      <w:r>
        <w:rPr>
          <w:spacing w:val="-15"/>
          <w:sz w:val="22"/>
        </w:rPr>
        <w:t> </w:t>
      </w:r>
      <w:r>
        <w:rPr>
          <w:sz w:val="22"/>
        </w:rPr>
        <w:t>televizionit;</w:t>
      </w:r>
    </w:p>
    <w:p>
      <w:pPr>
        <w:pStyle w:val="ListParagraph"/>
        <w:numPr>
          <w:ilvl w:val="0"/>
          <w:numId w:val="3"/>
        </w:numPr>
        <w:tabs>
          <w:tab w:pos="1164" w:val="left" w:leader="none"/>
        </w:tabs>
        <w:spacing w:line="240" w:lineRule="auto" w:before="0" w:after="0"/>
        <w:ind w:left="119" w:right="116" w:firstLine="720"/>
        <w:jc w:val="left"/>
        <w:rPr>
          <w:sz w:val="22"/>
        </w:rPr>
      </w:pPr>
      <w:r>
        <w:rPr>
          <w:sz w:val="22"/>
        </w:rPr>
        <w:t>ngjarja gëzon njohje të gjerë nga publiku i përgjithshëm, ka një ndikim kulturor të rëndësishëm, forcon identitetin kulturor dhe nuk ka përmbajtje</w:t>
      </w:r>
      <w:r>
        <w:rPr>
          <w:spacing w:val="-7"/>
          <w:sz w:val="22"/>
        </w:rPr>
        <w:t> </w:t>
      </w:r>
      <w:r>
        <w:rPr>
          <w:sz w:val="22"/>
        </w:rPr>
        <w:t>partiake;</w:t>
      </w:r>
    </w:p>
    <w:p>
      <w:pPr>
        <w:pStyle w:val="ListParagraph"/>
        <w:numPr>
          <w:ilvl w:val="0"/>
          <w:numId w:val="3"/>
        </w:numPr>
        <w:tabs>
          <w:tab w:pos="1080" w:val="left" w:leader="none"/>
        </w:tabs>
        <w:spacing w:line="240" w:lineRule="auto" w:before="0" w:after="0"/>
        <w:ind w:left="119" w:right="115" w:firstLine="720"/>
        <w:jc w:val="left"/>
        <w:rPr>
          <w:sz w:val="22"/>
        </w:rPr>
      </w:pPr>
      <w:r>
        <w:rPr>
          <w:sz w:val="22"/>
        </w:rPr>
        <w:t>ngjarja përfshin pjesëmarrjen e skuadrës kombëtare të një disipline sportive të veçantë, në një ngjarje ose garë të rëndësishme</w:t>
      </w:r>
      <w:r>
        <w:rPr>
          <w:spacing w:val="-3"/>
          <w:sz w:val="22"/>
        </w:rPr>
        <w:t> </w:t>
      </w:r>
      <w:r>
        <w:rPr>
          <w:sz w:val="22"/>
        </w:rPr>
        <w:t>ndërkombëtare;</w:t>
      </w:r>
    </w:p>
    <w:p>
      <w:pPr>
        <w:pStyle w:val="BodyText"/>
        <w:ind w:left="119"/>
      </w:pPr>
      <w:r>
        <w:rPr/>
        <w:t>ç) ngjarja historikisht është transmetuar pa pagesë përmes televizionit dhe ka pasur një shikueshmëri të lartë në vend.</w:t>
      </w:r>
    </w:p>
    <w:p>
      <w:pPr>
        <w:pStyle w:val="ListParagraph"/>
        <w:numPr>
          <w:ilvl w:val="0"/>
          <w:numId w:val="1"/>
        </w:numPr>
        <w:tabs>
          <w:tab w:pos="1224" w:val="left" w:leader="none"/>
        </w:tabs>
        <w:spacing w:line="251" w:lineRule="exact" w:before="0" w:after="0"/>
        <w:ind w:left="1223" w:right="0" w:hanging="385"/>
        <w:jc w:val="left"/>
        <w:rPr>
          <w:sz w:val="22"/>
        </w:rPr>
      </w:pPr>
      <w:r>
        <w:rPr>
          <w:sz w:val="22"/>
        </w:rPr>
        <w:t>“Ofrues shërbimi mediatik audioviziv (OSHMA)” është personi fizik ose juridik, që</w:t>
      </w:r>
      <w:r>
        <w:rPr>
          <w:spacing w:val="14"/>
          <w:sz w:val="22"/>
        </w:rPr>
        <w:t> </w:t>
      </w:r>
      <w:r>
        <w:rPr>
          <w:sz w:val="22"/>
        </w:rPr>
        <w:t>ka</w:t>
      </w:r>
    </w:p>
    <w:p>
      <w:pPr>
        <w:spacing w:after="0" w:line="251" w:lineRule="exact"/>
        <w:jc w:val="left"/>
        <w:rPr>
          <w:sz w:val="22"/>
        </w:rPr>
        <w:sectPr>
          <w:pgSz w:w="12240" w:h="15840"/>
          <w:pgMar w:top="1360" w:bottom="280" w:left="1320" w:right="1320"/>
        </w:sectPr>
      </w:pPr>
    </w:p>
    <w:p>
      <w:pPr>
        <w:pStyle w:val="BodyText"/>
        <w:spacing w:before="74"/>
        <w:ind w:right="114" w:firstLine="0"/>
        <w:jc w:val="both"/>
      </w:pPr>
      <w:r>
        <w:rPr/>
        <w:t>përgjegjësinë editoriale për zgjedhjen e përmbajtjes së shërbimeve të transmetimit audioviziv dhe që vendos mënyrën e organizimit të saj.</w:t>
      </w:r>
    </w:p>
    <w:p>
      <w:pPr>
        <w:pStyle w:val="ListParagraph"/>
        <w:numPr>
          <w:ilvl w:val="0"/>
          <w:numId w:val="1"/>
        </w:numPr>
        <w:tabs>
          <w:tab w:pos="1227" w:val="left" w:leader="none"/>
        </w:tabs>
        <w:spacing w:line="240" w:lineRule="auto" w:before="0" w:after="0"/>
        <w:ind w:left="120" w:right="115" w:firstLine="720"/>
        <w:jc w:val="both"/>
        <w:rPr>
          <w:sz w:val="22"/>
        </w:rPr>
      </w:pPr>
      <w:r>
        <w:rPr>
          <w:sz w:val="22"/>
        </w:rPr>
        <w:t>“Operatori i rrjetit numerik” është personi juridik që ofron infrastrukturën teknike për shpërndarjen tokësore dhe bashkimin e programeve numerike dhe shërbimeve shtesë të përfshira në fluksin numerik të të</w:t>
      </w:r>
      <w:r>
        <w:rPr>
          <w:spacing w:val="-7"/>
          <w:sz w:val="22"/>
        </w:rPr>
        <w:t> </w:t>
      </w:r>
      <w:r>
        <w:rPr>
          <w:sz w:val="22"/>
        </w:rPr>
        <w:t>dhënave.</w:t>
      </w:r>
    </w:p>
    <w:p>
      <w:pPr>
        <w:pStyle w:val="ListParagraph"/>
        <w:numPr>
          <w:ilvl w:val="0"/>
          <w:numId w:val="1"/>
        </w:numPr>
        <w:tabs>
          <w:tab w:pos="1181" w:val="left" w:leader="none"/>
        </w:tabs>
        <w:spacing w:line="240" w:lineRule="auto" w:before="0" w:after="0"/>
        <w:ind w:left="120" w:right="115" w:firstLine="720"/>
        <w:jc w:val="both"/>
        <w:rPr>
          <w:sz w:val="22"/>
        </w:rPr>
      </w:pPr>
      <w:r>
        <w:rPr>
          <w:sz w:val="22"/>
        </w:rPr>
        <w:t>“Organizues i ngjarjes” është personi fizik ose juridik, që ka të drejtën ligjore për shitjen dhe shpërndarjen e</w:t>
      </w:r>
      <w:r>
        <w:rPr>
          <w:spacing w:val="-1"/>
          <w:sz w:val="22"/>
        </w:rPr>
        <w:t> </w:t>
      </w:r>
      <w:r>
        <w:rPr>
          <w:sz w:val="22"/>
        </w:rPr>
        <w:t>ngjarjes.</w:t>
      </w:r>
    </w:p>
    <w:p>
      <w:pPr>
        <w:pStyle w:val="ListParagraph"/>
        <w:numPr>
          <w:ilvl w:val="0"/>
          <w:numId w:val="1"/>
        </w:numPr>
        <w:tabs>
          <w:tab w:pos="1174" w:val="left" w:leader="none"/>
        </w:tabs>
        <w:spacing w:line="240" w:lineRule="auto" w:before="0" w:after="0"/>
        <w:ind w:left="119" w:right="119" w:firstLine="720"/>
        <w:jc w:val="both"/>
        <w:rPr>
          <w:sz w:val="22"/>
        </w:rPr>
      </w:pPr>
      <w:r>
        <w:rPr>
          <w:sz w:val="22"/>
        </w:rPr>
        <w:t>“Pajisje e aksesit të kushtëzuar” është çdo pajisje ose program i projektuar ose i përshtatur për dhënien e aksesit në një shërbim të mbrojtur në një formë të kuptueshme dhe të</w:t>
      </w:r>
      <w:r>
        <w:rPr>
          <w:spacing w:val="-12"/>
          <w:sz w:val="22"/>
        </w:rPr>
        <w:t> </w:t>
      </w:r>
      <w:r>
        <w:rPr>
          <w:sz w:val="22"/>
        </w:rPr>
        <w:t>qartë.</w:t>
      </w:r>
    </w:p>
    <w:p>
      <w:pPr>
        <w:pStyle w:val="ListParagraph"/>
        <w:numPr>
          <w:ilvl w:val="0"/>
          <w:numId w:val="1"/>
        </w:numPr>
        <w:tabs>
          <w:tab w:pos="1188" w:val="left" w:leader="none"/>
        </w:tabs>
        <w:spacing w:line="240" w:lineRule="auto" w:before="0" w:after="0"/>
        <w:ind w:left="119" w:right="114" w:firstLine="720"/>
        <w:jc w:val="both"/>
        <w:rPr>
          <w:sz w:val="22"/>
        </w:rPr>
      </w:pPr>
      <w:r>
        <w:rPr>
          <w:sz w:val="22"/>
        </w:rPr>
        <w:t>“Pajisje e ndaluar” është çdo pajisje ose program i projektuar ose i përshtatur për dhënien e aksesit në një shërbim të mbrojtur në një formë të kuptueshme, të qartë, pa autorizimin e ofruesit të shërbimit.</w:t>
      </w:r>
    </w:p>
    <w:p>
      <w:pPr>
        <w:pStyle w:val="ListParagraph"/>
        <w:numPr>
          <w:ilvl w:val="0"/>
          <w:numId w:val="1"/>
        </w:numPr>
        <w:tabs>
          <w:tab w:pos="1174" w:val="left" w:leader="none"/>
        </w:tabs>
        <w:spacing w:line="240" w:lineRule="auto" w:before="0" w:after="0"/>
        <w:ind w:left="119" w:right="116" w:firstLine="720"/>
        <w:jc w:val="both"/>
        <w:rPr>
          <w:sz w:val="22"/>
        </w:rPr>
      </w:pPr>
      <w:r>
        <w:rPr>
          <w:sz w:val="22"/>
        </w:rPr>
        <w:t>“Përgjegjësi editoriale” është ushtrimi i kontrollit efektiv mbi përzgjedhjen e programeve dhe organizimin e tyre</w:t>
      </w:r>
      <w:r>
        <w:rPr>
          <w:spacing w:val="-1"/>
          <w:sz w:val="22"/>
        </w:rPr>
        <w:t> </w:t>
      </w:r>
      <w:r>
        <w:rPr>
          <w:sz w:val="22"/>
        </w:rPr>
        <w:t>në:</w:t>
      </w:r>
    </w:p>
    <w:p>
      <w:pPr>
        <w:pStyle w:val="ListParagraph"/>
        <w:numPr>
          <w:ilvl w:val="0"/>
          <w:numId w:val="4"/>
        </w:numPr>
        <w:tabs>
          <w:tab w:pos="1069" w:val="left" w:leader="none"/>
        </w:tabs>
        <w:spacing w:line="252" w:lineRule="exact" w:before="0" w:after="0"/>
        <w:ind w:left="1068" w:right="0" w:hanging="229"/>
        <w:jc w:val="both"/>
        <w:rPr>
          <w:sz w:val="22"/>
        </w:rPr>
      </w:pPr>
      <w:r>
        <w:rPr>
          <w:sz w:val="22"/>
        </w:rPr>
        <w:t>një listë dhe orar, në rastin e shërbimeve të transmetimit të drejtpërdrejtë</w:t>
      </w:r>
      <w:r>
        <w:rPr>
          <w:spacing w:val="-14"/>
          <w:sz w:val="22"/>
        </w:rPr>
        <w:t> </w:t>
      </w:r>
      <w:r>
        <w:rPr>
          <w:sz w:val="22"/>
        </w:rPr>
        <w:t>audioviziv;</w:t>
      </w:r>
    </w:p>
    <w:p>
      <w:pPr>
        <w:pStyle w:val="ListParagraph"/>
        <w:numPr>
          <w:ilvl w:val="0"/>
          <w:numId w:val="4"/>
        </w:numPr>
        <w:tabs>
          <w:tab w:pos="1081" w:val="left" w:leader="none"/>
        </w:tabs>
        <w:spacing w:line="252" w:lineRule="exact" w:before="0" w:after="0"/>
        <w:ind w:left="1080" w:right="0" w:hanging="241"/>
        <w:jc w:val="both"/>
        <w:rPr>
          <w:sz w:val="22"/>
        </w:rPr>
      </w:pPr>
      <w:r>
        <w:rPr>
          <w:sz w:val="22"/>
        </w:rPr>
        <w:t>një katalog, në rastin e shërbimeve të programit audioviziv, sipas</w:t>
      </w:r>
      <w:r>
        <w:rPr>
          <w:spacing w:val="-6"/>
          <w:sz w:val="22"/>
        </w:rPr>
        <w:t> </w:t>
      </w:r>
      <w:r>
        <w:rPr>
          <w:sz w:val="22"/>
        </w:rPr>
        <w:t>kërkesës.</w:t>
      </w:r>
    </w:p>
    <w:p>
      <w:pPr>
        <w:pStyle w:val="ListParagraph"/>
        <w:numPr>
          <w:ilvl w:val="0"/>
          <w:numId w:val="1"/>
        </w:numPr>
        <w:tabs>
          <w:tab w:pos="1179" w:val="left" w:leader="none"/>
        </w:tabs>
        <w:spacing w:line="240" w:lineRule="auto" w:before="1" w:after="0"/>
        <w:ind w:left="120" w:right="112" w:firstLine="720"/>
        <w:jc w:val="both"/>
        <w:rPr>
          <w:sz w:val="22"/>
        </w:rPr>
      </w:pPr>
      <w:r>
        <w:rPr>
          <w:sz w:val="22"/>
        </w:rPr>
        <w:t>“Prodhime të pavarura” janë aktivitete të prodhimit të veprave audiovizive, të cilat plotësojnë një nga kushtet e mëposhtme:</w:t>
      </w:r>
    </w:p>
    <w:p>
      <w:pPr>
        <w:pStyle w:val="ListParagraph"/>
        <w:numPr>
          <w:ilvl w:val="0"/>
          <w:numId w:val="5"/>
        </w:numPr>
        <w:tabs>
          <w:tab w:pos="1093" w:val="left" w:leader="none"/>
        </w:tabs>
        <w:spacing w:line="242" w:lineRule="auto" w:before="0" w:after="0"/>
        <w:ind w:left="120" w:right="113" w:firstLine="719"/>
        <w:jc w:val="both"/>
        <w:rPr>
          <w:sz w:val="22"/>
        </w:rPr>
      </w:pPr>
      <w:r>
        <w:rPr>
          <w:sz w:val="22"/>
        </w:rPr>
        <w:t>kur nuk janë të kontrolluara ose të lidhura me transmetues me licencë ose me autorizim për transmetimin;</w:t>
      </w:r>
    </w:p>
    <w:p>
      <w:pPr>
        <w:pStyle w:val="ListParagraph"/>
        <w:numPr>
          <w:ilvl w:val="0"/>
          <w:numId w:val="5"/>
        </w:numPr>
        <w:tabs>
          <w:tab w:pos="1110" w:val="left" w:leader="none"/>
        </w:tabs>
        <w:spacing w:line="242" w:lineRule="auto" w:before="0" w:after="0"/>
        <w:ind w:left="120" w:right="115" w:firstLine="720"/>
        <w:jc w:val="both"/>
        <w:rPr>
          <w:sz w:val="22"/>
        </w:rPr>
      </w:pPr>
      <w:r>
        <w:rPr>
          <w:sz w:val="22"/>
        </w:rPr>
        <w:t>kur për një periudhe prej tre vitesh, të paktën 90 për qind e këtyre prodhimeve nuk janë të destinuara për një transmetues të</w:t>
      </w:r>
      <w:r>
        <w:rPr>
          <w:spacing w:val="-7"/>
          <w:sz w:val="22"/>
        </w:rPr>
        <w:t> </w:t>
      </w:r>
      <w:r>
        <w:rPr>
          <w:sz w:val="22"/>
        </w:rPr>
        <w:t>vetëm.</w:t>
      </w:r>
    </w:p>
    <w:p>
      <w:pPr>
        <w:pStyle w:val="ListParagraph"/>
        <w:numPr>
          <w:ilvl w:val="0"/>
          <w:numId w:val="1"/>
        </w:numPr>
        <w:tabs>
          <w:tab w:pos="1199" w:val="left" w:leader="none"/>
        </w:tabs>
        <w:spacing w:line="240" w:lineRule="auto" w:before="0" w:after="0"/>
        <w:ind w:left="120" w:right="114" w:firstLine="720"/>
        <w:jc w:val="both"/>
        <w:rPr>
          <w:sz w:val="22"/>
        </w:rPr>
      </w:pPr>
      <w:r>
        <w:rPr>
          <w:sz w:val="22"/>
        </w:rPr>
        <w:t>“Prodhues i pavarur” është personi fizik a juridik, që nuk është i përfshirë në prodhimin e shërbimeve mediatike audiovizive, i cili prodhon filma, programe reklamash, transmetime ose programe me natyrë individuale</w:t>
      </w:r>
      <w:r>
        <w:rPr>
          <w:spacing w:val="-1"/>
          <w:sz w:val="22"/>
        </w:rPr>
        <w:t> </w:t>
      </w:r>
      <w:r>
        <w:rPr>
          <w:sz w:val="22"/>
        </w:rPr>
        <w:t>audiovizive.</w:t>
      </w:r>
    </w:p>
    <w:p>
      <w:pPr>
        <w:pStyle w:val="ListParagraph"/>
        <w:numPr>
          <w:ilvl w:val="0"/>
          <w:numId w:val="1"/>
        </w:numPr>
        <w:tabs>
          <w:tab w:pos="1191" w:val="left" w:leader="none"/>
        </w:tabs>
        <w:spacing w:line="240" w:lineRule="auto" w:before="0" w:after="0"/>
        <w:ind w:left="120" w:right="112" w:firstLine="720"/>
        <w:jc w:val="both"/>
        <w:rPr>
          <w:sz w:val="22"/>
        </w:rPr>
      </w:pPr>
      <w:r>
        <w:rPr>
          <w:sz w:val="22"/>
        </w:rPr>
        <w:t>“Program radio” është tërësia e mesazheve audio që përbëjnë një element individual brenda një liste apo katalogu të krijuar nga ofruesi i shërbimit, forma dhe përmbajtja e të cilit janë të krahasueshme me formën dhe përmbajtjen e transmetimit radio.</w:t>
      </w:r>
    </w:p>
    <w:p>
      <w:pPr>
        <w:pStyle w:val="ListParagraph"/>
        <w:numPr>
          <w:ilvl w:val="0"/>
          <w:numId w:val="1"/>
        </w:numPr>
        <w:tabs>
          <w:tab w:pos="1182" w:val="left" w:leader="none"/>
        </w:tabs>
        <w:spacing w:line="240" w:lineRule="auto" w:before="0" w:after="0"/>
        <w:ind w:left="120" w:right="115" w:firstLine="719"/>
        <w:jc w:val="both"/>
        <w:rPr>
          <w:sz w:val="22"/>
        </w:rPr>
      </w:pPr>
      <w:r>
        <w:rPr>
          <w:sz w:val="22"/>
        </w:rPr>
        <w:t>“Program televiziv” është tërësia e imazheve lëvizëse, me ose pa zë, që përbëjnë një element individual brenda një liste apo katalogu të krijuar nga ofruesi i shërbimit, forma dhe përmbajtja e të cilit janë të krahasueshme me formën dhe përmbajtjen e transmetimit televiziv. Shembujt e programeve përfshijnë filma, ngjarje sportive, komedi, dokumentarë, programe për fëmijë dhe drama</w:t>
      </w:r>
      <w:r>
        <w:rPr>
          <w:spacing w:val="-17"/>
          <w:sz w:val="22"/>
        </w:rPr>
        <w:t> </w:t>
      </w:r>
      <w:r>
        <w:rPr>
          <w:sz w:val="22"/>
        </w:rPr>
        <w:t>origjinale.</w:t>
      </w:r>
    </w:p>
    <w:p>
      <w:pPr>
        <w:pStyle w:val="ListParagraph"/>
        <w:numPr>
          <w:ilvl w:val="0"/>
          <w:numId w:val="1"/>
        </w:numPr>
        <w:tabs>
          <w:tab w:pos="1189" w:val="left" w:leader="none"/>
        </w:tabs>
        <w:spacing w:line="240" w:lineRule="auto" w:before="0" w:after="0"/>
        <w:ind w:left="120" w:right="113" w:firstLine="720"/>
        <w:jc w:val="both"/>
        <w:rPr>
          <w:sz w:val="22"/>
        </w:rPr>
      </w:pPr>
      <w:r>
        <w:rPr>
          <w:sz w:val="22"/>
        </w:rPr>
        <w:t>“Reklamë” është çdo formë e publikimit të transmetuar kundrejt pagesës ose përfitimeve të tjera nga një sipërmarrje publike ose private apo nga një person për qëllime vetëreklamuese, lidhur me veprimtari të veta tregtare e fitimprurëse, profesionale ose ekspertizë, si dhe për mbështetjen e pajisjes me mallra ose shërbime, përfshirë këtu pasuri të paluajtshme, të drejta e detyrime të tjera, përkundrejt pagesës.</w:t>
      </w:r>
    </w:p>
    <w:p>
      <w:pPr>
        <w:pStyle w:val="ListParagraph"/>
        <w:numPr>
          <w:ilvl w:val="0"/>
          <w:numId w:val="1"/>
        </w:numPr>
        <w:tabs>
          <w:tab w:pos="1225" w:val="left" w:leader="none"/>
        </w:tabs>
        <w:spacing w:line="240" w:lineRule="auto" w:before="0" w:after="0"/>
        <w:ind w:left="120" w:right="112" w:firstLine="720"/>
        <w:jc w:val="both"/>
        <w:rPr>
          <w:sz w:val="22"/>
        </w:rPr>
      </w:pPr>
      <w:r>
        <w:rPr>
          <w:sz w:val="22"/>
        </w:rPr>
        <w:t>“Reklama institucionale” janë reklamat e porositura nga një institucion shtetëror, për të promovuar veprimtarinë e institucionit, me qëllim që të nxisë, të përkrahë dhe mbrojë vlerat dhe qëndrimet që konsolidojnë demokracinë, mirëqenien, shëndetin publik dhe sigurinë</w:t>
      </w:r>
      <w:r>
        <w:rPr>
          <w:spacing w:val="-17"/>
          <w:sz w:val="22"/>
        </w:rPr>
        <w:t> </w:t>
      </w:r>
      <w:r>
        <w:rPr>
          <w:sz w:val="22"/>
        </w:rPr>
        <w:t>kombëtare.</w:t>
      </w:r>
    </w:p>
    <w:p>
      <w:pPr>
        <w:pStyle w:val="ListParagraph"/>
        <w:numPr>
          <w:ilvl w:val="0"/>
          <w:numId w:val="1"/>
        </w:numPr>
        <w:tabs>
          <w:tab w:pos="1179" w:val="left" w:leader="none"/>
        </w:tabs>
        <w:spacing w:line="240" w:lineRule="auto" w:before="0" w:after="0"/>
        <w:ind w:left="120" w:right="112" w:firstLine="720"/>
        <w:jc w:val="both"/>
        <w:rPr>
          <w:sz w:val="22"/>
        </w:rPr>
      </w:pPr>
      <w:r>
        <w:rPr>
          <w:sz w:val="22"/>
        </w:rPr>
        <w:t>“Reklama ndërvepruese” janë reklamat, të cilat lejojnë përdoruesin të marrë përmbajtje më të detajuar të reklamës nga pjesa e publikuar e programit</w:t>
      </w:r>
      <w:r>
        <w:rPr>
          <w:spacing w:val="-6"/>
          <w:sz w:val="22"/>
        </w:rPr>
        <w:t> </w:t>
      </w:r>
      <w:r>
        <w:rPr>
          <w:sz w:val="22"/>
        </w:rPr>
        <w:t>përkatës.</w:t>
      </w:r>
    </w:p>
    <w:p>
      <w:pPr>
        <w:pStyle w:val="ListParagraph"/>
        <w:numPr>
          <w:ilvl w:val="0"/>
          <w:numId w:val="1"/>
        </w:numPr>
        <w:tabs>
          <w:tab w:pos="1213" w:val="left" w:leader="none"/>
        </w:tabs>
        <w:spacing w:line="240" w:lineRule="auto" w:before="0" w:after="0"/>
        <w:ind w:left="120" w:right="112" w:firstLine="720"/>
        <w:jc w:val="both"/>
        <w:rPr>
          <w:sz w:val="22"/>
        </w:rPr>
      </w:pPr>
      <w:r>
        <w:rPr>
          <w:sz w:val="22"/>
        </w:rPr>
        <w:t>“Reklamat në ekran të ndarë” janë reklamat që shfaqen në kënd të ekranit në mënyrë të njëkohshme me transmetimin e programit, si logo, tekst i lëvizshëm, kënde reklamimi dhe forma të tjera reklame.</w:t>
      </w:r>
    </w:p>
    <w:p>
      <w:pPr>
        <w:pStyle w:val="ListParagraph"/>
        <w:numPr>
          <w:ilvl w:val="0"/>
          <w:numId w:val="1"/>
        </w:numPr>
        <w:tabs>
          <w:tab w:pos="1258" w:val="left" w:leader="none"/>
        </w:tabs>
        <w:spacing w:line="242" w:lineRule="auto" w:before="0" w:after="0"/>
        <w:ind w:left="120" w:right="116" w:firstLine="775"/>
        <w:jc w:val="left"/>
        <w:rPr>
          <w:sz w:val="22"/>
        </w:rPr>
      </w:pPr>
      <w:r>
        <w:rPr>
          <w:sz w:val="22"/>
        </w:rPr>
        <w:t>“Reklama politike” janë reklama me përmbajtje thelbësore politike, që kanë për qëllim të arrijnë objektiva</w:t>
      </w:r>
      <w:r>
        <w:rPr>
          <w:spacing w:val="-1"/>
          <w:sz w:val="22"/>
        </w:rPr>
        <w:t> </w:t>
      </w:r>
      <w:r>
        <w:rPr>
          <w:sz w:val="22"/>
        </w:rPr>
        <w:t>politikë.</w:t>
      </w:r>
    </w:p>
    <w:p>
      <w:pPr>
        <w:pStyle w:val="ListParagraph"/>
        <w:numPr>
          <w:ilvl w:val="0"/>
          <w:numId w:val="1"/>
        </w:numPr>
        <w:tabs>
          <w:tab w:pos="1189" w:val="left" w:leader="none"/>
        </w:tabs>
        <w:spacing w:line="242" w:lineRule="auto" w:before="0" w:after="0"/>
        <w:ind w:left="120" w:right="114" w:firstLine="720"/>
        <w:jc w:val="left"/>
        <w:rPr>
          <w:sz w:val="22"/>
        </w:rPr>
      </w:pPr>
      <w:r>
        <w:rPr>
          <w:sz w:val="22"/>
        </w:rPr>
        <w:t>“Reklamë virtuale” është reklama e krijuar përmes përpunimit grafik me teknologji digjitale për të futur imazhe në një program televiziv të transmetuar direkt ose me</w:t>
      </w:r>
      <w:r>
        <w:rPr>
          <w:spacing w:val="-15"/>
          <w:sz w:val="22"/>
        </w:rPr>
        <w:t> </w:t>
      </w:r>
      <w:r>
        <w:rPr>
          <w:sz w:val="22"/>
        </w:rPr>
        <w:t>regjistrim.</w:t>
      </w:r>
    </w:p>
    <w:p>
      <w:pPr>
        <w:pStyle w:val="ListParagraph"/>
        <w:numPr>
          <w:ilvl w:val="0"/>
          <w:numId w:val="1"/>
        </w:numPr>
        <w:tabs>
          <w:tab w:pos="1175" w:val="left" w:leader="none"/>
        </w:tabs>
        <w:spacing w:line="240" w:lineRule="auto" w:before="0" w:after="0"/>
        <w:ind w:left="120" w:right="113" w:firstLine="720"/>
        <w:jc w:val="left"/>
        <w:rPr>
          <w:sz w:val="22"/>
        </w:rPr>
      </w:pPr>
      <w:r>
        <w:rPr>
          <w:sz w:val="22"/>
        </w:rPr>
        <w:t>“Reklamë e zakonshme” është transmetimi i reklamave, kohëzgjatja e të cilave nuk i kalon 90 sekonda.</w:t>
      </w:r>
    </w:p>
    <w:p>
      <w:pPr>
        <w:spacing w:after="0" w:line="240" w:lineRule="auto"/>
        <w:jc w:val="left"/>
        <w:rPr>
          <w:sz w:val="22"/>
        </w:rPr>
        <w:sectPr>
          <w:pgSz w:w="12240" w:h="15840"/>
          <w:pgMar w:top="1360" w:bottom="280" w:left="1320" w:right="1320"/>
        </w:sectPr>
      </w:pPr>
    </w:p>
    <w:p>
      <w:pPr>
        <w:pStyle w:val="ListParagraph"/>
        <w:numPr>
          <w:ilvl w:val="0"/>
          <w:numId w:val="1"/>
        </w:numPr>
        <w:tabs>
          <w:tab w:pos="1174" w:val="left" w:leader="none"/>
        </w:tabs>
        <w:spacing w:line="240" w:lineRule="auto" w:before="74" w:after="0"/>
        <w:ind w:left="120" w:right="113" w:firstLine="720"/>
        <w:jc w:val="both"/>
        <w:rPr>
          <w:sz w:val="22"/>
        </w:rPr>
      </w:pPr>
      <w:r>
        <w:rPr>
          <w:sz w:val="22"/>
        </w:rPr>
        <w:t>“Reklamë e zgjeruar” është një transmetim për qëllim fitimi që i kalon 90 sekonda, e cila i jep publikut informacion të detajuar për mallrat, shërbimet, shoqëritë, individët dhe organizatat tregtare, veprimtarinë ose idetë e</w:t>
      </w:r>
      <w:r>
        <w:rPr>
          <w:spacing w:val="-3"/>
          <w:sz w:val="22"/>
        </w:rPr>
        <w:t> </w:t>
      </w:r>
      <w:r>
        <w:rPr>
          <w:sz w:val="22"/>
        </w:rPr>
        <w:t>tyre.</w:t>
      </w:r>
    </w:p>
    <w:p>
      <w:pPr>
        <w:pStyle w:val="ListParagraph"/>
        <w:numPr>
          <w:ilvl w:val="0"/>
          <w:numId w:val="1"/>
        </w:numPr>
        <w:tabs>
          <w:tab w:pos="1208" w:val="left" w:leader="none"/>
        </w:tabs>
        <w:spacing w:line="240" w:lineRule="auto" w:before="0" w:after="0"/>
        <w:ind w:left="119" w:right="113" w:firstLine="720"/>
        <w:jc w:val="both"/>
        <w:rPr>
          <w:sz w:val="22"/>
        </w:rPr>
      </w:pPr>
      <w:r>
        <w:rPr>
          <w:sz w:val="22"/>
        </w:rPr>
        <w:t>“Reklamë në televizion” është çdo formë e publikimit, e transmetuar nga një transmetues televiziv, kundrejt pagesës ose përfitimeve të tjera ose transmetim për qëllime vetëreklamuese, nga një sipërmarrje publike apo private ose nga një person fizik, lidhur me veprimtari të veta tregtare e fitimprurëse, profesionale ose ekspertizë, me qëllim për të promovuar ofrimin e mallrave ose shërbimeve, përfshirë këtu pasuri të paluajtshme, të drejta dhe detyrime të tjera, kundrejt</w:t>
      </w:r>
      <w:r>
        <w:rPr>
          <w:spacing w:val="-10"/>
          <w:sz w:val="22"/>
        </w:rPr>
        <w:t> </w:t>
      </w:r>
      <w:r>
        <w:rPr>
          <w:sz w:val="22"/>
        </w:rPr>
        <w:t>pagesës.</w:t>
      </w:r>
    </w:p>
    <w:p>
      <w:pPr>
        <w:pStyle w:val="ListParagraph"/>
        <w:numPr>
          <w:ilvl w:val="0"/>
          <w:numId w:val="1"/>
        </w:numPr>
        <w:tabs>
          <w:tab w:pos="1222" w:val="left" w:leader="none"/>
        </w:tabs>
        <w:spacing w:line="240" w:lineRule="auto" w:before="0" w:after="0"/>
        <w:ind w:left="119" w:right="113" w:firstLine="720"/>
        <w:jc w:val="both"/>
        <w:rPr>
          <w:sz w:val="22"/>
        </w:rPr>
      </w:pPr>
      <w:r>
        <w:rPr>
          <w:sz w:val="22"/>
        </w:rPr>
        <w:t>“Rrjetet e komunikimeve elektronike” janë sistemet e transmetimit dhe, nëse ekzistojnë, sistemet e komutimit ose rrugëzimit dhe burime të tjera, të cilat lejojnë përcjelljen e sinjaleve nëpërmjet përcjellësve, radios, mjeteve optike ose mjeteve të tjera elektromagnetike, duke përfshirë rrjetet satelitore, rrjetet fikse, me komutim të qarqeve ose me komutim të paketave, përfshirë internetin, rrjetet e lëvizshme tokësore, sistemet e kabllove elektrike në raste kur ato përdoren për transmetimin e sinjaleve, rrjetet e përdorura për transmetimet audiovizive dhe rrjetet kabllore televizive, pavarësisht nga tipi i informacionit të përcjellë.</w:t>
      </w:r>
    </w:p>
    <w:p>
      <w:pPr>
        <w:pStyle w:val="ListParagraph"/>
        <w:numPr>
          <w:ilvl w:val="0"/>
          <w:numId w:val="1"/>
        </w:numPr>
        <w:tabs>
          <w:tab w:pos="1181" w:val="left" w:leader="none"/>
        </w:tabs>
        <w:spacing w:line="240" w:lineRule="auto" w:before="0" w:after="0"/>
        <w:ind w:left="119" w:right="115" w:firstLine="720"/>
        <w:jc w:val="both"/>
        <w:rPr>
          <w:sz w:val="22"/>
        </w:rPr>
      </w:pPr>
      <w:r>
        <w:rPr>
          <w:sz w:val="22"/>
        </w:rPr>
        <w:t>“Sponsorizim” është çdo kontribut i bërë nga një person juridik publik ose privat ose nga një person fizik, i cili nuk është i përfshirë në ofrimin e shërbimeve audiovizive ose në prodhimin e veprave audiovizive, për të financuar shërbimet ose programet e medias audiovizive, me qëllim për të promovuar emrin, markën, imazhin, veprimtaritë ose prodhimet e atij personi juridik ose</w:t>
      </w:r>
      <w:r>
        <w:rPr>
          <w:spacing w:val="-12"/>
          <w:sz w:val="22"/>
        </w:rPr>
        <w:t> </w:t>
      </w:r>
      <w:r>
        <w:rPr>
          <w:sz w:val="22"/>
        </w:rPr>
        <w:t>fizik.</w:t>
      </w:r>
    </w:p>
    <w:p>
      <w:pPr>
        <w:pStyle w:val="ListParagraph"/>
        <w:numPr>
          <w:ilvl w:val="0"/>
          <w:numId w:val="1"/>
        </w:numPr>
        <w:tabs>
          <w:tab w:pos="1200" w:val="left" w:leader="none"/>
        </w:tabs>
        <w:spacing w:line="240" w:lineRule="auto" w:before="0" w:after="0"/>
        <w:ind w:left="119" w:right="115" w:firstLine="720"/>
        <w:jc w:val="both"/>
        <w:rPr>
          <w:sz w:val="22"/>
        </w:rPr>
      </w:pPr>
      <w:r>
        <w:rPr>
          <w:sz w:val="22"/>
        </w:rPr>
        <w:t>“Shërbim i transmetimit audio” është një shërbim transmetimi, i cili përhap ose shpërndan lajme, audio, shenja ose sinjale, me qëllim marrjen e tyre të drejtpërdrejtë nga publiku i</w:t>
      </w:r>
      <w:r>
        <w:rPr>
          <w:spacing w:val="-11"/>
          <w:sz w:val="22"/>
        </w:rPr>
        <w:t> </w:t>
      </w:r>
      <w:r>
        <w:rPr>
          <w:sz w:val="22"/>
        </w:rPr>
        <w:t>gjerë.</w:t>
      </w:r>
    </w:p>
    <w:p>
      <w:pPr>
        <w:pStyle w:val="ListParagraph"/>
        <w:numPr>
          <w:ilvl w:val="0"/>
          <w:numId w:val="1"/>
        </w:numPr>
        <w:tabs>
          <w:tab w:pos="1171" w:val="left" w:leader="none"/>
        </w:tabs>
        <w:spacing w:line="252" w:lineRule="exact" w:before="0" w:after="0"/>
        <w:ind w:left="1171" w:right="0" w:hanging="332"/>
        <w:jc w:val="both"/>
        <w:rPr>
          <w:sz w:val="22"/>
        </w:rPr>
      </w:pPr>
      <w:r>
        <w:rPr>
          <w:sz w:val="22"/>
        </w:rPr>
        <w:t>“Shërbim i transmetimit publik” përfshin shërbimet pa pagesë të transmetimit të</w:t>
      </w:r>
      <w:r>
        <w:rPr>
          <w:spacing w:val="-18"/>
          <w:sz w:val="22"/>
        </w:rPr>
        <w:t> </w:t>
      </w:r>
      <w:r>
        <w:rPr>
          <w:sz w:val="22"/>
        </w:rPr>
        <w:t>RTSH-së.</w:t>
      </w:r>
    </w:p>
    <w:p>
      <w:pPr>
        <w:pStyle w:val="ListParagraph"/>
        <w:numPr>
          <w:ilvl w:val="0"/>
          <w:numId w:val="1"/>
        </w:numPr>
        <w:tabs>
          <w:tab w:pos="1198" w:val="left" w:leader="none"/>
        </w:tabs>
        <w:spacing w:line="240" w:lineRule="auto" w:before="0" w:after="0"/>
        <w:ind w:left="119" w:right="114" w:firstLine="720"/>
        <w:jc w:val="both"/>
        <w:rPr>
          <w:sz w:val="22"/>
        </w:rPr>
      </w:pPr>
      <w:r>
        <w:rPr>
          <w:sz w:val="22"/>
        </w:rPr>
        <w:t>“Shërbim programi audioviziv” është një tërësi programesh audiovizive të çdo lloji dhe që përhapet ose shpërndahet drejtpërsëdrejti ose jo për marrjen nga publiku i</w:t>
      </w:r>
      <w:r>
        <w:rPr>
          <w:spacing w:val="-8"/>
          <w:sz w:val="22"/>
        </w:rPr>
        <w:t> </w:t>
      </w:r>
      <w:r>
        <w:rPr>
          <w:sz w:val="22"/>
        </w:rPr>
        <w:t>gjerë.</w:t>
      </w:r>
    </w:p>
    <w:p>
      <w:pPr>
        <w:pStyle w:val="ListParagraph"/>
        <w:numPr>
          <w:ilvl w:val="0"/>
          <w:numId w:val="1"/>
        </w:numPr>
        <w:tabs>
          <w:tab w:pos="1171" w:val="left" w:leader="none"/>
        </w:tabs>
        <w:spacing w:line="252" w:lineRule="exact" w:before="0" w:after="0"/>
        <w:ind w:left="1171" w:right="0" w:hanging="332"/>
        <w:jc w:val="both"/>
        <w:rPr>
          <w:sz w:val="22"/>
        </w:rPr>
      </w:pPr>
      <w:r>
        <w:rPr>
          <w:sz w:val="22"/>
        </w:rPr>
        <w:t>“Shërbime të mbrojtura”</w:t>
      </w:r>
      <w:r>
        <w:rPr>
          <w:spacing w:val="-4"/>
          <w:sz w:val="22"/>
        </w:rPr>
        <w:t> </w:t>
      </w:r>
      <w:r>
        <w:rPr>
          <w:sz w:val="22"/>
        </w:rPr>
        <w:t>janë:</w:t>
      </w:r>
    </w:p>
    <w:p>
      <w:pPr>
        <w:pStyle w:val="ListParagraph"/>
        <w:numPr>
          <w:ilvl w:val="0"/>
          <w:numId w:val="6"/>
        </w:numPr>
        <w:tabs>
          <w:tab w:pos="1073" w:val="left" w:leader="none"/>
        </w:tabs>
        <w:spacing w:line="240" w:lineRule="auto" w:before="0" w:after="0"/>
        <w:ind w:left="120" w:right="114" w:firstLine="720"/>
        <w:jc w:val="both"/>
        <w:rPr>
          <w:sz w:val="22"/>
        </w:rPr>
      </w:pPr>
      <w:r>
        <w:rPr>
          <w:sz w:val="22"/>
        </w:rPr>
        <w:t>shërbime të transmetimit audio dhe/ose audiovizive dhe shërbime të shoqërisë së informacionit që ofrohen për qëllime fitimi mbi bazën e aksesit të</w:t>
      </w:r>
      <w:r>
        <w:rPr>
          <w:spacing w:val="-5"/>
          <w:sz w:val="22"/>
        </w:rPr>
        <w:t> </w:t>
      </w:r>
      <w:r>
        <w:rPr>
          <w:sz w:val="22"/>
        </w:rPr>
        <w:t>kushtëzuar;</w:t>
      </w:r>
    </w:p>
    <w:p>
      <w:pPr>
        <w:pStyle w:val="ListParagraph"/>
        <w:numPr>
          <w:ilvl w:val="0"/>
          <w:numId w:val="6"/>
        </w:numPr>
        <w:tabs>
          <w:tab w:pos="1081" w:val="left" w:leader="none"/>
        </w:tabs>
        <w:spacing w:line="252" w:lineRule="exact" w:before="0" w:after="0"/>
        <w:ind w:left="1080" w:right="0" w:hanging="241"/>
        <w:jc w:val="both"/>
        <w:rPr>
          <w:sz w:val="22"/>
        </w:rPr>
      </w:pPr>
      <w:r>
        <w:rPr>
          <w:sz w:val="22"/>
        </w:rPr>
        <w:t>ofrimi i aksesit të kushtëzuar për shërbimet e cituara në shkronjën “a” të kësaj</w:t>
      </w:r>
      <w:r>
        <w:rPr>
          <w:spacing w:val="-13"/>
          <w:sz w:val="22"/>
        </w:rPr>
        <w:t> </w:t>
      </w:r>
      <w:r>
        <w:rPr>
          <w:sz w:val="22"/>
        </w:rPr>
        <w:t>pike.</w:t>
      </w:r>
    </w:p>
    <w:p>
      <w:pPr>
        <w:pStyle w:val="ListParagraph"/>
        <w:numPr>
          <w:ilvl w:val="0"/>
          <w:numId w:val="1"/>
        </w:numPr>
        <w:tabs>
          <w:tab w:pos="1200" w:val="left" w:leader="none"/>
        </w:tabs>
        <w:spacing w:line="240" w:lineRule="auto" w:before="0" w:after="0"/>
        <w:ind w:left="120" w:right="115" w:firstLine="720"/>
        <w:jc w:val="both"/>
        <w:rPr>
          <w:sz w:val="22"/>
        </w:rPr>
      </w:pPr>
      <w:r>
        <w:rPr>
          <w:sz w:val="22"/>
        </w:rPr>
        <w:t>“Shërbimet audiovizive, sipas kërkesës” janë shërbimet jolineare mediatike audiovizive të ofruara nga ofruesi i shërbimit mediatik në momentin e zgjedhur nga përdoruesi, në bazë të kërkesës së tij, mbështetur në një katalog programi të ofruar për këtë qëllim nga ofruesi i shërbimit</w:t>
      </w:r>
      <w:r>
        <w:rPr>
          <w:spacing w:val="-19"/>
          <w:sz w:val="22"/>
        </w:rPr>
        <w:t> </w:t>
      </w:r>
      <w:r>
        <w:rPr>
          <w:sz w:val="22"/>
        </w:rPr>
        <w:t>mediatik.</w:t>
      </w:r>
    </w:p>
    <w:p>
      <w:pPr>
        <w:pStyle w:val="ListParagraph"/>
        <w:numPr>
          <w:ilvl w:val="0"/>
          <w:numId w:val="1"/>
        </w:numPr>
        <w:tabs>
          <w:tab w:pos="1174" w:val="left" w:leader="none"/>
        </w:tabs>
        <w:spacing w:line="240" w:lineRule="auto" w:before="0" w:after="0"/>
        <w:ind w:left="120" w:right="110" w:firstLine="720"/>
        <w:jc w:val="both"/>
        <w:rPr>
          <w:sz w:val="22"/>
        </w:rPr>
      </w:pPr>
      <w:r>
        <w:rPr>
          <w:sz w:val="22"/>
        </w:rPr>
        <w:t>“Shërbimi mediatik audioviziv” është një shërbim nën përgjegjësinë editoriale të një operatori të shërbimit mediatik, qëllimi kryesor i të cilit është ofrimi i programeve informuese, argëtuese ose edukuese, për publikun e gjerë, nëpërmjet rrjeteve të komunikimit elektronik. Një shërbim i tillë mediatik audioviziv është ose një transmetim televiziv ose një shërbim mediatik audioviziv, sipas kërkesës dhe/ose një komunikim tregtar audioviziv, sipas përcaktimeve të këtij</w:t>
      </w:r>
      <w:r>
        <w:rPr>
          <w:spacing w:val="-7"/>
          <w:sz w:val="22"/>
        </w:rPr>
        <w:t> </w:t>
      </w:r>
      <w:r>
        <w:rPr>
          <w:sz w:val="22"/>
        </w:rPr>
        <w:t>ligji.</w:t>
      </w:r>
    </w:p>
    <w:p>
      <w:pPr>
        <w:pStyle w:val="ListParagraph"/>
        <w:numPr>
          <w:ilvl w:val="0"/>
          <w:numId w:val="1"/>
        </w:numPr>
        <w:tabs>
          <w:tab w:pos="1186" w:val="left" w:leader="none"/>
        </w:tabs>
        <w:spacing w:line="240" w:lineRule="auto" w:before="0" w:after="0"/>
        <w:ind w:left="120" w:right="114" w:firstLine="720"/>
        <w:jc w:val="both"/>
        <w:rPr>
          <w:sz w:val="22"/>
        </w:rPr>
      </w:pPr>
      <w:r>
        <w:rPr>
          <w:sz w:val="22"/>
        </w:rPr>
        <w:t>“Shërbimi televiziv me ekran të gjerë” është një shërbim televiziv që konsiston tërësisht ose pjesërisht në programe të prodhuara për t’u shfaqur në një format me ekran të gjerë. Formati referencë për shërbimin e televizionit me ekran të gjerë është formati</w:t>
      </w:r>
      <w:r>
        <w:rPr>
          <w:spacing w:val="-8"/>
          <w:sz w:val="22"/>
        </w:rPr>
        <w:t> </w:t>
      </w:r>
      <w:r>
        <w:rPr>
          <w:sz w:val="22"/>
        </w:rPr>
        <w:t>16:9.</w:t>
      </w:r>
    </w:p>
    <w:p>
      <w:pPr>
        <w:pStyle w:val="ListParagraph"/>
        <w:numPr>
          <w:ilvl w:val="0"/>
          <w:numId w:val="1"/>
        </w:numPr>
        <w:tabs>
          <w:tab w:pos="1232" w:val="left" w:leader="none"/>
        </w:tabs>
        <w:spacing w:line="240" w:lineRule="auto" w:before="0" w:after="0"/>
        <w:ind w:left="120" w:right="113" w:firstLine="720"/>
        <w:jc w:val="both"/>
        <w:rPr>
          <w:sz w:val="22"/>
        </w:rPr>
      </w:pPr>
      <w:r>
        <w:rPr>
          <w:sz w:val="22"/>
        </w:rPr>
        <w:t>“Teleshitje” janë programet e transmetuara, që përbëjnë një ofertë të drejtpërdrejtë për publikun për shitjen apo sigurimin e mallrave, shërbimeve ose pasurive të tjera të paluajtshme apo pronësisë intelektuale.</w:t>
      </w:r>
    </w:p>
    <w:p>
      <w:pPr>
        <w:pStyle w:val="ListParagraph"/>
        <w:numPr>
          <w:ilvl w:val="0"/>
          <w:numId w:val="1"/>
        </w:numPr>
        <w:tabs>
          <w:tab w:pos="1205" w:val="left" w:leader="none"/>
        </w:tabs>
        <w:spacing w:line="240" w:lineRule="auto" w:before="0" w:after="0"/>
        <w:ind w:left="120" w:right="115" w:firstLine="720"/>
        <w:jc w:val="both"/>
        <w:rPr>
          <w:sz w:val="22"/>
        </w:rPr>
      </w:pPr>
      <w:r>
        <w:rPr>
          <w:sz w:val="22"/>
        </w:rPr>
        <w:t>“Transmetim jolinear” është ofrimi i shërbimit të programit audio dhe/ose audioviziv për marrje, sipas kërkesës individuale dhe në momentin e zgjedhur nga</w:t>
      </w:r>
      <w:r>
        <w:rPr>
          <w:spacing w:val="-4"/>
          <w:sz w:val="22"/>
        </w:rPr>
        <w:t> </w:t>
      </w:r>
      <w:r>
        <w:rPr>
          <w:sz w:val="22"/>
        </w:rPr>
        <w:t>përdoruesit.</w:t>
      </w:r>
    </w:p>
    <w:p>
      <w:pPr>
        <w:pStyle w:val="ListParagraph"/>
        <w:numPr>
          <w:ilvl w:val="0"/>
          <w:numId w:val="1"/>
        </w:numPr>
        <w:tabs>
          <w:tab w:pos="1174" w:val="left" w:leader="none"/>
        </w:tabs>
        <w:spacing w:line="240" w:lineRule="auto" w:before="0" w:after="0"/>
        <w:ind w:left="120" w:right="115" w:firstLine="719"/>
        <w:jc w:val="both"/>
        <w:rPr>
          <w:sz w:val="22"/>
        </w:rPr>
      </w:pPr>
      <w:r>
        <w:rPr>
          <w:sz w:val="22"/>
        </w:rPr>
        <w:t>“Transmetim linear” është ofrimi i shërbimit të programit audio dhe/ose audioviziv për marrje të njëkohshme të tyre nga dëgjuesit dhe/ose</w:t>
      </w:r>
      <w:r>
        <w:rPr>
          <w:spacing w:val="-2"/>
          <w:sz w:val="22"/>
        </w:rPr>
        <w:t> </w:t>
      </w:r>
      <w:r>
        <w:rPr>
          <w:sz w:val="22"/>
        </w:rPr>
        <w:t>shikuesit.</w:t>
      </w:r>
    </w:p>
    <w:p>
      <w:pPr>
        <w:pStyle w:val="ListParagraph"/>
        <w:numPr>
          <w:ilvl w:val="0"/>
          <w:numId w:val="1"/>
        </w:numPr>
        <w:tabs>
          <w:tab w:pos="1225" w:val="left" w:leader="none"/>
        </w:tabs>
        <w:spacing w:line="240" w:lineRule="auto" w:before="0" w:after="0"/>
        <w:ind w:left="120" w:right="116" w:firstLine="720"/>
        <w:jc w:val="both"/>
        <w:rPr>
          <w:sz w:val="22"/>
        </w:rPr>
      </w:pPr>
      <w:r>
        <w:rPr>
          <w:sz w:val="22"/>
        </w:rPr>
        <w:t>“Transmetim pa pagesë” është transmetimi, për marrjen e të cilit nuk i paguhet tarifë subjektit që e siguron këtë</w:t>
      </w:r>
      <w:r>
        <w:rPr>
          <w:spacing w:val="-2"/>
          <w:sz w:val="22"/>
        </w:rPr>
        <w:t> </w:t>
      </w:r>
      <w:r>
        <w:rPr>
          <w:sz w:val="22"/>
        </w:rPr>
        <w:t>shërbim.</w:t>
      </w:r>
    </w:p>
    <w:p>
      <w:pPr>
        <w:pStyle w:val="ListParagraph"/>
        <w:numPr>
          <w:ilvl w:val="0"/>
          <w:numId w:val="1"/>
        </w:numPr>
        <w:tabs>
          <w:tab w:pos="1217" w:val="left" w:leader="none"/>
        </w:tabs>
        <w:spacing w:line="240" w:lineRule="auto" w:before="0" w:after="0"/>
        <w:ind w:left="120" w:right="114" w:firstLine="719"/>
        <w:jc w:val="both"/>
        <w:rPr>
          <w:sz w:val="22"/>
        </w:rPr>
      </w:pPr>
      <w:r>
        <w:rPr>
          <w:sz w:val="22"/>
        </w:rPr>
        <w:t>“Transmetimet komunitare” janë transmetimet audio për komunitetin, të ofruara jo për qëllime fitimi, të veçanta nga shërbimi i transmetimit publik dhe privat, që ofrohen sipas përcaktimeve të këtij ligji, për zhvillimin social dhe përmbushjen e interesave të</w:t>
      </w:r>
      <w:r>
        <w:rPr>
          <w:spacing w:val="-5"/>
          <w:sz w:val="22"/>
        </w:rPr>
        <w:t> </w:t>
      </w:r>
      <w:r>
        <w:rPr>
          <w:sz w:val="22"/>
        </w:rPr>
        <w:t>komunitetit.</w:t>
      </w:r>
    </w:p>
    <w:p>
      <w:pPr>
        <w:spacing w:after="0" w:line="240" w:lineRule="auto"/>
        <w:jc w:val="both"/>
        <w:rPr>
          <w:sz w:val="22"/>
        </w:rPr>
        <w:sectPr>
          <w:pgSz w:w="12240" w:h="15840"/>
          <w:pgMar w:top="1360" w:bottom="280" w:left="1320" w:right="1320"/>
        </w:sectPr>
      </w:pPr>
    </w:p>
    <w:p>
      <w:pPr>
        <w:pStyle w:val="BodyText"/>
        <w:spacing w:before="74"/>
        <w:ind w:right="115"/>
        <w:jc w:val="both"/>
      </w:pPr>
      <w:r>
        <w:rPr/>
        <w:t>Konsiderohen si transmetime komunitare transmetimet audio të posaçme, të dedikuara vetëm për personat me mangësi të pjesshme ose të plotë shikimi.</w:t>
      </w:r>
    </w:p>
    <w:p>
      <w:pPr>
        <w:pStyle w:val="ListParagraph"/>
        <w:numPr>
          <w:ilvl w:val="0"/>
          <w:numId w:val="1"/>
        </w:numPr>
        <w:tabs>
          <w:tab w:pos="1208" w:val="left" w:leader="none"/>
        </w:tabs>
        <w:spacing w:line="240" w:lineRule="auto" w:before="0" w:after="0"/>
        <w:ind w:left="120" w:right="116" w:firstLine="720"/>
        <w:jc w:val="both"/>
        <w:rPr>
          <w:sz w:val="22"/>
        </w:rPr>
      </w:pPr>
      <w:r>
        <w:rPr>
          <w:sz w:val="22"/>
        </w:rPr>
        <w:t>“Transmetimi televiziv” është transmetimi linear i një shërbimi audioviziv, i siguruar nga OSHMA për shikimin e njëkohshëm të programeve, mbi bazën e një skeme</w:t>
      </w:r>
      <w:r>
        <w:rPr>
          <w:spacing w:val="-10"/>
          <w:sz w:val="22"/>
        </w:rPr>
        <w:t> </w:t>
      </w:r>
      <w:r>
        <w:rPr>
          <w:sz w:val="22"/>
        </w:rPr>
        <w:t>programesh.</w:t>
      </w:r>
    </w:p>
    <w:p>
      <w:pPr>
        <w:pStyle w:val="ListParagraph"/>
        <w:numPr>
          <w:ilvl w:val="0"/>
          <w:numId w:val="1"/>
        </w:numPr>
        <w:tabs>
          <w:tab w:pos="1198" w:val="left" w:leader="none"/>
        </w:tabs>
        <w:spacing w:line="240" w:lineRule="auto" w:before="0" w:after="0"/>
        <w:ind w:left="119" w:right="114" w:firstLine="720"/>
        <w:jc w:val="both"/>
        <w:rPr>
          <w:sz w:val="22"/>
        </w:rPr>
      </w:pPr>
      <w:r>
        <w:rPr>
          <w:sz w:val="22"/>
        </w:rPr>
        <w:t>“Vendosje e produktit” është çdo formë e komunikimeve me natyrë tregtare audio dhe/ose audiovizive, që përfshijnë ose i drejtohen një malli, shërbimi ose marke tregtare, që shfaqet ose përmendet në një transmetim, përkundrejt pagesës ose përfitimeve të tjera të</w:t>
      </w:r>
      <w:r>
        <w:rPr>
          <w:spacing w:val="-4"/>
          <w:sz w:val="22"/>
        </w:rPr>
        <w:t> </w:t>
      </w:r>
      <w:r>
        <w:rPr>
          <w:sz w:val="22"/>
        </w:rPr>
        <w:t>ngjashme.</w:t>
      </w:r>
    </w:p>
    <w:p>
      <w:pPr>
        <w:pStyle w:val="ListParagraph"/>
        <w:numPr>
          <w:ilvl w:val="0"/>
          <w:numId w:val="1"/>
        </w:numPr>
        <w:tabs>
          <w:tab w:pos="1171" w:val="left" w:leader="none"/>
        </w:tabs>
        <w:spacing w:line="252" w:lineRule="exact" w:before="0" w:after="0"/>
        <w:ind w:left="1171" w:right="0" w:hanging="332"/>
        <w:jc w:val="both"/>
        <w:rPr>
          <w:sz w:val="22"/>
        </w:rPr>
      </w:pPr>
      <w:r>
        <w:rPr>
          <w:sz w:val="22"/>
        </w:rPr>
        <w:t>“Vepra europiane”</w:t>
      </w:r>
      <w:r>
        <w:rPr>
          <w:spacing w:val="-3"/>
          <w:sz w:val="22"/>
        </w:rPr>
        <w:t> </w:t>
      </w:r>
      <w:r>
        <w:rPr>
          <w:sz w:val="22"/>
        </w:rPr>
        <w:t>janë:</w:t>
      </w:r>
    </w:p>
    <w:p>
      <w:pPr>
        <w:pStyle w:val="ListParagraph"/>
        <w:numPr>
          <w:ilvl w:val="0"/>
          <w:numId w:val="7"/>
        </w:numPr>
        <w:tabs>
          <w:tab w:pos="1068" w:val="left" w:leader="none"/>
        </w:tabs>
        <w:spacing w:line="252" w:lineRule="exact" w:before="0" w:after="0"/>
        <w:ind w:left="1067" w:right="0" w:hanging="229"/>
        <w:jc w:val="both"/>
        <w:rPr>
          <w:sz w:val="22"/>
        </w:rPr>
      </w:pPr>
      <w:r>
        <w:rPr>
          <w:sz w:val="22"/>
        </w:rPr>
        <w:t>veprat që e kanë origjinën në shtetet anëtare të Bashkimit</w:t>
      </w:r>
      <w:r>
        <w:rPr>
          <w:spacing w:val="-7"/>
          <w:sz w:val="22"/>
        </w:rPr>
        <w:t> </w:t>
      </w:r>
      <w:r>
        <w:rPr>
          <w:sz w:val="22"/>
        </w:rPr>
        <w:t>Europian;</w:t>
      </w:r>
    </w:p>
    <w:p>
      <w:pPr>
        <w:pStyle w:val="ListParagraph"/>
        <w:numPr>
          <w:ilvl w:val="0"/>
          <w:numId w:val="7"/>
        </w:numPr>
        <w:tabs>
          <w:tab w:pos="1157" w:val="left" w:leader="none"/>
        </w:tabs>
        <w:spacing w:line="240" w:lineRule="auto" w:before="2" w:after="0"/>
        <w:ind w:left="119" w:right="114" w:firstLine="720"/>
        <w:jc w:val="both"/>
        <w:rPr>
          <w:sz w:val="22"/>
        </w:rPr>
      </w:pPr>
      <w:r>
        <w:rPr>
          <w:sz w:val="22"/>
        </w:rPr>
        <w:t>veprat që e kanë origjinën në shtete, të cilat janë palë në Konventën Europiane për Televizionin Ndërkufitar të Këshillit të Europës, ratifikuar nga Kuvendi i Shqipërisë me ligjin nr. 8525, datë 9.9.1999 “Për ratifikimin e konventës europiane për televizionin ndërkufitar” dhe që plotësojnë kushtet e përcaktuara në shkronjën “c” të kësaj</w:t>
      </w:r>
      <w:r>
        <w:rPr>
          <w:spacing w:val="-4"/>
          <w:sz w:val="22"/>
        </w:rPr>
        <w:t> </w:t>
      </w:r>
      <w:r>
        <w:rPr>
          <w:sz w:val="22"/>
        </w:rPr>
        <w:t>pike;</w:t>
      </w:r>
    </w:p>
    <w:p>
      <w:pPr>
        <w:pStyle w:val="ListParagraph"/>
        <w:numPr>
          <w:ilvl w:val="0"/>
          <w:numId w:val="7"/>
        </w:numPr>
        <w:tabs>
          <w:tab w:pos="1085" w:val="left" w:leader="none"/>
        </w:tabs>
        <w:spacing w:line="240" w:lineRule="auto" w:before="0" w:after="0"/>
        <w:ind w:left="119" w:right="112" w:firstLine="720"/>
        <w:jc w:val="both"/>
        <w:rPr>
          <w:sz w:val="22"/>
        </w:rPr>
      </w:pPr>
      <w:r>
        <w:rPr>
          <w:sz w:val="22"/>
        </w:rPr>
        <w:t>veprat e përmendura në shkronjat “a” dhe “b” të kësaj pike janë vepra të prodhuara kryesisht nga autorë dhe me punonjës që e kanë rezidencën e tyre në një nga shtetet anëtare të përmendura në shkronjën “a” dhe “b” të kësaj pike dhe që plotësojnë një nga kushtet e</w:t>
      </w:r>
      <w:r>
        <w:rPr>
          <w:spacing w:val="-10"/>
          <w:sz w:val="22"/>
        </w:rPr>
        <w:t> </w:t>
      </w:r>
      <w:r>
        <w:rPr>
          <w:sz w:val="22"/>
        </w:rPr>
        <w:t>mëposhtme:</w:t>
      </w:r>
    </w:p>
    <w:p>
      <w:pPr>
        <w:pStyle w:val="ListParagraph"/>
        <w:numPr>
          <w:ilvl w:val="0"/>
          <w:numId w:val="8"/>
        </w:numPr>
        <w:tabs>
          <w:tab w:pos="1061" w:val="left" w:leader="none"/>
        </w:tabs>
        <w:spacing w:line="240" w:lineRule="auto" w:before="0" w:after="0"/>
        <w:ind w:left="1060" w:right="0" w:hanging="222"/>
        <w:jc w:val="both"/>
        <w:rPr>
          <w:sz w:val="22"/>
        </w:rPr>
      </w:pPr>
      <w:r>
        <w:rPr>
          <w:sz w:val="22"/>
        </w:rPr>
        <w:t>janë</w:t>
      </w:r>
      <w:r>
        <w:rPr>
          <w:spacing w:val="28"/>
          <w:sz w:val="22"/>
        </w:rPr>
        <w:t> </w:t>
      </w:r>
      <w:r>
        <w:rPr>
          <w:sz w:val="22"/>
        </w:rPr>
        <w:t>prodhuar</w:t>
      </w:r>
      <w:r>
        <w:rPr>
          <w:spacing w:val="29"/>
          <w:sz w:val="22"/>
        </w:rPr>
        <w:t> </w:t>
      </w:r>
      <w:r>
        <w:rPr>
          <w:sz w:val="22"/>
        </w:rPr>
        <w:t>nga</w:t>
      </w:r>
      <w:r>
        <w:rPr>
          <w:spacing w:val="30"/>
          <w:sz w:val="22"/>
        </w:rPr>
        <w:t> </w:t>
      </w:r>
      <w:r>
        <w:rPr>
          <w:sz w:val="22"/>
        </w:rPr>
        <w:t>një</w:t>
      </w:r>
      <w:r>
        <w:rPr>
          <w:spacing w:val="31"/>
          <w:sz w:val="22"/>
        </w:rPr>
        <w:t> </w:t>
      </w:r>
      <w:r>
        <w:rPr>
          <w:sz w:val="22"/>
        </w:rPr>
        <w:t>ose</w:t>
      </w:r>
      <w:r>
        <w:rPr>
          <w:spacing w:val="30"/>
          <w:sz w:val="22"/>
        </w:rPr>
        <w:t> </w:t>
      </w:r>
      <w:r>
        <w:rPr>
          <w:sz w:val="22"/>
        </w:rPr>
        <w:t>më</w:t>
      </w:r>
      <w:r>
        <w:rPr>
          <w:spacing w:val="31"/>
          <w:sz w:val="22"/>
        </w:rPr>
        <w:t> </w:t>
      </w:r>
      <w:r>
        <w:rPr>
          <w:sz w:val="22"/>
        </w:rPr>
        <w:t>shumë</w:t>
      </w:r>
      <w:r>
        <w:rPr>
          <w:spacing w:val="30"/>
          <w:sz w:val="22"/>
        </w:rPr>
        <w:t> </w:t>
      </w:r>
      <w:r>
        <w:rPr>
          <w:sz w:val="22"/>
        </w:rPr>
        <w:t>prodhues</w:t>
      </w:r>
      <w:r>
        <w:rPr>
          <w:spacing w:val="29"/>
          <w:sz w:val="22"/>
        </w:rPr>
        <w:t> </w:t>
      </w:r>
      <w:r>
        <w:rPr>
          <w:sz w:val="22"/>
        </w:rPr>
        <w:t>të</w:t>
      </w:r>
      <w:r>
        <w:rPr>
          <w:spacing w:val="28"/>
          <w:sz w:val="22"/>
        </w:rPr>
        <w:t> </w:t>
      </w:r>
      <w:r>
        <w:rPr>
          <w:sz w:val="22"/>
        </w:rPr>
        <w:t>themeluar</w:t>
      </w:r>
      <w:r>
        <w:rPr>
          <w:spacing w:val="29"/>
          <w:sz w:val="22"/>
        </w:rPr>
        <w:t> </w:t>
      </w:r>
      <w:r>
        <w:rPr>
          <w:sz w:val="22"/>
        </w:rPr>
        <w:t>në</w:t>
      </w:r>
      <w:r>
        <w:rPr>
          <w:spacing w:val="30"/>
          <w:sz w:val="22"/>
        </w:rPr>
        <w:t> </w:t>
      </w:r>
      <w:r>
        <w:rPr>
          <w:sz w:val="22"/>
        </w:rPr>
        <w:t>një</w:t>
      </w:r>
      <w:r>
        <w:rPr>
          <w:spacing w:val="31"/>
          <w:sz w:val="22"/>
        </w:rPr>
        <w:t> </w:t>
      </w:r>
      <w:r>
        <w:rPr>
          <w:sz w:val="22"/>
        </w:rPr>
        <w:t>ose</w:t>
      </w:r>
      <w:r>
        <w:rPr>
          <w:spacing w:val="30"/>
          <w:sz w:val="22"/>
        </w:rPr>
        <w:t> </w:t>
      </w:r>
      <w:r>
        <w:rPr>
          <w:sz w:val="22"/>
        </w:rPr>
        <w:t>më</w:t>
      </w:r>
      <w:r>
        <w:rPr>
          <w:spacing w:val="31"/>
          <w:sz w:val="22"/>
        </w:rPr>
        <w:t> </w:t>
      </w:r>
      <w:r>
        <w:rPr>
          <w:sz w:val="22"/>
        </w:rPr>
        <w:t>shumë</w:t>
      </w:r>
      <w:r>
        <w:rPr>
          <w:spacing w:val="30"/>
          <w:sz w:val="22"/>
        </w:rPr>
        <w:t> </w:t>
      </w:r>
      <w:r>
        <w:rPr>
          <w:sz w:val="22"/>
        </w:rPr>
        <w:t>nga</w:t>
      </w:r>
      <w:r>
        <w:rPr>
          <w:spacing w:val="34"/>
          <w:sz w:val="22"/>
        </w:rPr>
        <w:t> </w:t>
      </w:r>
      <w:r>
        <w:rPr>
          <w:sz w:val="22"/>
        </w:rPr>
        <w:t>këto</w:t>
      </w:r>
    </w:p>
    <w:p>
      <w:pPr>
        <w:pStyle w:val="BodyText"/>
        <w:spacing w:line="251" w:lineRule="exact"/>
        <w:ind w:left="119" w:firstLine="0"/>
      </w:pPr>
      <w:r>
        <w:rPr/>
        <w:t>shtete;</w:t>
      </w:r>
    </w:p>
    <w:p>
      <w:pPr>
        <w:pStyle w:val="ListParagraph"/>
        <w:numPr>
          <w:ilvl w:val="0"/>
          <w:numId w:val="8"/>
        </w:numPr>
        <w:tabs>
          <w:tab w:pos="1100" w:val="left" w:leader="none"/>
        </w:tabs>
        <w:spacing w:line="252" w:lineRule="exact" w:before="0" w:after="0"/>
        <w:ind w:left="1099" w:right="0" w:hanging="261"/>
        <w:jc w:val="left"/>
        <w:rPr>
          <w:sz w:val="22"/>
        </w:rPr>
      </w:pPr>
      <w:r>
        <w:rPr>
          <w:sz w:val="22"/>
        </w:rPr>
        <w:t>prodhimi</w:t>
      </w:r>
      <w:r>
        <w:rPr>
          <w:spacing w:val="6"/>
          <w:sz w:val="22"/>
        </w:rPr>
        <w:t> </w:t>
      </w:r>
      <w:r>
        <w:rPr>
          <w:sz w:val="22"/>
        </w:rPr>
        <w:t>i</w:t>
      </w:r>
      <w:r>
        <w:rPr>
          <w:spacing w:val="6"/>
          <w:sz w:val="22"/>
        </w:rPr>
        <w:t> </w:t>
      </w:r>
      <w:r>
        <w:rPr>
          <w:sz w:val="22"/>
        </w:rPr>
        <w:t>veprave</w:t>
      </w:r>
      <w:r>
        <w:rPr>
          <w:spacing w:val="5"/>
          <w:sz w:val="22"/>
        </w:rPr>
        <w:t> </w:t>
      </w:r>
      <w:r>
        <w:rPr>
          <w:sz w:val="22"/>
        </w:rPr>
        <w:t>mbikëqyret</w:t>
      </w:r>
      <w:r>
        <w:rPr>
          <w:spacing w:val="7"/>
          <w:sz w:val="22"/>
        </w:rPr>
        <w:t> </w:t>
      </w:r>
      <w:r>
        <w:rPr>
          <w:sz w:val="22"/>
        </w:rPr>
        <w:t>dhe</w:t>
      </w:r>
      <w:r>
        <w:rPr>
          <w:spacing w:val="5"/>
          <w:sz w:val="22"/>
        </w:rPr>
        <w:t> </w:t>
      </w:r>
      <w:r>
        <w:rPr>
          <w:sz w:val="22"/>
        </w:rPr>
        <w:t>kontrollohet</w:t>
      </w:r>
      <w:r>
        <w:rPr>
          <w:spacing w:val="6"/>
          <w:sz w:val="22"/>
        </w:rPr>
        <w:t> </w:t>
      </w:r>
      <w:r>
        <w:rPr>
          <w:sz w:val="22"/>
        </w:rPr>
        <w:t>efektivisht</w:t>
      </w:r>
      <w:r>
        <w:rPr>
          <w:spacing w:val="4"/>
          <w:sz w:val="22"/>
        </w:rPr>
        <w:t> </w:t>
      </w:r>
      <w:r>
        <w:rPr>
          <w:sz w:val="22"/>
        </w:rPr>
        <w:t>nga</w:t>
      </w:r>
      <w:r>
        <w:rPr>
          <w:spacing w:val="6"/>
          <w:sz w:val="22"/>
        </w:rPr>
        <w:t> </w:t>
      </w:r>
      <w:r>
        <w:rPr>
          <w:sz w:val="22"/>
        </w:rPr>
        <w:t>një</w:t>
      </w:r>
      <w:r>
        <w:rPr>
          <w:spacing w:val="5"/>
          <w:sz w:val="22"/>
        </w:rPr>
        <w:t> </w:t>
      </w:r>
      <w:r>
        <w:rPr>
          <w:sz w:val="22"/>
        </w:rPr>
        <w:t>ose</w:t>
      </w:r>
      <w:r>
        <w:rPr>
          <w:spacing w:val="5"/>
          <w:sz w:val="22"/>
        </w:rPr>
        <w:t> </w:t>
      </w:r>
      <w:r>
        <w:rPr>
          <w:sz w:val="22"/>
        </w:rPr>
        <w:t>më</w:t>
      </w:r>
      <w:r>
        <w:rPr>
          <w:spacing w:val="5"/>
          <w:sz w:val="22"/>
        </w:rPr>
        <w:t> </w:t>
      </w:r>
      <w:r>
        <w:rPr>
          <w:sz w:val="22"/>
        </w:rPr>
        <w:t>shumë</w:t>
      </w:r>
      <w:r>
        <w:rPr>
          <w:spacing w:val="6"/>
          <w:sz w:val="22"/>
        </w:rPr>
        <w:t> </w:t>
      </w:r>
      <w:r>
        <w:rPr>
          <w:sz w:val="22"/>
        </w:rPr>
        <w:t>prodhues</w:t>
      </w:r>
      <w:r>
        <w:rPr>
          <w:spacing w:val="3"/>
          <w:sz w:val="22"/>
        </w:rPr>
        <w:t> </w:t>
      </w:r>
      <w:r>
        <w:rPr>
          <w:sz w:val="22"/>
        </w:rPr>
        <w:t>të</w:t>
      </w:r>
    </w:p>
    <w:p>
      <w:pPr>
        <w:pStyle w:val="BodyText"/>
        <w:spacing w:line="252" w:lineRule="exact" w:before="1"/>
        <w:ind w:left="119" w:firstLine="0"/>
        <w:jc w:val="both"/>
      </w:pPr>
      <w:r>
        <w:rPr/>
        <w:t>themeluar në një ose më shumë nga këto shtete;</w:t>
      </w:r>
    </w:p>
    <w:p>
      <w:pPr>
        <w:pStyle w:val="ListParagraph"/>
        <w:numPr>
          <w:ilvl w:val="0"/>
          <w:numId w:val="8"/>
        </w:numPr>
        <w:tabs>
          <w:tab w:pos="1167" w:val="left" w:leader="none"/>
        </w:tabs>
        <w:spacing w:line="240" w:lineRule="auto" w:before="0" w:after="0"/>
        <w:ind w:left="119" w:right="114" w:firstLine="720"/>
        <w:jc w:val="both"/>
        <w:rPr>
          <w:sz w:val="22"/>
        </w:rPr>
      </w:pPr>
      <w:r>
        <w:rPr>
          <w:sz w:val="22"/>
        </w:rPr>
        <w:t>kontributi i bashkëprodhuesve të këtyre shteteve, në koston totale të prodhimit të përbashkët, është dominues dhe bashkëprodhimi kontrollohet nga një ose më shumë prodhues të themeluar në këto shtete;</w:t>
      </w:r>
    </w:p>
    <w:p>
      <w:pPr>
        <w:pStyle w:val="BodyText"/>
        <w:ind w:left="119" w:right="113"/>
        <w:jc w:val="both"/>
      </w:pPr>
      <w:r>
        <w:rPr/>
        <w:t>ç) veprat e bashkëprodhuara në kuadër të marrëveshjeve që lidhen me sektorin e transmetimeve audio dhe/ose audiovizive, të përfunduara ndërmjet Bashkimit Europian dhe shteteve të treta dhe që plotësojnë kushtet e përcaktuara në këto marrëveshje;</w:t>
      </w:r>
    </w:p>
    <w:p>
      <w:pPr>
        <w:pStyle w:val="ListParagraph"/>
        <w:numPr>
          <w:ilvl w:val="0"/>
          <w:numId w:val="7"/>
        </w:numPr>
        <w:tabs>
          <w:tab w:pos="1090" w:val="left" w:leader="none"/>
        </w:tabs>
        <w:spacing w:line="240" w:lineRule="auto" w:before="1" w:after="0"/>
        <w:ind w:left="119" w:right="114" w:firstLine="720"/>
        <w:jc w:val="both"/>
        <w:rPr>
          <w:sz w:val="22"/>
        </w:rPr>
      </w:pPr>
      <w:r>
        <w:rPr>
          <w:sz w:val="22"/>
        </w:rPr>
        <w:t>veprat, të cilat nuk janë evropiane, në kuptimin e shkronjave “a” dhe “b” të kësaj pike, por që janë prodhuar, në kuadër të marrëveshjeve dypalëshe për prodhim të përbashkët, të përfunduara ndërmjet shteteve anëtare të Bashkimit Europian dhe shteteve të treta, konsiderohen vepra europiane, kur bashkëprodhuesit nga Bashkimi Europian ofrojnë pjesën më të madhe të kostove të prodhimit dhe </w:t>
      </w:r>
      <w:r>
        <w:rPr>
          <w:spacing w:val="-3"/>
          <w:sz w:val="22"/>
        </w:rPr>
        <w:t>kur </w:t>
      </w:r>
      <w:r>
        <w:rPr>
          <w:sz w:val="22"/>
        </w:rPr>
        <w:t>prodhimi nuk kontrollohet nga një ose më shumë prodhues të vendosur jashtë territorit të shteteve anëtare të Bashkimit Europian.</w:t>
      </w:r>
    </w:p>
    <w:p>
      <w:pPr>
        <w:pStyle w:val="ListParagraph"/>
        <w:numPr>
          <w:ilvl w:val="0"/>
          <w:numId w:val="1"/>
        </w:numPr>
        <w:tabs>
          <w:tab w:pos="1195" w:val="left" w:leader="none"/>
        </w:tabs>
        <w:spacing w:line="240" w:lineRule="auto" w:before="0" w:after="0"/>
        <w:ind w:left="119" w:right="116" w:firstLine="720"/>
        <w:jc w:val="both"/>
        <w:rPr>
          <w:sz w:val="22"/>
        </w:rPr>
      </w:pPr>
      <w:r>
        <w:rPr>
          <w:sz w:val="22"/>
        </w:rPr>
        <w:t>“Zonë mbulimi me transmetim radioteleviziv” është territori, në të cilin intensiteti i sinjalit përmbush kërkesat e cilësisë së marrjes së sinjalit, të përcaktuar në aktet ndërkombëtare mbi transmetimet radiotelevizive.</w:t>
      </w:r>
    </w:p>
    <w:p>
      <w:pPr>
        <w:pStyle w:val="BodyText"/>
        <w:spacing w:line="251" w:lineRule="exact"/>
        <w:ind w:left="146" w:right="145" w:firstLine="0"/>
        <w:jc w:val="center"/>
      </w:pPr>
      <w:r>
        <w:rPr/>
        <w:t>Neni  4</w:t>
      </w:r>
    </w:p>
    <w:p>
      <w:pPr>
        <w:pStyle w:val="Heading1"/>
        <w:spacing w:before="6"/>
        <w:ind w:right="145"/>
      </w:pPr>
      <w:r>
        <w:rPr/>
        <w:t>Parimet themelore për veprimtarinë e transmetimeve audiovizive</w:t>
      </w:r>
    </w:p>
    <w:p>
      <w:pPr>
        <w:pStyle w:val="BodyText"/>
        <w:spacing w:before="5"/>
        <w:ind w:left="0" w:firstLine="0"/>
        <w:rPr>
          <w:b/>
          <w:sz w:val="21"/>
        </w:rPr>
      </w:pPr>
    </w:p>
    <w:p>
      <w:pPr>
        <w:pStyle w:val="ListParagraph"/>
        <w:numPr>
          <w:ilvl w:val="0"/>
          <w:numId w:val="9"/>
        </w:numPr>
        <w:tabs>
          <w:tab w:pos="1061" w:val="left" w:leader="none"/>
        </w:tabs>
        <w:spacing w:line="240" w:lineRule="auto" w:before="0" w:after="0"/>
        <w:ind w:left="1060" w:right="0" w:hanging="222"/>
        <w:jc w:val="both"/>
        <w:rPr>
          <w:sz w:val="22"/>
        </w:rPr>
      </w:pPr>
      <w:r>
        <w:rPr>
          <w:sz w:val="22"/>
        </w:rPr>
        <w:t>Transmetimet audiovizive zhvillohen mbi bazën e këtyre</w:t>
      </w:r>
      <w:r>
        <w:rPr>
          <w:spacing w:val="-4"/>
          <w:sz w:val="22"/>
        </w:rPr>
        <w:t> </w:t>
      </w:r>
      <w:r>
        <w:rPr>
          <w:sz w:val="22"/>
        </w:rPr>
        <w:t>parimeve:</w:t>
      </w:r>
    </w:p>
    <w:p>
      <w:pPr>
        <w:pStyle w:val="ListParagraph"/>
        <w:numPr>
          <w:ilvl w:val="0"/>
          <w:numId w:val="10"/>
        </w:numPr>
        <w:tabs>
          <w:tab w:pos="1068" w:val="left" w:leader="none"/>
        </w:tabs>
        <w:spacing w:line="252" w:lineRule="exact" w:before="1" w:after="0"/>
        <w:ind w:left="1067" w:right="0" w:hanging="229"/>
        <w:jc w:val="both"/>
        <w:rPr>
          <w:sz w:val="22"/>
        </w:rPr>
      </w:pPr>
      <w:r>
        <w:rPr>
          <w:sz w:val="22"/>
        </w:rPr>
        <w:t>veprimtaria e transmetimeve audiovizive është e</w:t>
      </w:r>
      <w:r>
        <w:rPr>
          <w:spacing w:val="-5"/>
          <w:sz w:val="22"/>
        </w:rPr>
        <w:t> </w:t>
      </w:r>
      <w:r>
        <w:rPr>
          <w:sz w:val="22"/>
        </w:rPr>
        <w:t>lirë;</w:t>
      </w:r>
    </w:p>
    <w:p>
      <w:pPr>
        <w:pStyle w:val="ListParagraph"/>
        <w:numPr>
          <w:ilvl w:val="0"/>
          <w:numId w:val="10"/>
        </w:numPr>
        <w:tabs>
          <w:tab w:pos="1097" w:val="left" w:leader="none"/>
        </w:tabs>
        <w:spacing w:line="240" w:lineRule="auto" w:before="0" w:after="0"/>
        <w:ind w:left="119" w:right="111" w:firstLine="720"/>
        <w:jc w:val="both"/>
        <w:rPr>
          <w:sz w:val="22"/>
        </w:rPr>
      </w:pPr>
      <w:r>
        <w:rPr>
          <w:sz w:val="22"/>
        </w:rPr>
        <w:t>veprimtaria e transmetimeve audiovizive respekton paanshmërisht të drejtën për informacion, bindjet politike e besimet fetare, personalitetin, dinjitetin dhe të drejtat e liritë e tjera themelore të njeriut. Kjo veprimtari respekton në mënyrë të veçantë të drejtat, interesat dhe kërkesat morale e ligjore për mbrojtjen e të</w:t>
      </w:r>
      <w:r>
        <w:rPr>
          <w:spacing w:val="-3"/>
          <w:sz w:val="22"/>
        </w:rPr>
        <w:t> </w:t>
      </w:r>
      <w:r>
        <w:rPr>
          <w:sz w:val="22"/>
        </w:rPr>
        <w:t>miturve;</w:t>
      </w:r>
    </w:p>
    <w:p>
      <w:pPr>
        <w:pStyle w:val="ListParagraph"/>
        <w:numPr>
          <w:ilvl w:val="0"/>
          <w:numId w:val="10"/>
        </w:numPr>
        <w:tabs>
          <w:tab w:pos="1085" w:val="left" w:leader="none"/>
        </w:tabs>
        <w:spacing w:line="240" w:lineRule="auto" w:before="0" w:after="0"/>
        <w:ind w:left="119" w:right="115" w:firstLine="720"/>
        <w:jc w:val="both"/>
        <w:rPr>
          <w:sz w:val="22"/>
        </w:rPr>
      </w:pPr>
      <w:r>
        <w:rPr>
          <w:sz w:val="22"/>
        </w:rPr>
        <w:t>veprimtaria e transmetimeve audiovizive nuk lejohet të cenojë rendin kushtetues, sovranitetin dhe integritetin</w:t>
      </w:r>
      <w:r>
        <w:rPr>
          <w:spacing w:val="-4"/>
          <w:sz w:val="22"/>
        </w:rPr>
        <w:t> </w:t>
      </w:r>
      <w:r>
        <w:rPr>
          <w:sz w:val="22"/>
        </w:rPr>
        <w:t>kombëtar;</w:t>
      </w:r>
    </w:p>
    <w:p>
      <w:pPr>
        <w:pStyle w:val="BodyText"/>
        <w:spacing w:before="1"/>
        <w:ind w:left="119" w:right="115"/>
        <w:jc w:val="both"/>
      </w:pPr>
      <w:r>
        <w:rPr/>
        <w:t>ç) veprimtaria e transmetimeve audiovizive siguron informim objektiv dhe të paanshëm të publikut, duke paraqitur në mënyrë të saktë faktet dhe ngjarjet, si dhe duke respektuar formimin e lirë të opinionit;</w:t>
      </w:r>
    </w:p>
    <w:p>
      <w:pPr>
        <w:pStyle w:val="ListParagraph"/>
        <w:numPr>
          <w:ilvl w:val="0"/>
          <w:numId w:val="10"/>
        </w:numPr>
        <w:tabs>
          <w:tab w:pos="1138" w:val="left" w:leader="none"/>
        </w:tabs>
        <w:spacing w:line="240" w:lineRule="auto" w:before="0" w:after="0"/>
        <w:ind w:left="119" w:right="114" w:firstLine="720"/>
        <w:jc w:val="both"/>
        <w:rPr>
          <w:sz w:val="22"/>
        </w:rPr>
      </w:pPr>
      <w:r>
        <w:rPr>
          <w:sz w:val="22"/>
        </w:rPr>
        <w:t>veprimtaria e transmetimeve audiovizive garanton të drejtën e çdo shtetasi për të marrë shërbime</w:t>
      </w:r>
      <w:r>
        <w:rPr>
          <w:spacing w:val="29"/>
          <w:sz w:val="22"/>
        </w:rPr>
        <w:t> </w:t>
      </w:r>
      <w:r>
        <w:rPr>
          <w:sz w:val="22"/>
        </w:rPr>
        <w:t>të</w:t>
      </w:r>
      <w:r>
        <w:rPr>
          <w:spacing w:val="27"/>
          <w:sz w:val="22"/>
        </w:rPr>
        <w:t> </w:t>
      </w:r>
      <w:r>
        <w:rPr>
          <w:sz w:val="22"/>
        </w:rPr>
        <w:t>transmetimeve</w:t>
      </w:r>
      <w:r>
        <w:rPr>
          <w:spacing w:val="29"/>
          <w:sz w:val="22"/>
        </w:rPr>
        <w:t> </w:t>
      </w:r>
      <w:r>
        <w:rPr>
          <w:sz w:val="22"/>
        </w:rPr>
        <w:t>audio</w:t>
      </w:r>
      <w:r>
        <w:rPr>
          <w:spacing w:val="29"/>
          <w:sz w:val="22"/>
        </w:rPr>
        <w:t> </w:t>
      </w:r>
      <w:r>
        <w:rPr>
          <w:sz w:val="22"/>
        </w:rPr>
        <w:t>dhe/ose</w:t>
      </w:r>
      <w:r>
        <w:rPr>
          <w:spacing w:val="30"/>
          <w:sz w:val="22"/>
        </w:rPr>
        <w:t> </w:t>
      </w:r>
      <w:r>
        <w:rPr>
          <w:sz w:val="22"/>
        </w:rPr>
        <w:t>audiovizive,</w:t>
      </w:r>
      <w:r>
        <w:rPr>
          <w:spacing w:val="29"/>
          <w:sz w:val="22"/>
        </w:rPr>
        <w:t> </w:t>
      </w:r>
      <w:r>
        <w:rPr>
          <w:sz w:val="22"/>
        </w:rPr>
        <w:t>të</w:t>
      </w:r>
      <w:r>
        <w:rPr>
          <w:spacing w:val="30"/>
          <w:sz w:val="22"/>
        </w:rPr>
        <w:t> </w:t>
      </w:r>
      <w:r>
        <w:rPr>
          <w:sz w:val="22"/>
        </w:rPr>
        <w:t>ofruara</w:t>
      </w:r>
      <w:r>
        <w:rPr>
          <w:spacing w:val="29"/>
          <w:sz w:val="22"/>
        </w:rPr>
        <w:t> </w:t>
      </w:r>
      <w:r>
        <w:rPr>
          <w:sz w:val="22"/>
        </w:rPr>
        <w:t>për</w:t>
      </w:r>
      <w:r>
        <w:rPr>
          <w:spacing w:val="30"/>
          <w:sz w:val="22"/>
        </w:rPr>
        <w:t> </w:t>
      </w:r>
      <w:r>
        <w:rPr>
          <w:sz w:val="22"/>
        </w:rPr>
        <w:t>publikun</w:t>
      </w:r>
      <w:r>
        <w:rPr>
          <w:spacing w:val="29"/>
          <w:sz w:val="22"/>
        </w:rPr>
        <w:t> </w:t>
      </w:r>
      <w:r>
        <w:rPr>
          <w:sz w:val="22"/>
        </w:rPr>
        <w:t>nga</w:t>
      </w:r>
      <w:r>
        <w:rPr>
          <w:spacing w:val="30"/>
          <w:sz w:val="22"/>
        </w:rPr>
        <w:t> </w:t>
      </w:r>
      <w:r>
        <w:rPr>
          <w:sz w:val="22"/>
        </w:rPr>
        <w:t>operatorët</w:t>
      </w:r>
      <w:r>
        <w:rPr>
          <w:spacing w:val="30"/>
          <w:sz w:val="22"/>
        </w:rPr>
        <w:t> </w:t>
      </w:r>
      <w:r>
        <w:rPr>
          <w:sz w:val="22"/>
        </w:rPr>
        <w:t>e</w:t>
      </w:r>
    </w:p>
    <w:p>
      <w:pPr>
        <w:spacing w:after="0" w:line="240" w:lineRule="auto"/>
        <w:jc w:val="both"/>
        <w:rPr>
          <w:sz w:val="22"/>
        </w:rPr>
        <w:sectPr>
          <w:pgSz w:w="12240" w:h="15840"/>
          <w:pgMar w:top="1360" w:bottom="280" w:left="1320" w:right="1320"/>
        </w:sectPr>
      </w:pPr>
    </w:p>
    <w:p>
      <w:pPr>
        <w:pStyle w:val="BodyText"/>
        <w:spacing w:line="252" w:lineRule="exact" w:before="74"/>
        <w:ind w:firstLine="0"/>
      </w:pPr>
      <w:r>
        <w:rPr/>
        <w:t>shërbimeve audiovizive, që e ushtrojnë veprimtarinë e tyre në territorin e Republikës së Shqipërisë.</w:t>
      </w:r>
    </w:p>
    <w:p>
      <w:pPr>
        <w:pStyle w:val="ListParagraph"/>
        <w:numPr>
          <w:ilvl w:val="0"/>
          <w:numId w:val="9"/>
        </w:numPr>
        <w:tabs>
          <w:tab w:pos="1071" w:val="left" w:leader="none"/>
        </w:tabs>
        <w:spacing w:line="240" w:lineRule="auto" w:before="0" w:after="0"/>
        <w:ind w:left="119" w:right="118" w:firstLine="720"/>
        <w:jc w:val="left"/>
        <w:rPr>
          <w:sz w:val="22"/>
        </w:rPr>
      </w:pPr>
      <w:r>
        <w:rPr>
          <w:sz w:val="22"/>
        </w:rPr>
        <w:t>Operatorët e shërbimit audioviziv, gjatë zhvillimit të veprimtarisë së tyre, udhëhiqen edhe nga këto</w:t>
      </w:r>
      <w:r>
        <w:rPr>
          <w:spacing w:val="-1"/>
          <w:sz w:val="22"/>
        </w:rPr>
        <w:t> </w:t>
      </w:r>
      <w:r>
        <w:rPr>
          <w:sz w:val="22"/>
        </w:rPr>
        <w:t>parime:</w:t>
      </w:r>
    </w:p>
    <w:p>
      <w:pPr>
        <w:pStyle w:val="ListParagraph"/>
        <w:numPr>
          <w:ilvl w:val="0"/>
          <w:numId w:val="11"/>
        </w:numPr>
        <w:tabs>
          <w:tab w:pos="1068" w:val="left" w:leader="none"/>
        </w:tabs>
        <w:spacing w:line="240" w:lineRule="auto" w:before="0" w:after="0"/>
        <w:ind w:left="1067" w:right="0" w:hanging="229"/>
        <w:jc w:val="left"/>
        <w:rPr>
          <w:sz w:val="22"/>
        </w:rPr>
      </w:pPr>
      <w:r>
        <w:rPr>
          <w:sz w:val="22"/>
        </w:rPr>
        <w:t>garantimi i lirisë së</w:t>
      </w:r>
      <w:r>
        <w:rPr>
          <w:spacing w:val="-2"/>
          <w:sz w:val="22"/>
        </w:rPr>
        <w:t> </w:t>
      </w:r>
      <w:r>
        <w:rPr>
          <w:sz w:val="22"/>
        </w:rPr>
        <w:t>shprehjes;</w:t>
      </w:r>
    </w:p>
    <w:p>
      <w:pPr>
        <w:pStyle w:val="ListParagraph"/>
        <w:numPr>
          <w:ilvl w:val="0"/>
          <w:numId w:val="11"/>
        </w:numPr>
        <w:tabs>
          <w:tab w:pos="1080" w:val="left" w:leader="none"/>
        </w:tabs>
        <w:spacing w:line="252" w:lineRule="exact" w:before="1" w:after="0"/>
        <w:ind w:left="1079" w:right="0" w:hanging="241"/>
        <w:jc w:val="left"/>
        <w:rPr>
          <w:sz w:val="22"/>
        </w:rPr>
      </w:pPr>
      <w:r>
        <w:rPr>
          <w:sz w:val="22"/>
        </w:rPr>
        <w:t>garantimi i së drejtës së</w:t>
      </w:r>
      <w:r>
        <w:rPr>
          <w:spacing w:val="-3"/>
          <w:sz w:val="22"/>
        </w:rPr>
        <w:t> </w:t>
      </w:r>
      <w:r>
        <w:rPr>
          <w:sz w:val="22"/>
        </w:rPr>
        <w:t>informimit;</w:t>
      </w:r>
    </w:p>
    <w:p>
      <w:pPr>
        <w:pStyle w:val="ListParagraph"/>
        <w:numPr>
          <w:ilvl w:val="0"/>
          <w:numId w:val="11"/>
        </w:numPr>
        <w:tabs>
          <w:tab w:pos="1068" w:val="left" w:leader="none"/>
        </w:tabs>
        <w:spacing w:line="252" w:lineRule="exact" w:before="0" w:after="0"/>
        <w:ind w:left="1067" w:right="0" w:hanging="229"/>
        <w:jc w:val="left"/>
        <w:rPr>
          <w:sz w:val="22"/>
        </w:rPr>
      </w:pPr>
      <w:r>
        <w:rPr>
          <w:sz w:val="22"/>
        </w:rPr>
        <w:t>ruajtja e sekretit të burimeve të</w:t>
      </w:r>
      <w:r>
        <w:rPr>
          <w:spacing w:val="-7"/>
          <w:sz w:val="22"/>
        </w:rPr>
        <w:t> </w:t>
      </w:r>
      <w:r>
        <w:rPr>
          <w:sz w:val="22"/>
        </w:rPr>
        <w:t>informacionit;</w:t>
      </w:r>
    </w:p>
    <w:p>
      <w:pPr>
        <w:pStyle w:val="BodyText"/>
        <w:spacing w:line="252" w:lineRule="exact"/>
        <w:ind w:left="839" w:firstLine="0"/>
      </w:pPr>
      <w:r>
        <w:rPr/>
        <w:t>ç) respektimi dhe garantimi i së drejtës së ruajtjes së jetës private.</w:t>
      </w:r>
    </w:p>
    <w:p>
      <w:pPr>
        <w:pStyle w:val="ListParagraph"/>
        <w:numPr>
          <w:ilvl w:val="0"/>
          <w:numId w:val="11"/>
        </w:numPr>
        <w:tabs>
          <w:tab w:pos="1080" w:val="left" w:leader="none"/>
        </w:tabs>
        <w:spacing w:line="240" w:lineRule="auto" w:before="1" w:after="0"/>
        <w:ind w:left="839" w:right="2414" w:firstLine="0"/>
        <w:jc w:val="left"/>
        <w:rPr>
          <w:sz w:val="22"/>
        </w:rPr>
      </w:pPr>
      <w:r>
        <w:rPr>
          <w:sz w:val="22"/>
        </w:rPr>
        <w:t>moslejimi i transmetimeve që nxisin intolerancën ndërmjet shtetasve; dh) moslejimi i transmetimeve që nxisin ose justifikojnë</w:t>
      </w:r>
      <w:r>
        <w:rPr>
          <w:spacing w:val="-7"/>
          <w:sz w:val="22"/>
        </w:rPr>
        <w:t> </w:t>
      </w:r>
      <w:r>
        <w:rPr>
          <w:sz w:val="22"/>
        </w:rPr>
        <w:t>dhunën;</w:t>
      </w:r>
    </w:p>
    <w:p>
      <w:pPr>
        <w:pStyle w:val="ListParagraph"/>
        <w:numPr>
          <w:ilvl w:val="0"/>
          <w:numId w:val="11"/>
        </w:numPr>
        <w:tabs>
          <w:tab w:pos="1068" w:val="left" w:leader="none"/>
        </w:tabs>
        <w:spacing w:line="252" w:lineRule="exact" w:before="0" w:after="0"/>
        <w:ind w:left="1067" w:right="0" w:hanging="229"/>
        <w:jc w:val="left"/>
        <w:rPr>
          <w:sz w:val="22"/>
        </w:rPr>
      </w:pPr>
      <w:r>
        <w:rPr>
          <w:sz w:val="22"/>
        </w:rPr>
        <w:t>garantimi i së drejtës së</w:t>
      </w:r>
      <w:r>
        <w:rPr>
          <w:spacing w:val="-4"/>
          <w:sz w:val="22"/>
        </w:rPr>
        <w:t> </w:t>
      </w:r>
      <w:r>
        <w:rPr>
          <w:sz w:val="22"/>
        </w:rPr>
        <w:t>përgjigjes;</w:t>
      </w:r>
    </w:p>
    <w:p>
      <w:pPr>
        <w:pStyle w:val="BodyText"/>
        <w:spacing w:line="252" w:lineRule="exact"/>
        <w:ind w:left="839" w:firstLine="0"/>
      </w:pPr>
      <w:r>
        <w:rPr/>
        <w:t>ë) garantimi i së drejtës së autorit dhe të drejtave të tjera të lidhura me të;</w:t>
      </w:r>
    </w:p>
    <w:p>
      <w:pPr>
        <w:pStyle w:val="ListParagraph"/>
        <w:numPr>
          <w:ilvl w:val="0"/>
          <w:numId w:val="11"/>
        </w:numPr>
        <w:tabs>
          <w:tab w:pos="1044" w:val="left" w:leader="none"/>
        </w:tabs>
        <w:spacing w:line="252" w:lineRule="exact" w:before="0" w:after="0"/>
        <w:ind w:left="1043" w:right="0" w:hanging="205"/>
        <w:jc w:val="left"/>
        <w:rPr>
          <w:sz w:val="22"/>
        </w:rPr>
      </w:pPr>
      <w:r>
        <w:rPr>
          <w:sz w:val="22"/>
        </w:rPr>
        <w:t>respektimi i fqinjësisë së mirë midis</w:t>
      </w:r>
      <w:r>
        <w:rPr>
          <w:spacing w:val="-3"/>
          <w:sz w:val="22"/>
        </w:rPr>
        <w:t> </w:t>
      </w:r>
      <w:r>
        <w:rPr>
          <w:sz w:val="22"/>
        </w:rPr>
        <w:t>popujve;</w:t>
      </w:r>
    </w:p>
    <w:p>
      <w:pPr>
        <w:pStyle w:val="ListParagraph"/>
        <w:numPr>
          <w:ilvl w:val="0"/>
          <w:numId w:val="11"/>
        </w:numPr>
        <w:tabs>
          <w:tab w:pos="1078" w:val="left" w:leader="none"/>
        </w:tabs>
        <w:spacing w:line="240" w:lineRule="auto" w:before="2" w:after="0"/>
        <w:ind w:left="1077" w:right="0" w:hanging="239"/>
        <w:jc w:val="left"/>
        <w:rPr>
          <w:sz w:val="22"/>
        </w:rPr>
      </w:pPr>
      <w:r>
        <w:rPr>
          <w:sz w:val="22"/>
        </w:rPr>
        <w:t>respektimi i standardit letrar të gjuhës</w:t>
      </w:r>
      <w:r>
        <w:rPr>
          <w:spacing w:val="-2"/>
          <w:sz w:val="22"/>
        </w:rPr>
        <w:t> </w:t>
      </w:r>
      <w:r>
        <w:rPr>
          <w:sz w:val="22"/>
        </w:rPr>
        <w:t>shqipe.</w:t>
      </w:r>
    </w:p>
    <w:p>
      <w:pPr>
        <w:pStyle w:val="BodyText"/>
        <w:ind w:left="0" w:firstLine="0"/>
      </w:pPr>
    </w:p>
    <w:p>
      <w:pPr>
        <w:pStyle w:val="BodyText"/>
        <w:ind w:left="146" w:right="146" w:firstLine="0"/>
        <w:jc w:val="center"/>
      </w:pPr>
      <w:r>
        <w:rPr/>
        <w:t>Neni 5</w:t>
      </w:r>
    </w:p>
    <w:p>
      <w:pPr>
        <w:pStyle w:val="Heading1"/>
      </w:pPr>
      <w:r>
        <w:rPr/>
        <w:t>Liria e marrjes dhe e ritransmetimit</w:t>
      </w:r>
    </w:p>
    <w:p>
      <w:pPr>
        <w:pStyle w:val="BodyText"/>
        <w:spacing w:before="7"/>
        <w:ind w:left="0" w:firstLine="0"/>
        <w:rPr>
          <w:b/>
          <w:sz w:val="21"/>
        </w:rPr>
      </w:pPr>
    </w:p>
    <w:p>
      <w:pPr>
        <w:pStyle w:val="BodyText"/>
        <w:ind w:right="112"/>
        <w:jc w:val="both"/>
      </w:pPr>
      <w:r>
        <w:rPr/>
        <w:t>Shqipëria siguron lirinë e marrjes dhe të ritransmetimit nga shtetet anëtare të Bashkimit Europian dhe të shteteve të treta europiane, palë të Konventës Europiane për Televizionin Ndërkufitar të Këshillit të Europës dhe, në raste të veçanta, mund të kufizojë lirinë e transmetimit të këtyre shërbimeve vetëm në bazë të kësaj marrëveshjeje ndërkombëtare dhe të këtij ligji.</w:t>
      </w:r>
    </w:p>
    <w:p>
      <w:pPr>
        <w:pStyle w:val="BodyText"/>
        <w:ind w:left="0" w:firstLine="0"/>
      </w:pPr>
    </w:p>
    <w:p>
      <w:pPr>
        <w:pStyle w:val="BodyText"/>
        <w:spacing w:line="252" w:lineRule="exact"/>
        <w:ind w:left="146" w:right="146" w:firstLine="0"/>
        <w:jc w:val="center"/>
      </w:pPr>
      <w:r>
        <w:rPr/>
        <w:t>KREU II</w:t>
      </w:r>
    </w:p>
    <w:p>
      <w:pPr>
        <w:pStyle w:val="BodyText"/>
        <w:spacing w:line="252" w:lineRule="exact"/>
        <w:ind w:left="144" w:right="147" w:firstLine="0"/>
        <w:jc w:val="center"/>
      </w:pPr>
      <w:r>
        <w:rPr/>
        <w:t>AUTORITETI I MEDIAVE AUDIOVIZIVE (AMA)</w:t>
      </w:r>
    </w:p>
    <w:p>
      <w:pPr>
        <w:pStyle w:val="BodyText"/>
        <w:ind w:left="0" w:firstLine="0"/>
      </w:pPr>
    </w:p>
    <w:p>
      <w:pPr>
        <w:pStyle w:val="BodyText"/>
        <w:ind w:left="146" w:right="146" w:firstLine="0"/>
        <w:jc w:val="center"/>
      </w:pPr>
      <w:r>
        <w:rPr/>
        <w:t>Neni 6</w:t>
      </w:r>
    </w:p>
    <w:p>
      <w:pPr>
        <w:pStyle w:val="Heading1"/>
        <w:spacing w:before="6"/>
        <w:ind w:right="144"/>
      </w:pPr>
      <w:r>
        <w:rPr/>
        <w:t>Statusi i AMA-s</w:t>
      </w:r>
    </w:p>
    <w:p>
      <w:pPr>
        <w:pStyle w:val="BodyText"/>
        <w:spacing w:before="5"/>
        <w:ind w:left="0" w:firstLine="0"/>
        <w:rPr>
          <w:b/>
          <w:sz w:val="21"/>
        </w:rPr>
      </w:pPr>
    </w:p>
    <w:p>
      <w:pPr>
        <w:pStyle w:val="ListParagraph"/>
        <w:numPr>
          <w:ilvl w:val="0"/>
          <w:numId w:val="12"/>
        </w:numPr>
        <w:tabs>
          <w:tab w:pos="1141" w:val="left" w:leader="none"/>
        </w:tabs>
        <w:spacing w:line="240" w:lineRule="auto" w:before="0" w:after="0"/>
        <w:ind w:left="120" w:right="114" w:firstLine="720"/>
        <w:jc w:val="left"/>
        <w:rPr>
          <w:sz w:val="22"/>
        </w:rPr>
      </w:pPr>
      <w:r>
        <w:rPr>
          <w:sz w:val="22"/>
        </w:rPr>
        <w:t>AMA është autoriteti rregullator në fushën e shërbimeve të transmetimeve audio dhe audiovizive dhe shërbimeve të tjera mbështetëse në territorin e Republikës së</w:t>
      </w:r>
      <w:r>
        <w:rPr>
          <w:spacing w:val="-10"/>
          <w:sz w:val="22"/>
        </w:rPr>
        <w:t> </w:t>
      </w:r>
      <w:r>
        <w:rPr>
          <w:sz w:val="22"/>
        </w:rPr>
        <w:t>Shqipërisë.</w:t>
      </w:r>
    </w:p>
    <w:p>
      <w:pPr>
        <w:pStyle w:val="ListParagraph"/>
        <w:numPr>
          <w:ilvl w:val="0"/>
          <w:numId w:val="12"/>
        </w:numPr>
        <w:tabs>
          <w:tab w:pos="1061" w:val="left" w:leader="none"/>
        </w:tabs>
        <w:spacing w:line="240" w:lineRule="auto" w:before="0" w:after="0"/>
        <w:ind w:left="1060" w:right="0" w:hanging="221"/>
        <w:jc w:val="left"/>
        <w:rPr>
          <w:sz w:val="22"/>
        </w:rPr>
      </w:pPr>
      <w:r>
        <w:rPr>
          <w:sz w:val="22"/>
        </w:rPr>
        <w:t>AMA është person juridik publik, i pavarur, me seli në</w:t>
      </w:r>
      <w:r>
        <w:rPr>
          <w:spacing w:val="-11"/>
          <w:sz w:val="22"/>
        </w:rPr>
        <w:t> </w:t>
      </w:r>
      <w:r>
        <w:rPr>
          <w:sz w:val="22"/>
        </w:rPr>
        <w:t>Tiranë.</w:t>
      </w:r>
    </w:p>
    <w:p>
      <w:pPr>
        <w:pStyle w:val="ListParagraph"/>
        <w:numPr>
          <w:ilvl w:val="0"/>
          <w:numId w:val="12"/>
        </w:numPr>
        <w:tabs>
          <w:tab w:pos="1085" w:val="left" w:leader="none"/>
        </w:tabs>
        <w:spacing w:line="240" w:lineRule="auto" w:before="2" w:after="0"/>
        <w:ind w:left="119" w:right="114" w:firstLine="720"/>
        <w:jc w:val="left"/>
        <w:rPr>
          <w:sz w:val="22"/>
        </w:rPr>
      </w:pPr>
      <w:r>
        <w:rPr>
          <w:sz w:val="22"/>
        </w:rPr>
        <w:t>AMA vepron në bazë e për zbatimin e dispozitave të këtij ligji dhe legjislacionit në fuqi në Republikën e</w:t>
      </w:r>
      <w:r>
        <w:rPr>
          <w:spacing w:val="-1"/>
          <w:sz w:val="22"/>
        </w:rPr>
        <w:t> </w:t>
      </w:r>
      <w:r>
        <w:rPr>
          <w:sz w:val="22"/>
        </w:rPr>
        <w:t>Shqipërisë.</w:t>
      </w:r>
    </w:p>
    <w:p>
      <w:pPr>
        <w:pStyle w:val="BodyText"/>
        <w:spacing w:line="251" w:lineRule="exact"/>
        <w:ind w:left="146" w:right="146" w:firstLine="0"/>
        <w:jc w:val="center"/>
      </w:pPr>
      <w:r>
        <w:rPr/>
        <w:t>Neni 7</w:t>
      </w:r>
    </w:p>
    <w:p>
      <w:pPr>
        <w:pStyle w:val="Heading1"/>
        <w:spacing w:before="6"/>
        <w:ind w:right="144"/>
      </w:pPr>
      <w:r>
        <w:rPr/>
        <w:t>Papajtueshmëritë dhe konflikti i interesave</w:t>
      </w:r>
    </w:p>
    <w:p>
      <w:pPr>
        <w:pStyle w:val="BodyText"/>
        <w:spacing w:before="7"/>
        <w:ind w:left="0" w:firstLine="0"/>
        <w:rPr>
          <w:b/>
          <w:sz w:val="21"/>
        </w:rPr>
      </w:pPr>
    </w:p>
    <w:p>
      <w:pPr>
        <w:pStyle w:val="ListParagraph"/>
        <w:numPr>
          <w:ilvl w:val="0"/>
          <w:numId w:val="13"/>
        </w:numPr>
        <w:tabs>
          <w:tab w:pos="1061" w:val="left" w:leader="none"/>
        </w:tabs>
        <w:spacing w:line="252" w:lineRule="exact" w:before="0" w:after="0"/>
        <w:ind w:left="1060" w:right="0" w:hanging="221"/>
        <w:jc w:val="both"/>
        <w:rPr>
          <w:sz w:val="22"/>
        </w:rPr>
      </w:pPr>
      <w:r>
        <w:rPr>
          <w:sz w:val="22"/>
        </w:rPr>
        <w:t>Anëtarë të AMA-s nuk mund të jenë individët</w:t>
      </w:r>
      <w:r>
        <w:rPr>
          <w:spacing w:val="-4"/>
          <w:sz w:val="22"/>
        </w:rPr>
        <w:t> </w:t>
      </w:r>
      <w:r>
        <w:rPr>
          <w:sz w:val="22"/>
        </w:rPr>
        <w:t>që:</w:t>
      </w:r>
    </w:p>
    <w:p>
      <w:pPr>
        <w:pStyle w:val="ListParagraph"/>
        <w:numPr>
          <w:ilvl w:val="0"/>
          <w:numId w:val="14"/>
        </w:numPr>
        <w:tabs>
          <w:tab w:pos="1071" w:val="left" w:leader="none"/>
        </w:tabs>
        <w:spacing w:line="240" w:lineRule="auto" w:before="0" w:after="0"/>
        <w:ind w:left="120" w:right="112" w:firstLine="719"/>
        <w:jc w:val="both"/>
        <w:rPr>
          <w:sz w:val="22"/>
        </w:rPr>
      </w:pPr>
      <w:r>
        <w:rPr>
          <w:sz w:val="22"/>
        </w:rPr>
        <w:t>janë anëtarë të partive dhe shoqatave politike, kandidojnë për deputet apo janë zgjedhur të tillë gjatë 2 legjislaturave të fundit, kanë konkurruar për kryetar të njësive vendore në zgjedhjet e fundit të organizuara për to apo kanë ushtruar detyrën e kryetarit të bashkisë, anëtarit të Këshillit të Ministrave apo të prefektit gjatë 3 vjetëve të fundit, si dhe ata që janë anëtarë të Këshillit të Ankesave, AKEP-it apo punonjës të këtij të</w:t>
      </w:r>
      <w:r>
        <w:rPr>
          <w:spacing w:val="-4"/>
          <w:sz w:val="22"/>
        </w:rPr>
        <w:t> </w:t>
      </w:r>
      <w:r>
        <w:rPr>
          <w:sz w:val="22"/>
        </w:rPr>
        <w:t>fundit;</w:t>
      </w:r>
    </w:p>
    <w:p>
      <w:pPr>
        <w:pStyle w:val="ListParagraph"/>
        <w:numPr>
          <w:ilvl w:val="0"/>
          <w:numId w:val="14"/>
        </w:numPr>
        <w:tabs>
          <w:tab w:pos="1086" w:val="left" w:leader="none"/>
        </w:tabs>
        <w:spacing w:line="240" w:lineRule="auto" w:before="0" w:after="0"/>
        <w:ind w:left="120" w:right="112" w:firstLine="720"/>
        <w:jc w:val="both"/>
        <w:rPr>
          <w:sz w:val="22"/>
        </w:rPr>
      </w:pPr>
      <w:r>
        <w:rPr>
          <w:sz w:val="22"/>
        </w:rPr>
        <w:t>janë persona të lidhur, sipas përcaktimeve të ligjit nr. 9367, datë 7.4.2005 “Për parandalimin e konfliktit të interesave në ushtrimin e funksioneve publike” ose që kanë në pronësi pjesë kapitali apo aksione të shoqërive tregtare, si dhe të drejta të tjera në fushën e transmetimeve audiovizive, reklamës, prodhimeve të përmbajtjes së transmetimeve audiovizive, rrjeteve të komunikimit elektronik apo persona të punësuar gjatë vitit të fundit, anëtarë të organeve drejtuese apo këshilluese të këtyre subjekteve apo të lidhur me ndonjë licencë me këto subjekte.</w:t>
      </w:r>
    </w:p>
    <w:p>
      <w:pPr>
        <w:pStyle w:val="ListParagraph"/>
        <w:numPr>
          <w:ilvl w:val="0"/>
          <w:numId w:val="13"/>
        </w:numPr>
        <w:tabs>
          <w:tab w:pos="1061" w:val="left" w:leader="none"/>
        </w:tabs>
        <w:spacing w:line="252" w:lineRule="exact" w:before="0" w:after="0"/>
        <w:ind w:left="1060" w:right="0" w:hanging="221"/>
        <w:jc w:val="left"/>
        <w:rPr>
          <w:sz w:val="22"/>
        </w:rPr>
      </w:pPr>
      <w:r>
        <w:rPr>
          <w:sz w:val="22"/>
        </w:rPr>
        <w:t>Anëtarët e AMA-s duhet të</w:t>
      </w:r>
      <w:r>
        <w:rPr>
          <w:spacing w:val="-2"/>
          <w:sz w:val="22"/>
        </w:rPr>
        <w:t> </w:t>
      </w:r>
      <w:r>
        <w:rPr>
          <w:sz w:val="22"/>
        </w:rPr>
        <w:t>deklarojnë:</w:t>
      </w:r>
    </w:p>
    <w:p>
      <w:pPr>
        <w:pStyle w:val="ListParagraph"/>
        <w:numPr>
          <w:ilvl w:val="0"/>
          <w:numId w:val="15"/>
        </w:numPr>
        <w:tabs>
          <w:tab w:pos="1069" w:val="left" w:leader="none"/>
        </w:tabs>
        <w:spacing w:line="252" w:lineRule="exact" w:before="0" w:after="0"/>
        <w:ind w:left="1068" w:right="0" w:hanging="229"/>
        <w:jc w:val="left"/>
        <w:rPr>
          <w:sz w:val="22"/>
        </w:rPr>
      </w:pPr>
      <w:r>
        <w:rPr>
          <w:sz w:val="22"/>
        </w:rPr>
        <w:t>çdo interes apo lidhje me ndonjë subjekt të licencuar nga</w:t>
      </w:r>
      <w:r>
        <w:rPr>
          <w:spacing w:val="-6"/>
          <w:sz w:val="22"/>
        </w:rPr>
        <w:t> </w:t>
      </w:r>
      <w:r>
        <w:rPr>
          <w:sz w:val="22"/>
        </w:rPr>
        <w:t>AMA;</w:t>
      </w:r>
    </w:p>
    <w:p>
      <w:pPr>
        <w:pStyle w:val="ListParagraph"/>
        <w:numPr>
          <w:ilvl w:val="0"/>
          <w:numId w:val="15"/>
        </w:numPr>
        <w:tabs>
          <w:tab w:pos="1097" w:val="left" w:leader="none"/>
        </w:tabs>
        <w:spacing w:line="252" w:lineRule="exact" w:before="0" w:after="0"/>
        <w:ind w:left="1096" w:right="0" w:hanging="257"/>
        <w:jc w:val="left"/>
        <w:rPr>
          <w:sz w:val="22"/>
        </w:rPr>
      </w:pPr>
      <w:r>
        <w:rPr>
          <w:sz w:val="22"/>
        </w:rPr>
        <w:t>çdo</w:t>
      </w:r>
      <w:r>
        <w:rPr>
          <w:spacing w:val="13"/>
          <w:sz w:val="22"/>
        </w:rPr>
        <w:t> </w:t>
      </w:r>
      <w:r>
        <w:rPr>
          <w:sz w:val="22"/>
        </w:rPr>
        <w:t>interes</w:t>
      </w:r>
      <w:r>
        <w:rPr>
          <w:spacing w:val="17"/>
          <w:sz w:val="22"/>
        </w:rPr>
        <w:t> </w:t>
      </w:r>
      <w:r>
        <w:rPr>
          <w:sz w:val="22"/>
        </w:rPr>
        <w:t>të</w:t>
      </w:r>
      <w:r>
        <w:rPr>
          <w:spacing w:val="17"/>
          <w:sz w:val="22"/>
        </w:rPr>
        <w:t> </w:t>
      </w:r>
      <w:r>
        <w:rPr>
          <w:sz w:val="22"/>
        </w:rPr>
        <w:t>mundshëm</w:t>
      </w:r>
      <w:r>
        <w:rPr>
          <w:spacing w:val="13"/>
          <w:sz w:val="22"/>
        </w:rPr>
        <w:t> </w:t>
      </w:r>
      <w:r>
        <w:rPr>
          <w:sz w:val="22"/>
        </w:rPr>
        <w:t>në</w:t>
      </w:r>
      <w:r>
        <w:rPr>
          <w:spacing w:val="17"/>
          <w:sz w:val="22"/>
        </w:rPr>
        <w:t> </w:t>
      </w:r>
      <w:r>
        <w:rPr>
          <w:sz w:val="22"/>
        </w:rPr>
        <w:t>ndonjë</w:t>
      </w:r>
      <w:r>
        <w:rPr>
          <w:spacing w:val="17"/>
          <w:sz w:val="22"/>
        </w:rPr>
        <w:t> </w:t>
      </w:r>
      <w:r>
        <w:rPr>
          <w:sz w:val="22"/>
        </w:rPr>
        <w:t>licencë,</w:t>
      </w:r>
      <w:r>
        <w:rPr>
          <w:spacing w:val="16"/>
          <w:sz w:val="22"/>
        </w:rPr>
        <w:t> </w:t>
      </w:r>
      <w:r>
        <w:rPr>
          <w:sz w:val="22"/>
        </w:rPr>
        <w:t>që</w:t>
      </w:r>
      <w:r>
        <w:rPr>
          <w:spacing w:val="17"/>
          <w:sz w:val="22"/>
        </w:rPr>
        <w:t> </w:t>
      </w:r>
      <w:r>
        <w:rPr>
          <w:sz w:val="22"/>
        </w:rPr>
        <w:t>AMA</w:t>
      </w:r>
      <w:r>
        <w:rPr>
          <w:spacing w:val="15"/>
          <w:sz w:val="22"/>
        </w:rPr>
        <w:t> </w:t>
      </w:r>
      <w:r>
        <w:rPr>
          <w:sz w:val="22"/>
        </w:rPr>
        <w:t>ka</w:t>
      </w:r>
      <w:r>
        <w:rPr>
          <w:spacing w:val="17"/>
          <w:sz w:val="22"/>
        </w:rPr>
        <w:t> </w:t>
      </w:r>
      <w:r>
        <w:rPr>
          <w:sz w:val="22"/>
        </w:rPr>
        <w:t>dhënë</w:t>
      </w:r>
      <w:r>
        <w:rPr>
          <w:spacing w:val="17"/>
          <w:sz w:val="22"/>
        </w:rPr>
        <w:t> </w:t>
      </w:r>
      <w:r>
        <w:rPr>
          <w:sz w:val="22"/>
        </w:rPr>
        <w:t>ose</w:t>
      </w:r>
      <w:r>
        <w:rPr>
          <w:spacing w:val="17"/>
          <w:sz w:val="22"/>
        </w:rPr>
        <w:t> </w:t>
      </w:r>
      <w:r>
        <w:rPr>
          <w:sz w:val="22"/>
        </w:rPr>
        <w:t>synon</w:t>
      </w:r>
      <w:r>
        <w:rPr>
          <w:spacing w:val="16"/>
          <w:sz w:val="22"/>
        </w:rPr>
        <w:t> </w:t>
      </w:r>
      <w:r>
        <w:rPr>
          <w:sz w:val="22"/>
        </w:rPr>
        <w:t>të</w:t>
      </w:r>
      <w:r>
        <w:rPr>
          <w:spacing w:val="12"/>
          <w:sz w:val="22"/>
        </w:rPr>
        <w:t> </w:t>
      </w:r>
      <w:r>
        <w:rPr>
          <w:sz w:val="22"/>
        </w:rPr>
        <w:t>japë,</w:t>
      </w:r>
      <w:r>
        <w:rPr>
          <w:spacing w:val="14"/>
          <w:sz w:val="22"/>
        </w:rPr>
        <w:t> </w:t>
      </w:r>
      <w:r>
        <w:rPr>
          <w:sz w:val="22"/>
        </w:rPr>
        <w:t>si</w:t>
      </w:r>
      <w:r>
        <w:rPr>
          <w:spacing w:val="18"/>
          <w:sz w:val="22"/>
        </w:rPr>
        <w:t> </w:t>
      </w:r>
      <w:r>
        <w:rPr>
          <w:sz w:val="22"/>
        </w:rPr>
        <w:t>dhe</w:t>
      </w:r>
      <w:r>
        <w:rPr>
          <w:spacing w:val="17"/>
          <w:sz w:val="22"/>
        </w:rPr>
        <w:t> </w:t>
      </w:r>
      <w:r>
        <w:rPr>
          <w:sz w:val="22"/>
        </w:rPr>
        <w:t>nuk</w:t>
      </w:r>
    </w:p>
    <w:p>
      <w:pPr>
        <w:spacing w:after="0" w:line="252" w:lineRule="exact"/>
        <w:jc w:val="left"/>
        <w:rPr>
          <w:sz w:val="22"/>
        </w:rPr>
        <w:sectPr>
          <w:pgSz w:w="12240" w:h="15840"/>
          <w:pgMar w:top="1360" w:bottom="280" w:left="1320" w:right="1320"/>
        </w:sectPr>
      </w:pPr>
    </w:p>
    <w:p>
      <w:pPr>
        <w:pStyle w:val="BodyText"/>
        <w:spacing w:before="74"/>
        <w:ind w:right="111" w:firstLine="0"/>
        <w:jc w:val="both"/>
      </w:pPr>
      <w:r>
        <w:rPr/>
        <w:t>mund të marrin pjesë në diskutimin apo vendimmarrjen e çështjeve të lidhura me këta interesa apo lidhje, që përbëjnë raste për skualifikim, sipas nenit 37 të Kodit të Procedurave Administrative.</w:t>
      </w:r>
    </w:p>
    <w:p>
      <w:pPr>
        <w:pStyle w:val="ListParagraph"/>
        <w:numPr>
          <w:ilvl w:val="0"/>
          <w:numId w:val="13"/>
        </w:numPr>
        <w:tabs>
          <w:tab w:pos="1097" w:val="left" w:leader="none"/>
        </w:tabs>
        <w:spacing w:line="240" w:lineRule="auto" w:before="0" w:after="0"/>
        <w:ind w:left="119" w:right="115" w:firstLine="720"/>
        <w:jc w:val="both"/>
        <w:rPr>
          <w:sz w:val="22"/>
        </w:rPr>
      </w:pPr>
      <w:r>
        <w:rPr>
          <w:sz w:val="22"/>
        </w:rPr>
        <w:t>AMA harton dhe miraton një kod sjelljeje, lidhur me rregullimin e veprimtarisë së saj për çështjet e përcaktuara në pikën 2 të këtij neni, sipas përcaktimeve të këtij ligji dhe të ligjit nr. 9367, datë 7.4.2005 “Për parandalimin e konfliktit të interesave në ushtrimin e funksioneve publike”, si dhe miraton kodet e të njëjtit lloj për administratën e AMA-s dhe bordeve që mund të</w:t>
      </w:r>
      <w:r>
        <w:rPr>
          <w:spacing w:val="-3"/>
          <w:sz w:val="22"/>
        </w:rPr>
        <w:t> </w:t>
      </w:r>
      <w:r>
        <w:rPr>
          <w:sz w:val="22"/>
        </w:rPr>
        <w:t>ngrejë.</w:t>
      </w:r>
    </w:p>
    <w:p>
      <w:pPr>
        <w:pStyle w:val="ListParagraph"/>
        <w:numPr>
          <w:ilvl w:val="0"/>
          <w:numId w:val="13"/>
        </w:numPr>
        <w:tabs>
          <w:tab w:pos="1119" w:val="left" w:leader="none"/>
        </w:tabs>
        <w:spacing w:line="240" w:lineRule="auto" w:before="0" w:after="0"/>
        <w:ind w:left="119" w:right="118" w:firstLine="720"/>
        <w:jc w:val="both"/>
        <w:rPr>
          <w:sz w:val="22"/>
        </w:rPr>
      </w:pPr>
      <w:r>
        <w:rPr>
          <w:sz w:val="22"/>
        </w:rPr>
        <w:t>Anëtarët e AMA-s nuk lejohet të shprehen ose të mbajnë qëndrime publike që cenojnë paanshmërinë e tyre, në raport me interesat e përcaktuar në pikën 2 të këtij</w:t>
      </w:r>
      <w:r>
        <w:rPr>
          <w:spacing w:val="-5"/>
          <w:sz w:val="22"/>
        </w:rPr>
        <w:t> </w:t>
      </w:r>
      <w:r>
        <w:rPr>
          <w:sz w:val="22"/>
        </w:rPr>
        <w:t>neni.</w:t>
      </w:r>
    </w:p>
    <w:p>
      <w:pPr>
        <w:pStyle w:val="ListParagraph"/>
        <w:numPr>
          <w:ilvl w:val="0"/>
          <w:numId w:val="13"/>
        </w:numPr>
        <w:tabs>
          <w:tab w:pos="1121" w:val="left" w:leader="none"/>
        </w:tabs>
        <w:spacing w:line="240" w:lineRule="auto" w:before="0" w:after="0"/>
        <w:ind w:left="119" w:right="115" w:firstLine="720"/>
        <w:jc w:val="both"/>
        <w:rPr>
          <w:sz w:val="22"/>
        </w:rPr>
      </w:pPr>
      <w:r>
        <w:rPr>
          <w:sz w:val="22"/>
        </w:rPr>
        <w:t>Anëtarët e AMA-s duhet të mos influencohen financiarisht apo politikisht dhe duhet të veprojnë gjatë gjithë kohës për të përmbushur dhe thelluar objektivat e</w:t>
      </w:r>
      <w:r>
        <w:rPr>
          <w:spacing w:val="-8"/>
          <w:sz w:val="22"/>
        </w:rPr>
        <w:t> </w:t>
      </w:r>
      <w:r>
        <w:rPr>
          <w:sz w:val="22"/>
        </w:rPr>
        <w:t>AMA-s.</w:t>
      </w:r>
    </w:p>
    <w:p>
      <w:pPr>
        <w:pStyle w:val="BodyText"/>
        <w:spacing w:before="9"/>
        <w:ind w:left="0" w:firstLine="0"/>
        <w:rPr>
          <w:sz w:val="21"/>
        </w:rPr>
      </w:pPr>
    </w:p>
    <w:p>
      <w:pPr>
        <w:pStyle w:val="BodyText"/>
        <w:ind w:left="146" w:right="147" w:firstLine="0"/>
        <w:jc w:val="center"/>
      </w:pPr>
      <w:r>
        <w:rPr/>
        <w:t>Neni 8</w:t>
      </w:r>
    </w:p>
    <w:p>
      <w:pPr>
        <w:pStyle w:val="Heading1"/>
        <w:spacing w:before="6"/>
      </w:pPr>
      <w:r>
        <w:rPr/>
        <w:t>Përbërja e AMA-s</w:t>
      </w:r>
    </w:p>
    <w:p>
      <w:pPr>
        <w:pStyle w:val="BodyText"/>
        <w:spacing w:before="7"/>
        <w:ind w:left="0" w:firstLine="0"/>
        <w:rPr>
          <w:b/>
          <w:sz w:val="21"/>
        </w:rPr>
      </w:pPr>
    </w:p>
    <w:p>
      <w:pPr>
        <w:pStyle w:val="ListParagraph"/>
        <w:numPr>
          <w:ilvl w:val="0"/>
          <w:numId w:val="16"/>
        </w:numPr>
        <w:tabs>
          <w:tab w:pos="1061" w:val="left" w:leader="none"/>
        </w:tabs>
        <w:spacing w:line="252" w:lineRule="exact" w:before="1" w:after="0"/>
        <w:ind w:left="1060" w:right="0" w:hanging="222"/>
        <w:jc w:val="left"/>
        <w:rPr>
          <w:sz w:val="22"/>
        </w:rPr>
      </w:pPr>
      <w:r>
        <w:rPr>
          <w:sz w:val="22"/>
        </w:rPr>
        <w:t>AMA përbëhet nga Kryetari, Zëvendëskryetari dhe 5</w:t>
      </w:r>
      <w:r>
        <w:rPr>
          <w:spacing w:val="-7"/>
          <w:sz w:val="22"/>
        </w:rPr>
        <w:t> </w:t>
      </w:r>
      <w:r>
        <w:rPr>
          <w:sz w:val="22"/>
        </w:rPr>
        <w:t>anëtarë.</w:t>
      </w:r>
    </w:p>
    <w:p>
      <w:pPr>
        <w:pStyle w:val="ListParagraph"/>
        <w:numPr>
          <w:ilvl w:val="0"/>
          <w:numId w:val="16"/>
        </w:numPr>
        <w:tabs>
          <w:tab w:pos="1063" w:val="left" w:leader="none"/>
        </w:tabs>
        <w:spacing w:line="240" w:lineRule="auto" w:before="0" w:after="0"/>
        <w:ind w:left="119" w:right="118" w:firstLine="720"/>
        <w:jc w:val="left"/>
        <w:rPr>
          <w:sz w:val="22"/>
        </w:rPr>
      </w:pPr>
      <w:r>
        <w:rPr>
          <w:sz w:val="22"/>
        </w:rPr>
        <w:t>Kandidat për t’u zgjedhur anëtar i AMA-s mund të jetë çdo person, i cili ka përvojë pune jo më pak se 10 vjet në fushat</w:t>
      </w:r>
      <w:r>
        <w:rPr>
          <w:spacing w:val="-5"/>
          <w:sz w:val="22"/>
        </w:rPr>
        <w:t> </w:t>
      </w:r>
      <w:r>
        <w:rPr>
          <w:sz w:val="22"/>
        </w:rPr>
        <w:t>e:</w:t>
      </w:r>
    </w:p>
    <w:p>
      <w:pPr>
        <w:pStyle w:val="ListParagraph"/>
        <w:numPr>
          <w:ilvl w:val="0"/>
          <w:numId w:val="17"/>
        </w:numPr>
        <w:tabs>
          <w:tab w:pos="1068" w:val="left" w:leader="none"/>
        </w:tabs>
        <w:spacing w:line="252" w:lineRule="exact" w:before="0" w:after="0"/>
        <w:ind w:left="1067" w:right="0" w:hanging="229"/>
        <w:jc w:val="left"/>
        <w:rPr>
          <w:sz w:val="22"/>
        </w:rPr>
      </w:pPr>
      <w:r>
        <w:rPr>
          <w:sz w:val="22"/>
        </w:rPr>
        <w:t>medias në</w:t>
      </w:r>
      <w:r>
        <w:rPr>
          <w:spacing w:val="-1"/>
          <w:sz w:val="22"/>
        </w:rPr>
        <w:t> </w:t>
      </w:r>
      <w:r>
        <w:rPr>
          <w:sz w:val="22"/>
        </w:rPr>
        <w:t>përgjithësi;</w:t>
      </w:r>
    </w:p>
    <w:p>
      <w:pPr>
        <w:pStyle w:val="ListParagraph"/>
        <w:numPr>
          <w:ilvl w:val="0"/>
          <w:numId w:val="17"/>
        </w:numPr>
        <w:tabs>
          <w:tab w:pos="1080" w:val="left" w:leader="none"/>
        </w:tabs>
        <w:spacing w:line="252" w:lineRule="exact" w:before="0" w:after="0"/>
        <w:ind w:left="1079" w:right="0" w:hanging="241"/>
        <w:jc w:val="left"/>
        <w:rPr>
          <w:sz w:val="22"/>
        </w:rPr>
      </w:pPr>
      <w:r>
        <w:rPr>
          <w:sz w:val="22"/>
        </w:rPr>
        <w:t>transmetimeve audiovizive të shërbimit publik, tregtar ose</w:t>
      </w:r>
      <w:r>
        <w:rPr>
          <w:spacing w:val="-3"/>
          <w:sz w:val="22"/>
        </w:rPr>
        <w:t> </w:t>
      </w:r>
      <w:r>
        <w:rPr>
          <w:sz w:val="22"/>
        </w:rPr>
        <w:t>jotregtar;</w:t>
      </w:r>
    </w:p>
    <w:p>
      <w:pPr>
        <w:pStyle w:val="ListParagraph"/>
        <w:numPr>
          <w:ilvl w:val="0"/>
          <w:numId w:val="17"/>
        </w:numPr>
        <w:tabs>
          <w:tab w:pos="1068" w:val="left" w:leader="none"/>
        </w:tabs>
        <w:spacing w:line="240" w:lineRule="auto" w:before="1" w:after="0"/>
        <w:ind w:left="839" w:right="3638" w:firstLine="0"/>
        <w:jc w:val="left"/>
        <w:rPr>
          <w:sz w:val="22"/>
        </w:rPr>
      </w:pPr>
      <w:r>
        <w:rPr>
          <w:sz w:val="22"/>
        </w:rPr>
        <w:t>prodhimit të përmbajtjes së transmetimeve</w:t>
      </w:r>
      <w:r>
        <w:rPr>
          <w:spacing w:val="-18"/>
          <w:sz w:val="22"/>
        </w:rPr>
        <w:t> </w:t>
      </w:r>
      <w:r>
        <w:rPr>
          <w:sz w:val="22"/>
        </w:rPr>
        <w:t>audiovizive; ç) teknologjive të medias;</w:t>
      </w:r>
    </w:p>
    <w:p>
      <w:pPr>
        <w:pStyle w:val="ListParagraph"/>
        <w:numPr>
          <w:ilvl w:val="0"/>
          <w:numId w:val="17"/>
        </w:numPr>
        <w:tabs>
          <w:tab w:pos="1080" w:val="left" w:leader="none"/>
        </w:tabs>
        <w:spacing w:line="240" w:lineRule="auto" w:before="0" w:after="0"/>
        <w:ind w:left="839" w:right="3435" w:firstLine="0"/>
        <w:jc w:val="left"/>
        <w:rPr>
          <w:sz w:val="22"/>
        </w:rPr>
      </w:pPr>
      <w:r>
        <w:rPr>
          <w:sz w:val="22"/>
        </w:rPr>
        <w:t>ekonomisë, administrimit dhe rregullave te konkurrencës; dh) çështjeve të zhvillimit të gjuhës</w:t>
      </w:r>
      <w:r>
        <w:rPr>
          <w:spacing w:val="-1"/>
          <w:sz w:val="22"/>
        </w:rPr>
        <w:t> </w:t>
      </w:r>
      <w:r>
        <w:rPr>
          <w:sz w:val="22"/>
        </w:rPr>
        <w:t>shqipe;</w:t>
      </w:r>
    </w:p>
    <w:p>
      <w:pPr>
        <w:pStyle w:val="ListParagraph"/>
        <w:numPr>
          <w:ilvl w:val="0"/>
          <w:numId w:val="17"/>
        </w:numPr>
        <w:tabs>
          <w:tab w:pos="1068" w:val="left" w:leader="none"/>
        </w:tabs>
        <w:spacing w:line="242" w:lineRule="auto" w:before="0" w:after="0"/>
        <w:ind w:left="839" w:right="1243" w:firstLine="0"/>
        <w:jc w:val="left"/>
        <w:rPr>
          <w:sz w:val="22"/>
        </w:rPr>
      </w:pPr>
      <w:r>
        <w:rPr>
          <w:sz w:val="22"/>
        </w:rPr>
        <w:t>çështjeve që lidhen me personat me aftësi të kufizuar e grupeve të tjera vulnerabël; ë) artit, kulturës e</w:t>
      </w:r>
      <w:r>
        <w:rPr>
          <w:spacing w:val="-2"/>
          <w:sz w:val="22"/>
        </w:rPr>
        <w:t> </w:t>
      </w:r>
      <w:r>
        <w:rPr>
          <w:sz w:val="22"/>
        </w:rPr>
        <w:t>muzikës;</w:t>
      </w:r>
    </w:p>
    <w:p>
      <w:pPr>
        <w:pStyle w:val="ListParagraph"/>
        <w:numPr>
          <w:ilvl w:val="0"/>
          <w:numId w:val="17"/>
        </w:numPr>
        <w:tabs>
          <w:tab w:pos="1044" w:val="left" w:leader="none"/>
        </w:tabs>
        <w:spacing w:line="248" w:lineRule="exact" w:before="0" w:after="0"/>
        <w:ind w:left="1043" w:right="0" w:hanging="205"/>
        <w:jc w:val="left"/>
        <w:rPr>
          <w:sz w:val="22"/>
        </w:rPr>
      </w:pPr>
      <w:r>
        <w:rPr>
          <w:sz w:val="22"/>
        </w:rPr>
        <w:t>drejtësisë, ligjit, administrimit</w:t>
      </w:r>
      <w:r>
        <w:rPr>
          <w:spacing w:val="-3"/>
          <w:sz w:val="22"/>
        </w:rPr>
        <w:t> </w:t>
      </w:r>
      <w:r>
        <w:rPr>
          <w:sz w:val="22"/>
        </w:rPr>
        <w:t>publik;</w:t>
      </w:r>
    </w:p>
    <w:p>
      <w:pPr>
        <w:pStyle w:val="ListParagraph"/>
        <w:numPr>
          <w:ilvl w:val="0"/>
          <w:numId w:val="17"/>
        </w:numPr>
        <w:tabs>
          <w:tab w:pos="1078" w:val="left" w:leader="none"/>
        </w:tabs>
        <w:spacing w:line="240" w:lineRule="auto" w:before="0" w:after="0"/>
        <w:ind w:left="839" w:right="4505" w:firstLine="0"/>
        <w:jc w:val="left"/>
        <w:rPr>
          <w:sz w:val="22"/>
        </w:rPr>
      </w:pPr>
      <w:r>
        <w:rPr>
          <w:sz w:val="22"/>
        </w:rPr>
        <w:t>shkencës, mjedisit dhe zhvillimit teknologjik; gj) mbrojtjes së konsumatorit;</w:t>
      </w:r>
    </w:p>
    <w:p>
      <w:pPr>
        <w:pStyle w:val="ListParagraph"/>
        <w:numPr>
          <w:ilvl w:val="0"/>
          <w:numId w:val="17"/>
        </w:numPr>
        <w:tabs>
          <w:tab w:pos="1092" w:val="left" w:leader="none"/>
        </w:tabs>
        <w:spacing w:line="240" w:lineRule="auto" w:before="0" w:after="0"/>
        <w:ind w:left="119" w:right="115" w:firstLine="720"/>
        <w:jc w:val="both"/>
        <w:rPr>
          <w:sz w:val="22"/>
        </w:rPr>
      </w:pPr>
      <w:r>
        <w:rPr>
          <w:sz w:val="22"/>
        </w:rPr>
        <w:t>veprimtarive shoqërore, edukuese dhe zhvillimit të bashkësive lokale, publike e kombëtare, të cilat kanë lidhje ose ndikojnë në mënyrë të drejtpërdrejtë mbi qëllimet e veprimtarisë audiovizive, siç përcaktohet në këtë</w:t>
      </w:r>
      <w:r>
        <w:rPr>
          <w:spacing w:val="-4"/>
          <w:sz w:val="22"/>
        </w:rPr>
        <w:t> </w:t>
      </w:r>
      <w:r>
        <w:rPr>
          <w:sz w:val="22"/>
        </w:rPr>
        <w:t>ligj.</w:t>
      </w:r>
    </w:p>
    <w:p>
      <w:pPr>
        <w:pStyle w:val="ListParagraph"/>
        <w:numPr>
          <w:ilvl w:val="0"/>
          <w:numId w:val="16"/>
        </w:numPr>
        <w:tabs>
          <w:tab w:pos="1147" w:val="left" w:leader="none"/>
        </w:tabs>
        <w:spacing w:line="240" w:lineRule="auto" w:before="0" w:after="0"/>
        <w:ind w:left="119" w:right="114" w:firstLine="720"/>
        <w:jc w:val="both"/>
        <w:rPr>
          <w:sz w:val="22"/>
        </w:rPr>
      </w:pPr>
      <w:r>
        <w:rPr>
          <w:sz w:val="22"/>
        </w:rPr>
        <w:t>Kryetari dhe Zëvendëskryetari i AMA-s janë me kohë të plotë. Paga e Kryetarit, e Zëvendëskryetarit dhe shpërblimi i 5 anëtarëve të tjerë caktohet në përputhje me ligjin nr. 9584, datë 17.7.2006 “Për pagat, shpërblimet dhe strukturat e institucioneve të pavarura kushtetuese dhe të institucioneve të pavarura të krijuara me</w:t>
      </w:r>
      <w:r>
        <w:rPr>
          <w:spacing w:val="-3"/>
          <w:sz w:val="22"/>
        </w:rPr>
        <w:t> </w:t>
      </w:r>
      <w:r>
        <w:rPr>
          <w:sz w:val="22"/>
        </w:rPr>
        <w:t>ligj”.</w:t>
      </w:r>
    </w:p>
    <w:p>
      <w:pPr>
        <w:pStyle w:val="BodyText"/>
        <w:spacing w:before="10"/>
        <w:ind w:left="0" w:firstLine="0"/>
        <w:rPr>
          <w:sz w:val="21"/>
        </w:rPr>
      </w:pPr>
    </w:p>
    <w:p>
      <w:pPr>
        <w:pStyle w:val="BodyText"/>
        <w:ind w:left="146" w:right="147" w:firstLine="0"/>
        <w:jc w:val="center"/>
      </w:pPr>
      <w:r>
        <w:rPr/>
        <w:t>Neni 9</w:t>
      </w:r>
    </w:p>
    <w:p>
      <w:pPr>
        <w:pStyle w:val="Heading1"/>
        <w:ind w:right="147"/>
      </w:pPr>
      <w:r>
        <w:rPr/>
        <w:t>Zgjedhja e anëtarëve të AMA-s</w:t>
      </w:r>
    </w:p>
    <w:p>
      <w:pPr>
        <w:pStyle w:val="BodyText"/>
        <w:spacing w:before="7"/>
        <w:ind w:left="0" w:firstLine="0"/>
        <w:rPr>
          <w:b/>
          <w:sz w:val="21"/>
        </w:rPr>
      </w:pPr>
    </w:p>
    <w:p>
      <w:pPr>
        <w:pStyle w:val="ListParagraph"/>
        <w:numPr>
          <w:ilvl w:val="0"/>
          <w:numId w:val="18"/>
        </w:numPr>
        <w:tabs>
          <w:tab w:pos="1073" w:val="left" w:leader="none"/>
        </w:tabs>
        <w:spacing w:line="240" w:lineRule="auto" w:before="0" w:after="0"/>
        <w:ind w:left="119" w:right="116" w:firstLine="720"/>
        <w:jc w:val="both"/>
        <w:rPr>
          <w:sz w:val="22"/>
        </w:rPr>
      </w:pPr>
      <w:r>
        <w:rPr>
          <w:sz w:val="22"/>
        </w:rPr>
        <w:t>Anëtarët e AMA-s zgjidhen nga Kuvendi për një periudhë 5-vjeçare, me të drejtë rizgjedhjeje vetëm një</w:t>
      </w:r>
      <w:r>
        <w:rPr>
          <w:spacing w:val="-4"/>
          <w:sz w:val="22"/>
        </w:rPr>
        <w:t> </w:t>
      </w:r>
      <w:r>
        <w:rPr>
          <w:sz w:val="22"/>
        </w:rPr>
        <w:t>herë.</w:t>
      </w:r>
    </w:p>
    <w:p>
      <w:pPr>
        <w:pStyle w:val="ListParagraph"/>
        <w:numPr>
          <w:ilvl w:val="0"/>
          <w:numId w:val="18"/>
        </w:numPr>
        <w:tabs>
          <w:tab w:pos="1087" w:val="left" w:leader="none"/>
        </w:tabs>
        <w:spacing w:line="240" w:lineRule="auto" w:before="1" w:after="0"/>
        <w:ind w:left="119" w:right="115" w:firstLine="720"/>
        <w:jc w:val="both"/>
        <w:rPr>
          <w:sz w:val="22"/>
        </w:rPr>
      </w:pPr>
      <w:r>
        <w:rPr>
          <w:sz w:val="22"/>
        </w:rPr>
        <w:t>Komisioni për Edukimin dhe Mjetet e Informimit Publik, brenda 30 ditëve nga krijimi i një vendi vakant, fton, me anë të mjeteve të informimit publik, për paraqitjen e kandidaturave, subjektet e mëposhtme:</w:t>
      </w:r>
    </w:p>
    <w:p>
      <w:pPr>
        <w:pStyle w:val="ListParagraph"/>
        <w:numPr>
          <w:ilvl w:val="0"/>
          <w:numId w:val="19"/>
        </w:numPr>
        <w:tabs>
          <w:tab w:pos="1068" w:val="left" w:leader="none"/>
        </w:tabs>
        <w:spacing w:line="252" w:lineRule="exact" w:before="0" w:after="0"/>
        <w:ind w:left="1067" w:right="0" w:hanging="229"/>
        <w:jc w:val="left"/>
        <w:rPr>
          <w:sz w:val="22"/>
        </w:rPr>
      </w:pPr>
      <w:r>
        <w:rPr>
          <w:sz w:val="22"/>
        </w:rPr>
        <w:t>shoqatat dhe grupimet e mediave</w:t>
      </w:r>
      <w:r>
        <w:rPr>
          <w:spacing w:val="-4"/>
          <w:sz w:val="22"/>
        </w:rPr>
        <w:t> </w:t>
      </w:r>
      <w:r>
        <w:rPr>
          <w:sz w:val="22"/>
        </w:rPr>
        <w:t>elektronike;</w:t>
      </w:r>
    </w:p>
    <w:p>
      <w:pPr>
        <w:pStyle w:val="ListParagraph"/>
        <w:numPr>
          <w:ilvl w:val="0"/>
          <w:numId w:val="19"/>
        </w:numPr>
        <w:tabs>
          <w:tab w:pos="1080" w:val="left" w:leader="none"/>
        </w:tabs>
        <w:spacing w:line="252" w:lineRule="exact" w:before="0" w:after="0"/>
        <w:ind w:left="1079" w:right="0" w:hanging="241"/>
        <w:jc w:val="left"/>
        <w:rPr>
          <w:sz w:val="22"/>
        </w:rPr>
      </w:pPr>
      <w:r>
        <w:rPr>
          <w:sz w:val="22"/>
        </w:rPr>
        <w:t>shoqatat e medias së</w:t>
      </w:r>
      <w:r>
        <w:rPr>
          <w:spacing w:val="-3"/>
          <w:sz w:val="22"/>
        </w:rPr>
        <w:t> </w:t>
      </w:r>
      <w:r>
        <w:rPr>
          <w:sz w:val="22"/>
        </w:rPr>
        <w:t>shkruar;</w:t>
      </w:r>
    </w:p>
    <w:p>
      <w:pPr>
        <w:pStyle w:val="ListParagraph"/>
        <w:numPr>
          <w:ilvl w:val="0"/>
          <w:numId w:val="19"/>
        </w:numPr>
        <w:tabs>
          <w:tab w:pos="1068" w:val="left" w:leader="none"/>
        </w:tabs>
        <w:spacing w:line="252" w:lineRule="exact" w:before="1" w:after="0"/>
        <w:ind w:left="1067" w:right="0" w:hanging="229"/>
        <w:jc w:val="left"/>
        <w:rPr>
          <w:sz w:val="22"/>
        </w:rPr>
      </w:pPr>
      <w:r>
        <w:rPr>
          <w:sz w:val="22"/>
        </w:rPr>
        <w:t>profesoratin dhe shoqatat e inxhinierisë elektrike dhe</w:t>
      </w:r>
      <w:r>
        <w:rPr>
          <w:spacing w:val="-6"/>
          <w:sz w:val="22"/>
        </w:rPr>
        <w:t> </w:t>
      </w:r>
      <w:r>
        <w:rPr>
          <w:sz w:val="22"/>
        </w:rPr>
        <w:t>elektronike;</w:t>
      </w:r>
    </w:p>
    <w:p>
      <w:pPr>
        <w:pStyle w:val="BodyText"/>
        <w:ind w:left="119" w:right="117"/>
      </w:pPr>
      <w:r>
        <w:rPr/>
        <w:t>ç) profesoratin e së drejtës, gazetari-komunikimit dhe ekonomisë, shoqatat e juristëve dhe Dhomën Kombëtare të Avokatisë;</w:t>
      </w:r>
    </w:p>
    <w:p>
      <w:pPr>
        <w:pStyle w:val="ListParagraph"/>
        <w:numPr>
          <w:ilvl w:val="0"/>
          <w:numId w:val="19"/>
        </w:numPr>
        <w:tabs>
          <w:tab w:pos="1085" w:val="left" w:leader="none"/>
        </w:tabs>
        <w:spacing w:line="240" w:lineRule="auto" w:before="0" w:after="0"/>
        <w:ind w:left="119" w:right="114" w:firstLine="720"/>
        <w:jc w:val="left"/>
        <w:rPr>
          <w:sz w:val="22"/>
        </w:rPr>
      </w:pPr>
      <w:r>
        <w:rPr>
          <w:sz w:val="22"/>
        </w:rPr>
        <w:t>organizatat jofitimprurëse që veprojnë në fushën e të drejtave të njeriut, të drejtave të fëmijëve ose</w:t>
      </w:r>
      <w:r>
        <w:rPr>
          <w:spacing w:val="24"/>
          <w:sz w:val="22"/>
        </w:rPr>
        <w:t> </w:t>
      </w:r>
      <w:r>
        <w:rPr>
          <w:sz w:val="22"/>
        </w:rPr>
        <w:t>kërkimeve</w:t>
      </w:r>
      <w:r>
        <w:rPr>
          <w:spacing w:val="26"/>
          <w:sz w:val="22"/>
        </w:rPr>
        <w:t> </w:t>
      </w:r>
      <w:r>
        <w:rPr>
          <w:sz w:val="22"/>
        </w:rPr>
        <w:t>në</w:t>
      </w:r>
      <w:r>
        <w:rPr>
          <w:spacing w:val="26"/>
          <w:sz w:val="22"/>
        </w:rPr>
        <w:t> </w:t>
      </w:r>
      <w:r>
        <w:rPr>
          <w:sz w:val="22"/>
        </w:rPr>
        <w:t>politikat</w:t>
      </w:r>
      <w:r>
        <w:rPr>
          <w:spacing w:val="24"/>
          <w:sz w:val="22"/>
        </w:rPr>
        <w:t> </w:t>
      </w:r>
      <w:r>
        <w:rPr>
          <w:sz w:val="22"/>
        </w:rPr>
        <w:t>publike,</w:t>
      </w:r>
      <w:r>
        <w:rPr>
          <w:spacing w:val="24"/>
          <w:sz w:val="22"/>
        </w:rPr>
        <w:t> </w:t>
      </w:r>
      <w:r>
        <w:rPr>
          <w:sz w:val="22"/>
        </w:rPr>
        <w:t>ose</w:t>
      </w:r>
      <w:r>
        <w:rPr>
          <w:spacing w:val="26"/>
          <w:sz w:val="22"/>
        </w:rPr>
        <w:t> </w:t>
      </w:r>
      <w:r>
        <w:rPr>
          <w:sz w:val="22"/>
        </w:rPr>
        <w:t>përfaqësues</w:t>
      </w:r>
      <w:r>
        <w:rPr>
          <w:spacing w:val="26"/>
          <w:sz w:val="22"/>
        </w:rPr>
        <w:t> </w:t>
      </w:r>
      <w:r>
        <w:rPr>
          <w:sz w:val="22"/>
        </w:rPr>
        <w:t>të</w:t>
      </w:r>
      <w:r>
        <w:rPr>
          <w:spacing w:val="26"/>
          <w:sz w:val="22"/>
        </w:rPr>
        <w:t> </w:t>
      </w:r>
      <w:r>
        <w:rPr>
          <w:sz w:val="22"/>
        </w:rPr>
        <w:t>shoqatave</w:t>
      </w:r>
      <w:r>
        <w:rPr>
          <w:spacing w:val="26"/>
          <w:sz w:val="22"/>
        </w:rPr>
        <w:t> </w:t>
      </w:r>
      <w:r>
        <w:rPr>
          <w:sz w:val="22"/>
        </w:rPr>
        <w:t>që</w:t>
      </w:r>
      <w:r>
        <w:rPr>
          <w:spacing w:val="25"/>
          <w:sz w:val="22"/>
        </w:rPr>
        <w:t> </w:t>
      </w:r>
      <w:r>
        <w:rPr>
          <w:sz w:val="22"/>
        </w:rPr>
        <w:t>veprojnë</w:t>
      </w:r>
      <w:r>
        <w:rPr>
          <w:spacing w:val="26"/>
          <w:sz w:val="22"/>
        </w:rPr>
        <w:t> </w:t>
      </w:r>
      <w:r>
        <w:rPr>
          <w:sz w:val="22"/>
        </w:rPr>
        <w:t>në</w:t>
      </w:r>
      <w:r>
        <w:rPr>
          <w:spacing w:val="26"/>
          <w:sz w:val="22"/>
        </w:rPr>
        <w:t> </w:t>
      </w:r>
      <w:r>
        <w:rPr>
          <w:sz w:val="22"/>
        </w:rPr>
        <w:t>fushën</w:t>
      </w:r>
      <w:r>
        <w:rPr>
          <w:spacing w:val="25"/>
          <w:sz w:val="22"/>
        </w:rPr>
        <w:t> </w:t>
      </w:r>
      <w:r>
        <w:rPr>
          <w:sz w:val="22"/>
        </w:rPr>
        <w:t>e</w:t>
      </w:r>
      <w:r>
        <w:rPr>
          <w:spacing w:val="24"/>
          <w:sz w:val="22"/>
        </w:rPr>
        <w:t> </w:t>
      </w:r>
      <w:r>
        <w:rPr>
          <w:sz w:val="22"/>
        </w:rPr>
        <w:t>mbrojtjes</w:t>
      </w:r>
      <w:r>
        <w:rPr>
          <w:spacing w:val="26"/>
          <w:sz w:val="22"/>
        </w:rPr>
        <w:t> </w:t>
      </w:r>
      <w:r>
        <w:rPr>
          <w:sz w:val="22"/>
        </w:rPr>
        <w:t>së</w:t>
      </w:r>
    </w:p>
    <w:p>
      <w:pPr>
        <w:spacing w:after="0" w:line="240" w:lineRule="auto"/>
        <w:jc w:val="left"/>
        <w:rPr>
          <w:sz w:val="22"/>
        </w:rPr>
        <w:sectPr>
          <w:pgSz w:w="12240" w:h="15840"/>
          <w:pgMar w:top="1360" w:bottom="280" w:left="1320" w:right="1320"/>
        </w:sectPr>
      </w:pPr>
    </w:p>
    <w:p>
      <w:pPr>
        <w:pStyle w:val="BodyText"/>
        <w:spacing w:line="252" w:lineRule="exact" w:before="74"/>
        <w:ind w:firstLine="0"/>
        <w:jc w:val="both"/>
      </w:pPr>
      <w:r>
        <w:rPr/>
        <w:t>personave me aftësi të kufizuar.</w:t>
      </w:r>
    </w:p>
    <w:p>
      <w:pPr>
        <w:pStyle w:val="BodyText"/>
        <w:spacing w:line="252" w:lineRule="exact"/>
        <w:ind w:left="840" w:firstLine="0"/>
        <w:jc w:val="both"/>
      </w:pPr>
      <w:r>
        <w:rPr/>
        <w:t>Subjektet e mësipërme propozojnë kandidaturat brenda 30 ditëve nga marrja e ftesës.</w:t>
      </w:r>
    </w:p>
    <w:p>
      <w:pPr>
        <w:pStyle w:val="ListParagraph"/>
        <w:numPr>
          <w:ilvl w:val="0"/>
          <w:numId w:val="18"/>
        </w:numPr>
        <w:tabs>
          <w:tab w:pos="1066" w:val="left" w:leader="none"/>
        </w:tabs>
        <w:spacing w:line="240" w:lineRule="auto" w:before="1" w:after="0"/>
        <w:ind w:left="120" w:right="116" w:firstLine="720"/>
        <w:jc w:val="both"/>
        <w:rPr>
          <w:sz w:val="22"/>
        </w:rPr>
      </w:pPr>
      <w:r>
        <w:rPr>
          <w:sz w:val="22"/>
        </w:rPr>
        <w:t>Komisioni për Edukimin dhe Mjetet e Informimit Publik bën përzgjedhjen, sipas përcaktimeve të neneve 7 dhe 8 të këtij ligji, mes të paktën 4 kandidaturave për çdo vend anëtari të</w:t>
      </w:r>
      <w:r>
        <w:rPr>
          <w:spacing w:val="-18"/>
          <w:sz w:val="22"/>
        </w:rPr>
        <w:t> </w:t>
      </w:r>
      <w:r>
        <w:rPr>
          <w:sz w:val="22"/>
        </w:rPr>
        <w:t>AMA-s.</w:t>
      </w:r>
    </w:p>
    <w:p>
      <w:pPr>
        <w:pStyle w:val="ListParagraph"/>
        <w:numPr>
          <w:ilvl w:val="0"/>
          <w:numId w:val="18"/>
        </w:numPr>
        <w:tabs>
          <w:tab w:pos="1088" w:val="left" w:leader="none"/>
        </w:tabs>
        <w:spacing w:line="240" w:lineRule="auto" w:before="0" w:after="0"/>
        <w:ind w:left="120" w:right="116" w:firstLine="720"/>
        <w:jc w:val="both"/>
        <w:rPr>
          <w:sz w:val="22"/>
        </w:rPr>
      </w:pPr>
      <w:r>
        <w:rPr>
          <w:sz w:val="22"/>
        </w:rPr>
        <w:t>Për përzgjedhjen e kandidaturave alternative për çdo vend anëtari të AMA-s, Komisioni për Edukimin dhe Mjetet e Informimit Publik zbaton procedurën e</w:t>
      </w:r>
      <w:r>
        <w:rPr>
          <w:spacing w:val="-6"/>
          <w:sz w:val="22"/>
        </w:rPr>
        <w:t> </w:t>
      </w:r>
      <w:r>
        <w:rPr>
          <w:sz w:val="22"/>
        </w:rPr>
        <w:t>mëposhtme:</w:t>
      </w:r>
    </w:p>
    <w:p>
      <w:pPr>
        <w:pStyle w:val="ListParagraph"/>
        <w:numPr>
          <w:ilvl w:val="0"/>
          <w:numId w:val="20"/>
        </w:numPr>
        <w:tabs>
          <w:tab w:pos="1069" w:val="left" w:leader="none"/>
        </w:tabs>
        <w:spacing w:line="251" w:lineRule="exact" w:before="0" w:after="0"/>
        <w:ind w:left="1068" w:right="0" w:hanging="229"/>
        <w:jc w:val="both"/>
        <w:rPr>
          <w:sz w:val="22"/>
        </w:rPr>
      </w:pPr>
      <w:r>
        <w:rPr>
          <w:sz w:val="22"/>
        </w:rPr>
        <w:t>shqyrton të gjitha kandidaturat e paraqitura nga subjektet</w:t>
      </w:r>
      <w:r>
        <w:rPr>
          <w:spacing w:val="-7"/>
          <w:sz w:val="22"/>
        </w:rPr>
        <w:t> </w:t>
      </w:r>
      <w:r>
        <w:rPr>
          <w:sz w:val="22"/>
        </w:rPr>
        <w:t>propozuese;</w:t>
      </w:r>
    </w:p>
    <w:p>
      <w:pPr>
        <w:pStyle w:val="ListParagraph"/>
        <w:numPr>
          <w:ilvl w:val="0"/>
          <w:numId w:val="20"/>
        </w:numPr>
        <w:tabs>
          <w:tab w:pos="1085" w:val="left" w:leader="none"/>
        </w:tabs>
        <w:spacing w:line="240" w:lineRule="auto" w:before="2" w:after="0"/>
        <w:ind w:left="120" w:right="114" w:firstLine="720"/>
        <w:jc w:val="both"/>
        <w:rPr>
          <w:sz w:val="22"/>
        </w:rPr>
      </w:pPr>
      <w:r>
        <w:rPr>
          <w:sz w:val="22"/>
        </w:rPr>
        <w:t>kandidaturat e administruara, në bazë të propozimeve të mësipërme, i nënshtrohen përjashtimit një nga një. Procedura e përjashtimit zbatohet sipas radhës: një nga përfaqësuesit e shumicës parlamentare dhe një nga përfaqësuesit e</w:t>
      </w:r>
      <w:r>
        <w:rPr>
          <w:spacing w:val="-2"/>
          <w:sz w:val="22"/>
        </w:rPr>
        <w:t> </w:t>
      </w:r>
      <w:r>
        <w:rPr>
          <w:sz w:val="22"/>
        </w:rPr>
        <w:t>opozitës.</w:t>
      </w:r>
    </w:p>
    <w:p>
      <w:pPr>
        <w:pStyle w:val="BodyText"/>
        <w:ind w:right="116"/>
        <w:jc w:val="both"/>
      </w:pPr>
      <w:r>
        <w:rPr/>
        <w:t>Në çdo rast komisioni mban parasysh ruajtjen e balancës, tre kandidatë të mbështetur nga shumica parlamentare, tre të mbështetur nga opozita. Kandidatët për anëtarë të AMA-s i propozohen për miratim seancës</w:t>
      </w:r>
      <w:r>
        <w:rPr>
          <w:spacing w:val="-4"/>
        </w:rPr>
        <w:t> </w:t>
      </w:r>
      <w:r>
        <w:rPr/>
        <w:t>plenare.</w:t>
      </w:r>
    </w:p>
    <w:p>
      <w:pPr>
        <w:pStyle w:val="BodyText"/>
        <w:ind w:right="115"/>
        <w:jc w:val="both"/>
      </w:pPr>
      <w:r>
        <w:rPr/>
        <w:t>Përjashtimi i çdo kandidature duhet të argumentohet duke garantuar respektimin e parimit të moscenimit të integritetit personal dhe profesional të kandidatëve.</w:t>
      </w:r>
    </w:p>
    <w:p>
      <w:pPr>
        <w:pStyle w:val="ListParagraph"/>
        <w:numPr>
          <w:ilvl w:val="0"/>
          <w:numId w:val="18"/>
        </w:numPr>
        <w:tabs>
          <w:tab w:pos="1066" w:val="left" w:leader="none"/>
        </w:tabs>
        <w:spacing w:line="240" w:lineRule="auto" w:before="0" w:after="0"/>
        <w:ind w:left="1065" w:right="0" w:hanging="226"/>
        <w:jc w:val="both"/>
        <w:rPr>
          <w:sz w:val="22"/>
        </w:rPr>
      </w:pPr>
      <w:r>
        <w:rPr>
          <w:sz w:val="22"/>
        </w:rPr>
        <w:t>Pas përfundimit të mandatit, anëtari i AMA-s, qëndron në detyrë deri në zgjedhjen e anëtarit</w:t>
      </w:r>
      <w:r>
        <w:rPr>
          <w:spacing w:val="53"/>
          <w:sz w:val="22"/>
        </w:rPr>
        <w:t> </w:t>
      </w:r>
      <w:r>
        <w:rPr>
          <w:sz w:val="22"/>
        </w:rPr>
        <w:t>të</w:t>
      </w:r>
    </w:p>
    <w:p>
      <w:pPr>
        <w:pStyle w:val="BodyText"/>
        <w:ind w:firstLine="0"/>
      </w:pPr>
      <w:r>
        <w:rPr/>
        <w:t>ri.</w:t>
      </w:r>
    </w:p>
    <w:p>
      <w:pPr>
        <w:pStyle w:val="BodyText"/>
        <w:spacing w:before="10"/>
        <w:ind w:left="0" w:firstLine="0"/>
        <w:rPr>
          <w:sz w:val="13"/>
        </w:rPr>
      </w:pPr>
    </w:p>
    <w:p>
      <w:pPr>
        <w:pStyle w:val="BodyText"/>
        <w:spacing w:before="91"/>
        <w:ind w:left="146" w:right="146" w:firstLine="0"/>
        <w:jc w:val="center"/>
      </w:pPr>
      <w:r>
        <w:rPr/>
        <w:t>Neni 10</w:t>
      </w:r>
    </w:p>
    <w:p>
      <w:pPr>
        <w:pStyle w:val="Heading1"/>
        <w:spacing w:before="7"/>
      </w:pPr>
      <w:r>
        <w:rPr/>
        <w:t>Zgjedhja e Kryetarit të AMA-s</w:t>
      </w:r>
    </w:p>
    <w:p>
      <w:pPr>
        <w:pStyle w:val="BodyText"/>
        <w:spacing w:before="7"/>
        <w:ind w:left="0" w:firstLine="0"/>
        <w:rPr>
          <w:b/>
          <w:sz w:val="21"/>
        </w:rPr>
      </w:pPr>
    </w:p>
    <w:p>
      <w:pPr>
        <w:pStyle w:val="ListParagraph"/>
        <w:numPr>
          <w:ilvl w:val="0"/>
          <w:numId w:val="21"/>
        </w:numPr>
        <w:tabs>
          <w:tab w:pos="1071" w:val="left" w:leader="none"/>
        </w:tabs>
        <w:spacing w:line="240" w:lineRule="auto" w:before="0" w:after="0"/>
        <w:ind w:left="120" w:right="115" w:firstLine="720"/>
        <w:jc w:val="both"/>
        <w:rPr>
          <w:sz w:val="22"/>
        </w:rPr>
      </w:pPr>
      <w:r>
        <w:rPr>
          <w:sz w:val="22"/>
        </w:rPr>
        <w:t>Anëtari i shtatë dhe njëkohësisht Kryetari i AMA-s zgjidhet jo më vonë se 10 ditë pasi të ketë përfunduar procedura e zgjedhjes së anëtarëve të AMA-s, sipas nenit 9 të këtij</w:t>
      </w:r>
      <w:r>
        <w:rPr>
          <w:spacing w:val="-9"/>
          <w:sz w:val="22"/>
        </w:rPr>
        <w:t> </w:t>
      </w:r>
      <w:r>
        <w:rPr>
          <w:sz w:val="22"/>
        </w:rPr>
        <w:t>ligji.</w:t>
      </w:r>
    </w:p>
    <w:p>
      <w:pPr>
        <w:pStyle w:val="ListParagraph"/>
        <w:numPr>
          <w:ilvl w:val="0"/>
          <w:numId w:val="21"/>
        </w:numPr>
        <w:tabs>
          <w:tab w:pos="1085" w:val="left" w:leader="none"/>
        </w:tabs>
        <w:spacing w:line="240" w:lineRule="auto" w:before="0" w:after="0"/>
        <w:ind w:left="119" w:right="115" w:firstLine="720"/>
        <w:jc w:val="both"/>
        <w:rPr>
          <w:sz w:val="22"/>
        </w:rPr>
      </w:pPr>
      <w:r>
        <w:rPr>
          <w:sz w:val="22"/>
        </w:rPr>
        <w:t>Jo më vonë se 30 ditë para datës së mbarimit të mandatit të Kryetarit të AMA-s, Kuvendi i Shqipërisë publikon shpalljen për vendin vakant të Kryetarit të AMA-s. Çdo shtetas që plotëson kushtet e nenit 7 dhe 8 të këtij ligji mund të paraqitet si kandidat për Kryetar i AMA-s. Kërkesa paraqitet e shoqëruar me dokumentacionin përkatës që provon përmbushjen e kritereve ligjore për anëtar të</w:t>
      </w:r>
      <w:r>
        <w:rPr>
          <w:spacing w:val="-26"/>
          <w:sz w:val="22"/>
        </w:rPr>
        <w:t> </w:t>
      </w:r>
      <w:r>
        <w:rPr>
          <w:sz w:val="22"/>
        </w:rPr>
        <w:t>AMA-s.</w:t>
      </w:r>
    </w:p>
    <w:p>
      <w:pPr>
        <w:pStyle w:val="ListParagraph"/>
        <w:numPr>
          <w:ilvl w:val="0"/>
          <w:numId w:val="21"/>
        </w:numPr>
        <w:tabs>
          <w:tab w:pos="1087" w:val="left" w:leader="none"/>
        </w:tabs>
        <w:spacing w:line="240" w:lineRule="auto" w:before="0" w:after="0"/>
        <w:ind w:left="119" w:right="114" w:firstLine="720"/>
        <w:jc w:val="both"/>
        <w:rPr>
          <w:sz w:val="22"/>
        </w:rPr>
      </w:pPr>
      <w:r>
        <w:rPr>
          <w:sz w:val="22"/>
        </w:rPr>
        <w:t>Lista e kandidatëve i kalon Komisionit për Edukimin dhe Mjetet e Informimit Publik për të verifikuar përmbushjen e kritereve të përcaktuara në këtë ligj. Në këtë listë nuk mund të përfshihen ose, nëse janë përfshirë, përjashtohen kandidatët e propozuar për anëtarë të AMA-s, sipas pikës 4 të nenit 9 të këtij ligji. Komisioni, pas verifikimit të kandidaturave, zbaton procedurën si më</w:t>
      </w:r>
      <w:r>
        <w:rPr>
          <w:spacing w:val="-11"/>
          <w:sz w:val="22"/>
        </w:rPr>
        <w:t> </w:t>
      </w:r>
      <w:r>
        <w:rPr>
          <w:sz w:val="22"/>
        </w:rPr>
        <w:t>poshtë:</w:t>
      </w:r>
    </w:p>
    <w:p>
      <w:pPr>
        <w:pStyle w:val="ListParagraph"/>
        <w:numPr>
          <w:ilvl w:val="0"/>
          <w:numId w:val="22"/>
        </w:numPr>
        <w:tabs>
          <w:tab w:pos="1068" w:val="left" w:leader="none"/>
        </w:tabs>
        <w:spacing w:line="240" w:lineRule="auto" w:before="0" w:after="0"/>
        <w:ind w:left="119" w:right="114" w:firstLine="720"/>
        <w:jc w:val="both"/>
        <w:rPr>
          <w:sz w:val="22"/>
        </w:rPr>
      </w:pPr>
      <w:r>
        <w:rPr>
          <w:sz w:val="22"/>
        </w:rPr>
        <w:t>komisioni identifikon katër kandidatët që kanë marrë mbështetjen më të madhe midis anëtarëve të komisionit. Çdo anëtar i komisionit mund të mbështesë deri në katër</w:t>
      </w:r>
      <w:r>
        <w:rPr>
          <w:spacing w:val="-5"/>
          <w:sz w:val="22"/>
        </w:rPr>
        <w:t> </w:t>
      </w:r>
      <w:r>
        <w:rPr>
          <w:sz w:val="22"/>
        </w:rPr>
        <w:t>kandidatë;</w:t>
      </w:r>
    </w:p>
    <w:p>
      <w:pPr>
        <w:pStyle w:val="ListParagraph"/>
        <w:numPr>
          <w:ilvl w:val="0"/>
          <w:numId w:val="22"/>
        </w:numPr>
        <w:tabs>
          <w:tab w:pos="1102" w:val="left" w:leader="none"/>
        </w:tabs>
        <w:spacing w:line="251" w:lineRule="exact" w:before="0" w:after="0"/>
        <w:ind w:left="1101" w:right="0" w:hanging="263"/>
        <w:jc w:val="both"/>
        <w:rPr>
          <w:sz w:val="22"/>
        </w:rPr>
      </w:pPr>
      <w:r>
        <w:rPr>
          <w:sz w:val="22"/>
        </w:rPr>
        <w:t>nëse</w:t>
      </w:r>
      <w:r>
        <w:rPr>
          <w:spacing w:val="21"/>
          <w:sz w:val="22"/>
        </w:rPr>
        <w:t> </w:t>
      </w:r>
      <w:r>
        <w:rPr>
          <w:sz w:val="22"/>
        </w:rPr>
        <w:t>dy</w:t>
      </w:r>
      <w:r>
        <w:rPr>
          <w:spacing w:val="18"/>
          <w:sz w:val="22"/>
        </w:rPr>
        <w:t> </w:t>
      </w:r>
      <w:r>
        <w:rPr>
          <w:sz w:val="22"/>
        </w:rPr>
        <w:t>apo</w:t>
      </w:r>
      <w:r>
        <w:rPr>
          <w:spacing w:val="24"/>
          <w:sz w:val="22"/>
        </w:rPr>
        <w:t> </w:t>
      </w:r>
      <w:r>
        <w:rPr>
          <w:sz w:val="22"/>
        </w:rPr>
        <w:t>më</w:t>
      </w:r>
      <w:r>
        <w:rPr>
          <w:spacing w:val="21"/>
          <w:sz w:val="22"/>
        </w:rPr>
        <w:t> </w:t>
      </w:r>
      <w:r>
        <w:rPr>
          <w:sz w:val="22"/>
        </w:rPr>
        <w:t>shumë</w:t>
      </w:r>
      <w:r>
        <w:rPr>
          <w:spacing w:val="26"/>
          <w:sz w:val="22"/>
        </w:rPr>
        <w:t> </w:t>
      </w:r>
      <w:r>
        <w:rPr>
          <w:sz w:val="22"/>
        </w:rPr>
        <w:t>kandidatë</w:t>
      </w:r>
      <w:r>
        <w:rPr>
          <w:spacing w:val="21"/>
          <w:sz w:val="22"/>
        </w:rPr>
        <w:t> </w:t>
      </w:r>
      <w:r>
        <w:rPr>
          <w:sz w:val="22"/>
        </w:rPr>
        <w:t>gëzojnë</w:t>
      </w:r>
      <w:r>
        <w:rPr>
          <w:spacing w:val="22"/>
          <w:sz w:val="22"/>
        </w:rPr>
        <w:t> </w:t>
      </w:r>
      <w:r>
        <w:rPr>
          <w:sz w:val="22"/>
        </w:rPr>
        <w:t>të</w:t>
      </w:r>
      <w:r>
        <w:rPr>
          <w:spacing w:val="21"/>
          <w:sz w:val="22"/>
        </w:rPr>
        <w:t> </w:t>
      </w:r>
      <w:r>
        <w:rPr>
          <w:sz w:val="22"/>
        </w:rPr>
        <w:t>njëjtën</w:t>
      </w:r>
      <w:r>
        <w:rPr>
          <w:spacing w:val="24"/>
          <w:sz w:val="22"/>
        </w:rPr>
        <w:t> </w:t>
      </w:r>
      <w:r>
        <w:rPr>
          <w:sz w:val="22"/>
        </w:rPr>
        <w:t>mbështetje,</w:t>
      </w:r>
      <w:r>
        <w:rPr>
          <w:spacing w:val="20"/>
          <w:sz w:val="22"/>
        </w:rPr>
        <w:t> </w:t>
      </w:r>
      <w:r>
        <w:rPr>
          <w:sz w:val="22"/>
        </w:rPr>
        <w:t>përzgjedhja</w:t>
      </w:r>
      <w:r>
        <w:rPr>
          <w:spacing w:val="22"/>
          <w:sz w:val="22"/>
        </w:rPr>
        <w:t> </w:t>
      </w:r>
      <w:r>
        <w:rPr>
          <w:sz w:val="22"/>
        </w:rPr>
        <w:t>e</w:t>
      </w:r>
      <w:r>
        <w:rPr>
          <w:spacing w:val="21"/>
          <w:sz w:val="22"/>
        </w:rPr>
        <w:t> </w:t>
      </w:r>
      <w:r>
        <w:rPr>
          <w:sz w:val="22"/>
        </w:rPr>
        <w:t>tyre</w:t>
      </w:r>
      <w:r>
        <w:rPr>
          <w:spacing w:val="21"/>
          <w:sz w:val="22"/>
        </w:rPr>
        <w:t> </w:t>
      </w:r>
      <w:r>
        <w:rPr>
          <w:sz w:val="22"/>
        </w:rPr>
        <w:t>bëhet</w:t>
      </w:r>
      <w:r>
        <w:rPr>
          <w:spacing w:val="22"/>
          <w:sz w:val="22"/>
        </w:rPr>
        <w:t> </w:t>
      </w:r>
      <w:r>
        <w:rPr>
          <w:sz w:val="22"/>
        </w:rPr>
        <w:t>me</w:t>
      </w:r>
    </w:p>
    <w:p>
      <w:pPr>
        <w:pStyle w:val="BodyText"/>
        <w:spacing w:line="252" w:lineRule="exact"/>
        <w:ind w:left="119" w:firstLine="0"/>
      </w:pPr>
      <w:r>
        <w:rPr/>
        <w:t>short;</w:t>
      </w:r>
    </w:p>
    <w:p>
      <w:pPr>
        <w:pStyle w:val="ListParagraph"/>
        <w:numPr>
          <w:ilvl w:val="0"/>
          <w:numId w:val="22"/>
        </w:numPr>
        <w:tabs>
          <w:tab w:pos="1121" w:val="left" w:leader="none"/>
        </w:tabs>
        <w:spacing w:line="252" w:lineRule="exact" w:before="0" w:after="0"/>
        <w:ind w:left="1120" w:right="0" w:hanging="282"/>
        <w:jc w:val="left"/>
        <w:rPr>
          <w:sz w:val="22"/>
        </w:rPr>
      </w:pPr>
      <w:r>
        <w:rPr>
          <w:sz w:val="22"/>
        </w:rPr>
        <w:t>përfaqësuesit e pakicës parlamentare në komision përjashtojnë dy nga katër kandidatët</w:t>
      </w:r>
      <w:r>
        <w:rPr>
          <w:spacing w:val="23"/>
          <w:sz w:val="22"/>
        </w:rPr>
        <w:t> </w:t>
      </w:r>
      <w:r>
        <w:rPr>
          <w:sz w:val="22"/>
        </w:rPr>
        <w:t>e</w:t>
      </w:r>
    </w:p>
    <w:p>
      <w:pPr>
        <w:pStyle w:val="BodyText"/>
        <w:spacing w:line="252" w:lineRule="exact" w:before="2"/>
        <w:ind w:left="119" w:firstLine="0"/>
      </w:pPr>
      <w:r>
        <w:rPr/>
        <w:t>përzgjedhur. Kandidatët e mbetur i kalojnë Kuvendit për votim;</w:t>
      </w:r>
    </w:p>
    <w:p>
      <w:pPr>
        <w:pStyle w:val="BodyText"/>
        <w:ind w:left="119" w:firstLine="719"/>
      </w:pPr>
      <w:r>
        <w:rPr/>
        <w:t>ç) Kryetar i AMA-s zgjidhet kandidati që merr më shumë se gjysmën e votave të deputetëve të Kuvendit.</w:t>
      </w:r>
    </w:p>
    <w:p>
      <w:pPr>
        <w:pStyle w:val="BodyText"/>
        <w:ind w:left="146" w:right="146" w:firstLine="0"/>
        <w:jc w:val="center"/>
      </w:pPr>
      <w:r>
        <w:rPr/>
        <w:t>Neni 11</w:t>
      </w:r>
    </w:p>
    <w:p>
      <w:pPr>
        <w:pStyle w:val="Heading1"/>
        <w:spacing w:before="3"/>
      </w:pPr>
      <w:r>
        <w:rPr/>
        <w:t>Zëvendëskryetari i AMA-s</w:t>
      </w:r>
    </w:p>
    <w:p>
      <w:pPr>
        <w:pStyle w:val="BodyText"/>
        <w:spacing w:before="7"/>
        <w:ind w:left="0" w:firstLine="0"/>
        <w:rPr>
          <w:b/>
          <w:sz w:val="21"/>
        </w:rPr>
      </w:pPr>
    </w:p>
    <w:p>
      <w:pPr>
        <w:pStyle w:val="ListParagraph"/>
        <w:numPr>
          <w:ilvl w:val="0"/>
          <w:numId w:val="23"/>
        </w:numPr>
        <w:tabs>
          <w:tab w:pos="1133" w:val="left" w:leader="none"/>
        </w:tabs>
        <w:spacing w:line="240" w:lineRule="auto" w:before="0" w:after="0"/>
        <w:ind w:left="119" w:right="116" w:firstLine="720"/>
        <w:jc w:val="left"/>
        <w:rPr>
          <w:sz w:val="22"/>
        </w:rPr>
      </w:pPr>
      <w:r>
        <w:rPr>
          <w:sz w:val="22"/>
        </w:rPr>
        <w:t>AMA zgjedh si Zëvendëskryetar një nga anëtarët e AMA-s, të zgjedhur mbi bazën e mbështetjes së propozimit të opozitës, sipas pikës 4 të nenit 9 të këtij</w:t>
      </w:r>
      <w:r>
        <w:rPr>
          <w:spacing w:val="-13"/>
          <w:sz w:val="22"/>
        </w:rPr>
        <w:t> </w:t>
      </w:r>
      <w:r>
        <w:rPr>
          <w:sz w:val="22"/>
        </w:rPr>
        <w:t>ligji.</w:t>
      </w:r>
    </w:p>
    <w:p>
      <w:pPr>
        <w:pStyle w:val="ListParagraph"/>
        <w:numPr>
          <w:ilvl w:val="0"/>
          <w:numId w:val="23"/>
        </w:numPr>
        <w:tabs>
          <w:tab w:pos="1061" w:val="left" w:leader="none"/>
        </w:tabs>
        <w:spacing w:line="252" w:lineRule="exact" w:before="1" w:after="0"/>
        <w:ind w:left="1060" w:right="0" w:hanging="222"/>
        <w:jc w:val="left"/>
        <w:rPr>
          <w:sz w:val="22"/>
        </w:rPr>
      </w:pPr>
      <w:r>
        <w:rPr>
          <w:sz w:val="22"/>
        </w:rPr>
        <w:t>Zgjedhja zhvillohet me votim të fshehtë, sipas procedurës së</w:t>
      </w:r>
      <w:r>
        <w:rPr>
          <w:spacing w:val="-12"/>
          <w:sz w:val="22"/>
        </w:rPr>
        <w:t> </w:t>
      </w:r>
      <w:r>
        <w:rPr>
          <w:sz w:val="22"/>
        </w:rPr>
        <w:t>mëposhtme:</w:t>
      </w:r>
    </w:p>
    <w:p>
      <w:pPr>
        <w:pStyle w:val="ListParagraph"/>
        <w:numPr>
          <w:ilvl w:val="0"/>
          <w:numId w:val="24"/>
        </w:numPr>
        <w:tabs>
          <w:tab w:pos="1068" w:val="left" w:leader="none"/>
        </w:tabs>
        <w:spacing w:line="252" w:lineRule="exact" w:before="0" w:after="0"/>
        <w:ind w:left="1067" w:right="0" w:hanging="229"/>
        <w:jc w:val="left"/>
        <w:rPr>
          <w:sz w:val="22"/>
        </w:rPr>
      </w:pPr>
      <w:r>
        <w:rPr>
          <w:sz w:val="22"/>
        </w:rPr>
        <w:t>në një fletë votimi shkruhen emrat e tre anëtarëve të AMA-s, sipas pikës 1 të këtij</w:t>
      </w:r>
      <w:r>
        <w:rPr>
          <w:spacing w:val="-19"/>
          <w:sz w:val="22"/>
        </w:rPr>
        <w:t> </w:t>
      </w:r>
      <w:r>
        <w:rPr>
          <w:sz w:val="22"/>
        </w:rPr>
        <w:t>neni;</w:t>
      </w:r>
    </w:p>
    <w:p>
      <w:pPr>
        <w:pStyle w:val="ListParagraph"/>
        <w:numPr>
          <w:ilvl w:val="0"/>
          <w:numId w:val="24"/>
        </w:numPr>
        <w:tabs>
          <w:tab w:pos="1137" w:val="left" w:leader="none"/>
        </w:tabs>
        <w:spacing w:line="240" w:lineRule="auto" w:before="1" w:after="0"/>
        <w:ind w:left="119" w:right="114" w:firstLine="720"/>
        <w:jc w:val="left"/>
        <w:rPr>
          <w:sz w:val="22"/>
        </w:rPr>
      </w:pPr>
      <w:r>
        <w:rPr>
          <w:sz w:val="22"/>
        </w:rPr>
        <w:t>secili prej anëtarëve voton, duke bërë shënimin përkatës, për një nga emrat që janë në fletëvotim;</w:t>
      </w:r>
    </w:p>
    <w:p>
      <w:pPr>
        <w:pStyle w:val="ListParagraph"/>
        <w:numPr>
          <w:ilvl w:val="0"/>
          <w:numId w:val="24"/>
        </w:numPr>
        <w:tabs>
          <w:tab w:pos="1068" w:val="left" w:leader="none"/>
        </w:tabs>
        <w:spacing w:line="252" w:lineRule="exact" w:before="0" w:after="0"/>
        <w:ind w:left="1067" w:right="0" w:hanging="229"/>
        <w:jc w:val="left"/>
        <w:rPr>
          <w:sz w:val="22"/>
        </w:rPr>
      </w:pPr>
      <w:r>
        <w:rPr>
          <w:sz w:val="22"/>
        </w:rPr>
        <w:t>anëtari që ka marrë 5 vota zgjidhet Zëvendëskryetar i</w:t>
      </w:r>
      <w:r>
        <w:rPr>
          <w:spacing w:val="-5"/>
          <w:sz w:val="22"/>
        </w:rPr>
        <w:t> </w:t>
      </w:r>
      <w:r>
        <w:rPr>
          <w:sz w:val="22"/>
        </w:rPr>
        <w:t>AMA-s;</w:t>
      </w:r>
    </w:p>
    <w:p>
      <w:pPr>
        <w:pStyle w:val="BodyText"/>
        <w:ind w:left="119" w:right="115"/>
      </w:pPr>
      <w:r>
        <w:rPr/>
        <w:t>ç) në rast se asnjë prej kandidatëve nuk ka marrë numrin e kërkuar të votave bëhet një raund i dytë votimi. Anëtari që merr më shumë vota në raundin e dytë zgjidhet Zëvendëskryetar i AMA-s.</w:t>
      </w:r>
      <w:r>
        <w:rPr>
          <w:spacing w:val="-2"/>
        </w:rPr>
        <w:t> </w:t>
      </w:r>
      <w:r>
        <w:rPr/>
        <w:t>Votimi</w:t>
      </w:r>
    </w:p>
    <w:p>
      <w:pPr>
        <w:spacing w:after="0"/>
        <w:sectPr>
          <w:pgSz w:w="12240" w:h="15840"/>
          <w:pgMar w:top="1360" w:bottom="280" w:left="1320" w:right="1320"/>
        </w:sectPr>
      </w:pPr>
    </w:p>
    <w:p>
      <w:pPr>
        <w:pStyle w:val="BodyText"/>
        <w:spacing w:line="252" w:lineRule="exact" w:before="74"/>
        <w:ind w:firstLine="0"/>
      </w:pPr>
      <w:r>
        <w:rPr/>
        <w:t>zhvillohet brenda së njëjtës ditë.</w:t>
      </w:r>
    </w:p>
    <w:p>
      <w:pPr>
        <w:pStyle w:val="ListParagraph"/>
        <w:numPr>
          <w:ilvl w:val="0"/>
          <w:numId w:val="23"/>
        </w:numPr>
        <w:tabs>
          <w:tab w:pos="1078" w:val="left" w:leader="none"/>
        </w:tabs>
        <w:spacing w:line="240" w:lineRule="auto" w:before="0" w:after="0"/>
        <w:ind w:left="120" w:right="116" w:firstLine="720"/>
        <w:jc w:val="left"/>
        <w:rPr>
          <w:sz w:val="22"/>
        </w:rPr>
      </w:pPr>
      <w:r>
        <w:rPr>
          <w:sz w:val="22"/>
        </w:rPr>
        <w:t>Mbledhja për zgjedhjen e Zëvendëskryetarit, kur mungon Kryetari, drejtohet nga anëtari më i vjetër në moshë i AMA-s dhe procedura e zgjedhjes zhvillohet në prani të një</w:t>
      </w:r>
      <w:r>
        <w:rPr>
          <w:spacing w:val="-10"/>
          <w:sz w:val="22"/>
        </w:rPr>
        <w:t> </w:t>
      </w:r>
      <w:r>
        <w:rPr>
          <w:sz w:val="22"/>
        </w:rPr>
        <w:t>noteri.</w:t>
      </w:r>
    </w:p>
    <w:p>
      <w:pPr>
        <w:pStyle w:val="BodyText"/>
        <w:spacing w:before="1"/>
        <w:ind w:left="0" w:firstLine="0"/>
      </w:pPr>
    </w:p>
    <w:p>
      <w:pPr>
        <w:pStyle w:val="BodyText"/>
        <w:ind w:left="146" w:right="146" w:firstLine="0"/>
        <w:jc w:val="center"/>
      </w:pPr>
      <w:r>
        <w:rPr/>
        <w:t>Neni 12</w:t>
      </w:r>
    </w:p>
    <w:p>
      <w:pPr>
        <w:pStyle w:val="Heading1"/>
        <w:ind w:right="144"/>
      </w:pPr>
      <w:r>
        <w:rPr/>
        <w:t>Lirimi nga detyra</w:t>
      </w:r>
    </w:p>
    <w:p>
      <w:pPr>
        <w:pStyle w:val="BodyText"/>
        <w:spacing w:before="7"/>
        <w:ind w:left="0" w:firstLine="0"/>
        <w:rPr>
          <w:b/>
          <w:sz w:val="13"/>
        </w:rPr>
      </w:pPr>
    </w:p>
    <w:p>
      <w:pPr>
        <w:spacing w:after="0"/>
        <w:rPr>
          <w:sz w:val="13"/>
        </w:rPr>
        <w:sectPr>
          <w:pgSz w:w="12240" w:h="15840"/>
          <w:pgMar w:top="1360" w:bottom="280" w:left="1320" w:right="1320"/>
        </w:sectPr>
      </w:pPr>
    </w:p>
    <w:p>
      <w:pPr>
        <w:pStyle w:val="BodyText"/>
        <w:spacing w:before="10"/>
        <w:ind w:left="0" w:firstLine="0"/>
        <w:rPr>
          <w:b/>
          <w:sz w:val="29"/>
        </w:rPr>
      </w:pPr>
    </w:p>
    <w:p>
      <w:pPr>
        <w:pStyle w:val="BodyText"/>
        <w:ind w:firstLine="0"/>
      </w:pPr>
      <w:r>
        <w:rPr/>
        <w:t>kur:</w:t>
      </w:r>
    </w:p>
    <w:p>
      <w:pPr>
        <w:pStyle w:val="ListParagraph"/>
        <w:numPr>
          <w:ilvl w:val="0"/>
          <w:numId w:val="25"/>
        </w:numPr>
        <w:tabs>
          <w:tab w:pos="356" w:val="left" w:leader="none"/>
        </w:tabs>
        <w:spacing w:line="240" w:lineRule="auto" w:before="91" w:after="0"/>
        <w:ind w:left="355" w:right="0" w:hanging="236"/>
        <w:jc w:val="left"/>
        <w:rPr>
          <w:sz w:val="22"/>
        </w:rPr>
      </w:pPr>
      <w:r>
        <w:rPr>
          <w:spacing w:val="-2"/>
          <w:w w:val="100"/>
          <w:sz w:val="22"/>
        </w:rPr>
        <w:br w:type="column"/>
      </w:r>
      <w:r>
        <w:rPr>
          <w:sz w:val="22"/>
        </w:rPr>
        <w:t>Kryetari,</w:t>
      </w:r>
      <w:r>
        <w:rPr>
          <w:spacing w:val="12"/>
          <w:sz w:val="22"/>
        </w:rPr>
        <w:t> </w:t>
      </w:r>
      <w:r>
        <w:rPr>
          <w:sz w:val="22"/>
        </w:rPr>
        <w:t>Zëvendëskryetari</w:t>
      </w:r>
      <w:r>
        <w:rPr>
          <w:spacing w:val="11"/>
          <w:sz w:val="22"/>
        </w:rPr>
        <w:t> </w:t>
      </w:r>
      <w:r>
        <w:rPr>
          <w:sz w:val="22"/>
        </w:rPr>
        <w:t>dhe</w:t>
      </w:r>
      <w:r>
        <w:rPr>
          <w:spacing w:val="13"/>
          <w:sz w:val="22"/>
        </w:rPr>
        <w:t> </w:t>
      </w:r>
      <w:r>
        <w:rPr>
          <w:sz w:val="22"/>
        </w:rPr>
        <w:t>çdo</w:t>
      </w:r>
      <w:r>
        <w:rPr>
          <w:spacing w:val="13"/>
          <w:sz w:val="22"/>
        </w:rPr>
        <w:t> </w:t>
      </w:r>
      <w:r>
        <w:rPr>
          <w:sz w:val="22"/>
        </w:rPr>
        <w:t>anëtar</w:t>
      </w:r>
      <w:r>
        <w:rPr>
          <w:spacing w:val="11"/>
          <w:sz w:val="22"/>
        </w:rPr>
        <w:t> </w:t>
      </w:r>
      <w:r>
        <w:rPr>
          <w:sz w:val="22"/>
        </w:rPr>
        <w:t>i</w:t>
      </w:r>
      <w:r>
        <w:rPr>
          <w:spacing w:val="13"/>
          <w:sz w:val="22"/>
        </w:rPr>
        <w:t> </w:t>
      </w:r>
      <w:r>
        <w:rPr>
          <w:sz w:val="22"/>
        </w:rPr>
        <w:t>AMA-s</w:t>
      </w:r>
      <w:r>
        <w:rPr>
          <w:spacing w:val="14"/>
          <w:sz w:val="22"/>
        </w:rPr>
        <w:t> </w:t>
      </w:r>
      <w:r>
        <w:rPr>
          <w:sz w:val="22"/>
        </w:rPr>
        <w:t>lirohet</w:t>
      </w:r>
      <w:r>
        <w:rPr>
          <w:spacing w:val="13"/>
          <w:sz w:val="22"/>
        </w:rPr>
        <w:t> </w:t>
      </w:r>
      <w:r>
        <w:rPr>
          <w:sz w:val="22"/>
        </w:rPr>
        <w:t>nga</w:t>
      </w:r>
      <w:r>
        <w:rPr>
          <w:spacing w:val="13"/>
          <w:sz w:val="22"/>
        </w:rPr>
        <w:t> </w:t>
      </w:r>
      <w:r>
        <w:rPr>
          <w:sz w:val="22"/>
        </w:rPr>
        <w:t>detyra</w:t>
      </w:r>
      <w:r>
        <w:rPr>
          <w:spacing w:val="14"/>
          <w:sz w:val="22"/>
        </w:rPr>
        <w:t> </w:t>
      </w:r>
      <w:r>
        <w:rPr>
          <w:sz w:val="22"/>
        </w:rPr>
        <w:t>nga</w:t>
      </w:r>
      <w:r>
        <w:rPr>
          <w:spacing w:val="13"/>
          <w:sz w:val="22"/>
        </w:rPr>
        <w:t> </w:t>
      </w:r>
      <w:r>
        <w:rPr>
          <w:sz w:val="22"/>
        </w:rPr>
        <w:t>organi</w:t>
      </w:r>
      <w:r>
        <w:rPr>
          <w:spacing w:val="13"/>
          <w:sz w:val="22"/>
        </w:rPr>
        <w:t> </w:t>
      </w:r>
      <w:r>
        <w:rPr>
          <w:sz w:val="22"/>
        </w:rPr>
        <w:t>që</w:t>
      </w:r>
      <w:r>
        <w:rPr>
          <w:spacing w:val="14"/>
          <w:sz w:val="22"/>
        </w:rPr>
        <w:t> </w:t>
      </w:r>
      <w:r>
        <w:rPr>
          <w:sz w:val="22"/>
        </w:rPr>
        <w:t>e</w:t>
      </w:r>
      <w:r>
        <w:rPr>
          <w:spacing w:val="13"/>
          <w:sz w:val="22"/>
        </w:rPr>
        <w:t> </w:t>
      </w:r>
      <w:r>
        <w:rPr>
          <w:sz w:val="22"/>
        </w:rPr>
        <w:t>zgjedh</w:t>
      </w:r>
    </w:p>
    <w:p>
      <w:pPr>
        <w:pStyle w:val="BodyText"/>
        <w:spacing w:before="1"/>
        <w:ind w:left="0" w:firstLine="0"/>
      </w:pPr>
    </w:p>
    <w:p>
      <w:pPr>
        <w:pStyle w:val="ListParagraph"/>
        <w:numPr>
          <w:ilvl w:val="0"/>
          <w:numId w:val="26"/>
        </w:numPr>
        <w:tabs>
          <w:tab w:pos="349" w:val="left" w:leader="none"/>
        </w:tabs>
        <w:spacing w:line="252" w:lineRule="exact" w:before="0" w:after="0"/>
        <w:ind w:left="348" w:right="0" w:hanging="229"/>
        <w:jc w:val="left"/>
        <w:rPr>
          <w:sz w:val="22"/>
        </w:rPr>
      </w:pPr>
      <w:r>
        <w:rPr>
          <w:sz w:val="22"/>
        </w:rPr>
        <w:t>dënohet nga gjykata me vendim të formës së prerë për kryerjen e një vepre</w:t>
      </w:r>
      <w:r>
        <w:rPr>
          <w:spacing w:val="-14"/>
          <w:sz w:val="22"/>
        </w:rPr>
        <w:t> </w:t>
      </w:r>
      <w:r>
        <w:rPr>
          <w:sz w:val="22"/>
        </w:rPr>
        <w:t>penale;</w:t>
      </w:r>
    </w:p>
    <w:p>
      <w:pPr>
        <w:pStyle w:val="ListParagraph"/>
        <w:numPr>
          <w:ilvl w:val="0"/>
          <w:numId w:val="26"/>
        </w:numPr>
        <w:tabs>
          <w:tab w:pos="361" w:val="left" w:leader="none"/>
        </w:tabs>
        <w:spacing w:line="252" w:lineRule="exact" w:before="0" w:after="0"/>
        <w:ind w:left="360" w:right="0" w:hanging="241"/>
        <w:jc w:val="left"/>
        <w:rPr>
          <w:sz w:val="22"/>
        </w:rPr>
      </w:pPr>
      <w:r>
        <w:rPr>
          <w:sz w:val="22"/>
        </w:rPr>
        <w:t>bëhet i paaftë përgjithmonë për kryerjen e detyrës për shkaqe</w:t>
      </w:r>
      <w:r>
        <w:rPr>
          <w:spacing w:val="-7"/>
          <w:sz w:val="22"/>
        </w:rPr>
        <w:t> </w:t>
      </w:r>
      <w:r>
        <w:rPr>
          <w:sz w:val="22"/>
        </w:rPr>
        <w:t>shëndetësore;</w:t>
      </w:r>
    </w:p>
    <w:p>
      <w:pPr>
        <w:pStyle w:val="ListParagraph"/>
        <w:numPr>
          <w:ilvl w:val="0"/>
          <w:numId w:val="26"/>
        </w:numPr>
        <w:tabs>
          <w:tab w:pos="404" w:val="left" w:leader="none"/>
        </w:tabs>
        <w:spacing w:line="240" w:lineRule="auto" w:before="0" w:after="0"/>
        <w:ind w:left="120" w:right="968" w:firstLine="0"/>
        <w:jc w:val="left"/>
        <w:rPr>
          <w:sz w:val="22"/>
        </w:rPr>
      </w:pPr>
      <w:r>
        <w:rPr>
          <w:sz w:val="22"/>
        </w:rPr>
        <w:t>mungon pa arsye në më shumë se një të tretën e mbledhjeve të AMA-s, brenda 1</w:t>
      </w:r>
      <w:r>
        <w:rPr>
          <w:spacing w:val="-27"/>
          <w:sz w:val="22"/>
        </w:rPr>
        <w:t> </w:t>
      </w:r>
      <w:r>
        <w:rPr>
          <w:sz w:val="22"/>
        </w:rPr>
        <w:t>viti; ç) vërtetohet se janë shkelur detyrimet e nenit 7 të këtij</w:t>
      </w:r>
      <w:r>
        <w:rPr>
          <w:spacing w:val="-10"/>
          <w:sz w:val="22"/>
        </w:rPr>
        <w:t> </w:t>
      </w:r>
      <w:r>
        <w:rPr>
          <w:sz w:val="22"/>
        </w:rPr>
        <w:t>ligji;</w:t>
      </w:r>
    </w:p>
    <w:p>
      <w:pPr>
        <w:pStyle w:val="ListParagraph"/>
        <w:numPr>
          <w:ilvl w:val="0"/>
          <w:numId w:val="26"/>
        </w:numPr>
        <w:tabs>
          <w:tab w:pos="361" w:val="left" w:leader="none"/>
        </w:tabs>
        <w:spacing w:line="240" w:lineRule="auto" w:before="0" w:after="0"/>
        <w:ind w:left="120" w:right="5957" w:firstLine="0"/>
        <w:jc w:val="left"/>
        <w:rPr>
          <w:sz w:val="22"/>
        </w:rPr>
      </w:pPr>
      <w:r>
        <w:rPr>
          <w:sz w:val="22"/>
        </w:rPr>
        <w:t>i hiqet zotësia për të vepruar; dh) jep</w:t>
      </w:r>
      <w:r>
        <w:rPr>
          <w:spacing w:val="-3"/>
          <w:sz w:val="22"/>
        </w:rPr>
        <w:t> </w:t>
      </w:r>
      <w:r>
        <w:rPr>
          <w:sz w:val="22"/>
        </w:rPr>
        <w:t>dorëheqjen.</w:t>
      </w:r>
    </w:p>
    <w:p>
      <w:pPr>
        <w:pStyle w:val="ListParagraph"/>
        <w:numPr>
          <w:ilvl w:val="0"/>
          <w:numId w:val="25"/>
        </w:numPr>
        <w:tabs>
          <w:tab w:pos="376" w:val="left" w:leader="none"/>
        </w:tabs>
        <w:spacing w:line="240" w:lineRule="auto" w:before="0" w:after="0"/>
        <w:ind w:left="375" w:right="0" w:hanging="256"/>
        <w:jc w:val="left"/>
        <w:rPr>
          <w:sz w:val="22"/>
        </w:rPr>
      </w:pPr>
      <w:r>
        <w:rPr>
          <w:sz w:val="22"/>
        </w:rPr>
        <w:t>Lirimi nga detyra i një anëtari të AMA-s mund të kërkohet nga Komisioni i Edukimit</w:t>
      </w:r>
      <w:r>
        <w:rPr>
          <w:spacing w:val="-20"/>
          <w:sz w:val="22"/>
        </w:rPr>
        <w:t> </w:t>
      </w:r>
      <w:r>
        <w:rPr>
          <w:sz w:val="22"/>
        </w:rPr>
        <w:t>dhe</w:t>
      </w:r>
    </w:p>
    <w:p>
      <w:pPr>
        <w:spacing w:after="0" w:line="240" w:lineRule="auto"/>
        <w:jc w:val="left"/>
        <w:rPr>
          <w:sz w:val="22"/>
        </w:rPr>
        <w:sectPr>
          <w:type w:val="continuous"/>
          <w:pgSz w:w="12240" w:h="15840"/>
          <w:pgMar w:top="1360" w:bottom="280" w:left="1320" w:right="1320"/>
          <w:cols w:num="2" w:equalWidth="0">
            <w:col w:w="515" w:space="205"/>
            <w:col w:w="8880"/>
          </w:cols>
        </w:sectPr>
      </w:pPr>
    </w:p>
    <w:p>
      <w:pPr>
        <w:pStyle w:val="BodyText"/>
        <w:spacing w:before="1"/>
        <w:ind w:right="114" w:firstLine="0"/>
        <w:jc w:val="both"/>
      </w:pPr>
      <w:r>
        <w:rPr/>
        <w:t>Mjetet e Informimit Publik ose nga jo më pak se 5 anëtarë të AMA-s. Kuvendi e shqyrton kërkesën brenda 10</w:t>
      </w:r>
      <w:r>
        <w:rPr>
          <w:spacing w:val="-1"/>
        </w:rPr>
        <w:t> </w:t>
      </w:r>
      <w:r>
        <w:rPr/>
        <w:t>ditëve.</w:t>
      </w:r>
    </w:p>
    <w:p>
      <w:pPr>
        <w:pStyle w:val="ListParagraph"/>
        <w:numPr>
          <w:ilvl w:val="0"/>
          <w:numId w:val="25"/>
        </w:numPr>
        <w:tabs>
          <w:tab w:pos="1074" w:val="left" w:leader="none"/>
        </w:tabs>
        <w:spacing w:line="240" w:lineRule="auto" w:before="0" w:after="0"/>
        <w:ind w:left="120" w:right="112" w:firstLine="720"/>
        <w:jc w:val="both"/>
        <w:rPr>
          <w:sz w:val="22"/>
        </w:rPr>
      </w:pPr>
      <w:r>
        <w:rPr>
          <w:sz w:val="22"/>
        </w:rPr>
        <w:t>Para se të lirohet një anëtar i AMA-s, atij i jepet mundësia për të parashtruar pretendimet e tij para Komisionit të Edukimit dhe Mjeteve të Informimit Publik. Vendimi për të liruar Kryetarin, Zëvendëskryetarin, një anëtar ose më shumë se një anëtar duhet të jetë i bazuar në ligj dhe i arsyetuar për shkaqet që çojnë në lirimin e tyre. Vendimi i Kuvendit</w:t>
      </w:r>
      <w:r>
        <w:rPr>
          <w:spacing w:val="-7"/>
          <w:sz w:val="22"/>
        </w:rPr>
        <w:t> </w:t>
      </w:r>
      <w:r>
        <w:rPr>
          <w:sz w:val="22"/>
        </w:rPr>
        <w:t>publikohet.</w:t>
      </w:r>
    </w:p>
    <w:p>
      <w:pPr>
        <w:pStyle w:val="ListParagraph"/>
        <w:numPr>
          <w:ilvl w:val="0"/>
          <w:numId w:val="25"/>
        </w:numPr>
        <w:tabs>
          <w:tab w:pos="1062" w:val="left" w:leader="none"/>
        </w:tabs>
        <w:spacing w:line="240" w:lineRule="auto" w:before="0" w:after="0"/>
        <w:ind w:left="120" w:right="116" w:firstLine="720"/>
        <w:jc w:val="left"/>
        <w:rPr>
          <w:sz w:val="22"/>
        </w:rPr>
      </w:pPr>
      <w:r>
        <w:rPr>
          <w:sz w:val="22"/>
        </w:rPr>
        <w:t>Kryetari, Zëvendëskryetari dhe çdo anëtar i AMA-s mund të japë dorëheqjen me shkrim në çdo kohë. Dorëheqja i paraqitet AMA-s në mbledhjen e radhës dhe i dërgohet Kuvendit sa më</w:t>
      </w:r>
      <w:r>
        <w:rPr>
          <w:spacing w:val="-12"/>
          <w:sz w:val="22"/>
        </w:rPr>
        <w:t> </w:t>
      </w:r>
      <w:r>
        <w:rPr>
          <w:sz w:val="22"/>
        </w:rPr>
        <w:t>parë.</w:t>
      </w:r>
    </w:p>
    <w:p>
      <w:pPr>
        <w:pStyle w:val="ListParagraph"/>
        <w:numPr>
          <w:ilvl w:val="0"/>
          <w:numId w:val="25"/>
        </w:numPr>
        <w:tabs>
          <w:tab w:pos="1103" w:val="left" w:leader="none"/>
        </w:tabs>
        <w:spacing w:line="240" w:lineRule="auto" w:before="0" w:after="0"/>
        <w:ind w:left="120" w:right="120" w:firstLine="720"/>
        <w:jc w:val="left"/>
        <w:rPr>
          <w:sz w:val="22"/>
        </w:rPr>
      </w:pPr>
      <w:r>
        <w:rPr>
          <w:sz w:val="22"/>
        </w:rPr>
        <w:t>Kur konstatohet njëri nga rastet e përcaktuara në pikën 1 të këtij neni, Kryetari i AMA-s njofton me shkrim brenda 5 ditëve</w:t>
      </w:r>
      <w:r>
        <w:rPr>
          <w:spacing w:val="-10"/>
          <w:sz w:val="22"/>
        </w:rPr>
        <w:t> </w:t>
      </w:r>
      <w:r>
        <w:rPr>
          <w:sz w:val="22"/>
        </w:rPr>
        <w:t>Kuvendin.</w:t>
      </w:r>
    </w:p>
    <w:p>
      <w:pPr>
        <w:pStyle w:val="ListParagraph"/>
        <w:numPr>
          <w:ilvl w:val="0"/>
          <w:numId w:val="25"/>
        </w:numPr>
        <w:tabs>
          <w:tab w:pos="1120" w:val="left" w:leader="none"/>
        </w:tabs>
        <w:spacing w:line="240" w:lineRule="auto" w:before="0" w:after="0"/>
        <w:ind w:left="120" w:right="114" w:firstLine="720"/>
        <w:jc w:val="left"/>
        <w:rPr>
          <w:sz w:val="22"/>
        </w:rPr>
      </w:pPr>
      <w:r>
        <w:rPr>
          <w:sz w:val="22"/>
        </w:rPr>
        <w:t>Në çdo rast lirimi zgjidhet një zëvendësues, duke ndjekur procedurën e parashikuar për zgjedhjen dhe për një kohë të barabartë me kohën që i kishte mbetur pararendësit që u</w:t>
      </w:r>
      <w:r>
        <w:rPr>
          <w:spacing w:val="-16"/>
          <w:sz w:val="22"/>
        </w:rPr>
        <w:t> </w:t>
      </w:r>
      <w:r>
        <w:rPr>
          <w:sz w:val="22"/>
        </w:rPr>
        <w:t>lirua.</w:t>
      </w:r>
    </w:p>
    <w:p>
      <w:pPr>
        <w:pStyle w:val="BodyText"/>
        <w:spacing w:before="10"/>
        <w:ind w:left="0" w:firstLine="0"/>
        <w:rPr>
          <w:sz w:val="21"/>
        </w:rPr>
      </w:pPr>
    </w:p>
    <w:p>
      <w:pPr>
        <w:pStyle w:val="BodyText"/>
        <w:ind w:left="146" w:right="145" w:firstLine="0"/>
        <w:jc w:val="center"/>
      </w:pPr>
      <w:r>
        <w:rPr/>
        <w:t>Neni 13</w:t>
      </w:r>
    </w:p>
    <w:p>
      <w:pPr>
        <w:pStyle w:val="Heading1"/>
        <w:ind w:right="143"/>
      </w:pPr>
      <w:r>
        <w:rPr/>
        <w:t>Kuorumi dhe vendimmarrja</w:t>
      </w:r>
    </w:p>
    <w:p>
      <w:pPr>
        <w:pStyle w:val="BodyText"/>
        <w:spacing w:before="7"/>
        <w:ind w:left="0" w:firstLine="0"/>
        <w:rPr>
          <w:b/>
          <w:sz w:val="21"/>
        </w:rPr>
      </w:pPr>
    </w:p>
    <w:p>
      <w:pPr>
        <w:pStyle w:val="ListParagraph"/>
        <w:numPr>
          <w:ilvl w:val="0"/>
          <w:numId w:val="27"/>
        </w:numPr>
        <w:tabs>
          <w:tab w:pos="1062" w:val="left" w:leader="none"/>
        </w:tabs>
        <w:spacing w:line="252" w:lineRule="exact" w:before="0" w:after="0"/>
        <w:ind w:left="1061" w:right="0" w:hanging="222"/>
        <w:jc w:val="both"/>
        <w:rPr>
          <w:sz w:val="22"/>
        </w:rPr>
      </w:pPr>
      <w:r>
        <w:rPr>
          <w:sz w:val="22"/>
        </w:rPr>
        <w:t>Mbledhjet e AMA-s janë të vlefshme kur në to marrin pjesë jo më pak se 4</w:t>
      </w:r>
      <w:r>
        <w:rPr>
          <w:spacing w:val="-12"/>
          <w:sz w:val="22"/>
        </w:rPr>
        <w:t> </w:t>
      </w:r>
      <w:r>
        <w:rPr>
          <w:sz w:val="22"/>
        </w:rPr>
        <w:t>anëtarë.</w:t>
      </w:r>
    </w:p>
    <w:p>
      <w:pPr>
        <w:pStyle w:val="ListParagraph"/>
        <w:numPr>
          <w:ilvl w:val="0"/>
          <w:numId w:val="27"/>
        </w:numPr>
        <w:tabs>
          <w:tab w:pos="1103" w:val="left" w:leader="none"/>
        </w:tabs>
        <w:spacing w:line="240" w:lineRule="auto" w:before="0" w:after="0"/>
        <w:ind w:left="120" w:right="118" w:firstLine="720"/>
        <w:jc w:val="both"/>
        <w:rPr>
          <w:sz w:val="22"/>
        </w:rPr>
      </w:pPr>
      <w:r>
        <w:rPr>
          <w:sz w:val="22"/>
        </w:rPr>
        <w:t>Vendimet e AMA-s merren kur për to votojnë pro shumica e anëtarëve të pranishëm, me përjashtim të rasteve të parashikuara ndryshe në këtë</w:t>
      </w:r>
      <w:r>
        <w:rPr>
          <w:spacing w:val="-9"/>
          <w:sz w:val="22"/>
        </w:rPr>
        <w:t> </w:t>
      </w:r>
      <w:r>
        <w:rPr>
          <w:sz w:val="22"/>
        </w:rPr>
        <w:t>ligj.</w:t>
      </w:r>
    </w:p>
    <w:p>
      <w:pPr>
        <w:pStyle w:val="ListParagraph"/>
        <w:numPr>
          <w:ilvl w:val="0"/>
          <w:numId w:val="27"/>
        </w:numPr>
        <w:tabs>
          <w:tab w:pos="1065" w:val="left" w:leader="none"/>
        </w:tabs>
        <w:spacing w:line="240" w:lineRule="auto" w:before="0" w:after="0"/>
        <w:ind w:left="120" w:right="113" w:firstLine="720"/>
        <w:jc w:val="both"/>
        <w:rPr>
          <w:sz w:val="22"/>
        </w:rPr>
      </w:pPr>
      <w:r>
        <w:rPr>
          <w:sz w:val="22"/>
        </w:rPr>
        <w:t>Mbledhjet e AMA-s mbahen sipas rregullores së brendshme dhe thirren në bazë të programit të miratuar paraprakisht nga Kryetari ose të paktën 3</w:t>
      </w:r>
      <w:r>
        <w:rPr>
          <w:spacing w:val="-11"/>
          <w:sz w:val="22"/>
        </w:rPr>
        <w:t> </w:t>
      </w:r>
      <w:r>
        <w:rPr>
          <w:sz w:val="22"/>
        </w:rPr>
        <w:t>anëtarë.</w:t>
      </w:r>
    </w:p>
    <w:p>
      <w:pPr>
        <w:pStyle w:val="ListParagraph"/>
        <w:numPr>
          <w:ilvl w:val="0"/>
          <w:numId w:val="27"/>
        </w:numPr>
        <w:tabs>
          <w:tab w:pos="1098" w:val="left" w:leader="none"/>
        </w:tabs>
        <w:spacing w:line="240" w:lineRule="auto" w:before="0" w:after="0"/>
        <w:ind w:left="120" w:right="116" w:firstLine="720"/>
        <w:jc w:val="both"/>
        <w:rPr>
          <w:sz w:val="22"/>
        </w:rPr>
      </w:pPr>
      <w:r>
        <w:rPr>
          <w:sz w:val="22"/>
        </w:rPr>
        <w:t>Në rastet kur rezultati i votimit është i barabartë dhe votimi nuk ka qenë i fshehtë, vota e Kryetarit është</w:t>
      </w:r>
      <w:r>
        <w:rPr>
          <w:spacing w:val="-3"/>
          <w:sz w:val="22"/>
        </w:rPr>
        <w:t> </w:t>
      </w:r>
      <w:r>
        <w:rPr>
          <w:sz w:val="22"/>
        </w:rPr>
        <w:t>vendimtare.</w:t>
      </w:r>
    </w:p>
    <w:p>
      <w:pPr>
        <w:pStyle w:val="ListParagraph"/>
        <w:numPr>
          <w:ilvl w:val="0"/>
          <w:numId w:val="27"/>
        </w:numPr>
        <w:tabs>
          <w:tab w:pos="1065" w:val="left" w:leader="none"/>
        </w:tabs>
        <w:spacing w:line="240" w:lineRule="auto" w:before="1" w:after="0"/>
        <w:ind w:left="120" w:right="112" w:firstLine="720"/>
        <w:jc w:val="both"/>
        <w:rPr>
          <w:sz w:val="22"/>
        </w:rPr>
      </w:pPr>
      <w:r>
        <w:rPr>
          <w:sz w:val="22"/>
        </w:rPr>
        <w:t>Procedurat e vendimmarrjes, zbatimi i tyre dhe thirrja e mbledhjeve jashtë radhe hartohen sipas dispozitave të ligjit nr. 8480, datë 27.5.1999 “Për funksionimin e organeve kolegjiale të administratës shtetërore dhe enteve publike” dhe janë pjesë e rregullores së brendshme. Rregullorja propozohet nga Kryetari dhe miratohet nga AMA me shumicë të</w:t>
      </w:r>
      <w:r>
        <w:rPr>
          <w:spacing w:val="-3"/>
          <w:sz w:val="22"/>
        </w:rPr>
        <w:t> </w:t>
      </w:r>
      <w:r>
        <w:rPr>
          <w:sz w:val="22"/>
        </w:rPr>
        <w:t>cilësuar.</w:t>
      </w:r>
    </w:p>
    <w:p>
      <w:pPr>
        <w:pStyle w:val="BodyText"/>
        <w:spacing w:before="11"/>
        <w:ind w:left="0" w:firstLine="0"/>
        <w:rPr>
          <w:sz w:val="21"/>
        </w:rPr>
      </w:pPr>
    </w:p>
    <w:p>
      <w:pPr>
        <w:pStyle w:val="BodyText"/>
        <w:ind w:left="146" w:right="145" w:firstLine="0"/>
        <w:jc w:val="center"/>
      </w:pPr>
      <w:r>
        <w:rPr/>
        <w:t>Neni</w:t>
      </w:r>
      <w:r>
        <w:rPr>
          <w:spacing w:val="1"/>
        </w:rPr>
        <w:t> </w:t>
      </w:r>
      <w:r>
        <w:rPr/>
        <w:t>14</w:t>
      </w:r>
    </w:p>
    <w:p>
      <w:pPr>
        <w:pStyle w:val="Heading1"/>
        <w:ind w:right="143"/>
      </w:pPr>
      <w:r>
        <w:rPr/>
        <w:t>Kompetencat e Kryetarit të AMA-s</w:t>
      </w:r>
    </w:p>
    <w:p>
      <w:pPr>
        <w:pStyle w:val="BodyText"/>
        <w:spacing w:before="7"/>
        <w:ind w:left="0" w:firstLine="0"/>
        <w:rPr>
          <w:b/>
          <w:sz w:val="21"/>
        </w:rPr>
      </w:pPr>
    </w:p>
    <w:p>
      <w:pPr>
        <w:pStyle w:val="ListParagraph"/>
        <w:numPr>
          <w:ilvl w:val="0"/>
          <w:numId w:val="28"/>
        </w:numPr>
        <w:tabs>
          <w:tab w:pos="1062" w:val="left" w:leader="none"/>
        </w:tabs>
        <w:spacing w:line="240" w:lineRule="auto" w:before="0" w:after="0"/>
        <w:ind w:left="120" w:right="114" w:firstLine="720"/>
        <w:jc w:val="left"/>
        <w:rPr>
          <w:sz w:val="22"/>
        </w:rPr>
      </w:pPr>
      <w:r>
        <w:rPr>
          <w:sz w:val="22"/>
        </w:rPr>
        <w:t>Kryetari është drejtues i AMA-s dhe ka përgjegjësi, sipas përcaktimeve të nenit 8 të ligjit nr. 10 296, datë 8.7.2010 “Për menaxhimin financiar dhe</w:t>
      </w:r>
      <w:r>
        <w:rPr>
          <w:spacing w:val="-2"/>
          <w:sz w:val="22"/>
        </w:rPr>
        <w:t> </w:t>
      </w:r>
      <w:r>
        <w:rPr>
          <w:sz w:val="22"/>
        </w:rPr>
        <w:t>kontrollin”.</w:t>
      </w:r>
    </w:p>
    <w:p>
      <w:pPr>
        <w:pStyle w:val="ListParagraph"/>
        <w:numPr>
          <w:ilvl w:val="0"/>
          <w:numId w:val="28"/>
        </w:numPr>
        <w:tabs>
          <w:tab w:pos="1062" w:val="left" w:leader="none"/>
        </w:tabs>
        <w:spacing w:line="252" w:lineRule="exact" w:before="0" w:after="0"/>
        <w:ind w:left="1061" w:right="0" w:hanging="222"/>
        <w:jc w:val="left"/>
        <w:rPr>
          <w:sz w:val="22"/>
        </w:rPr>
      </w:pPr>
      <w:r>
        <w:rPr>
          <w:sz w:val="22"/>
        </w:rPr>
        <w:t>Kryetari ushtron këto detyra kryesore:</w:t>
      </w:r>
    </w:p>
    <w:p>
      <w:pPr>
        <w:pStyle w:val="ListParagraph"/>
        <w:numPr>
          <w:ilvl w:val="0"/>
          <w:numId w:val="29"/>
        </w:numPr>
        <w:tabs>
          <w:tab w:pos="1076" w:val="left" w:leader="none"/>
        </w:tabs>
        <w:spacing w:line="252" w:lineRule="exact" w:before="0" w:after="0"/>
        <w:ind w:left="1075" w:right="0" w:hanging="236"/>
        <w:jc w:val="left"/>
        <w:rPr>
          <w:sz w:val="22"/>
        </w:rPr>
      </w:pPr>
      <w:r>
        <w:rPr>
          <w:sz w:val="22"/>
        </w:rPr>
        <w:t>organizon, bashkërendon e drejton mbledhjet dhe veprimtarinë e AMA-s. Në bashkëpunim</w:t>
      </w:r>
      <w:r>
        <w:rPr>
          <w:spacing w:val="2"/>
          <w:sz w:val="22"/>
        </w:rPr>
        <w:t> </w:t>
      </w:r>
      <w:r>
        <w:rPr>
          <w:sz w:val="22"/>
        </w:rPr>
        <w:t>me</w:t>
      </w:r>
    </w:p>
    <w:p>
      <w:pPr>
        <w:spacing w:after="0" w:line="252" w:lineRule="exact"/>
        <w:jc w:val="left"/>
        <w:rPr>
          <w:sz w:val="22"/>
        </w:rPr>
        <w:sectPr>
          <w:type w:val="continuous"/>
          <w:pgSz w:w="12240" w:h="15840"/>
          <w:pgMar w:top="1360" w:bottom="280" w:left="1320" w:right="1320"/>
        </w:sectPr>
      </w:pPr>
    </w:p>
    <w:p>
      <w:pPr>
        <w:pStyle w:val="BodyText"/>
        <w:spacing w:before="74"/>
        <w:ind w:firstLine="0"/>
      </w:pPr>
      <w:r>
        <w:rPr/>
        <w:t>sekretarin e përgjithshëm, drejton veprimtarinë e administratës së AMA-s, në përputhje me këtë ligj dhe rregulloret e AMA-s;</w:t>
      </w:r>
    </w:p>
    <w:p>
      <w:pPr>
        <w:pStyle w:val="ListParagraph"/>
        <w:numPr>
          <w:ilvl w:val="0"/>
          <w:numId w:val="29"/>
        </w:numPr>
        <w:tabs>
          <w:tab w:pos="1097" w:val="left" w:leader="none"/>
        </w:tabs>
        <w:spacing w:line="240" w:lineRule="auto" w:before="0" w:after="0"/>
        <w:ind w:left="120" w:right="114" w:firstLine="720"/>
        <w:jc w:val="left"/>
        <w:rPr>
          <w:sz w:val="22"/>
        </w:rPr>
      </w:pPr>
      <w:r>
        <w:rPr>
          <w:sz w:val="22"/>
        </w:rPr>
        <w:t>i propozon AMA-s tematikën e mbledhjeve, rendin e ditës, problemet që do të shqyrtohen së bashku me projektvendimet e relacionet</w:t>
      </w:r>
      <w:r>
        <w:rPr>
          <w:spacing w:val="-2"/>
          <w:sz w:val="22"/>
        </w:rPr>
        <w:t> </w:t>
      </w:r>
      <w:r>
        <w:rPr>
          <w:sz w:val="22"/>
        </w:rPr>
        <w:t>përkatëse;</w:t>
      </w:r>
    </w:p>
    <w:p>
      <w:pPr>
        <w:pStyle w:val="ListParagraph"/>
        <w:numPr>
          <w:ilvl w:val="0"/>
          <w:numId w:val="29"/>
        </w:numPr>
        <w:tabs>
          <w:tab w:pos="1069" w:val="left" w:leader="none"/>
        </w:tabs>
        <w:spacing w:line="240" w:lineRule="auto" w:before="0" w:after="0"/>
        <w:ind w:left="840" w:right="1124" w:firstLine="0"/>
        <w:jc w:val="left"/>
        <w:rPr>
          <w:sz w:val="22"/>
        </w:rPr>
      </w:pPr>
      <w:r>
        <w:rPr>
          <w:sz w:val="22"/>
        </w:rPr>
        <w:t>përfaqëson AMA-n në marrëdhëniet me të tretët dhe me organizatat ndërkombëtare; ç) raporton në Kuvend për veprimtarinë vjetore të</w:t>
      </w:r>
      <w:r>
        <w:rPr>
          <w:spacing w:val="-10"/>
          <w:sz w:val="22"/>
        </w:rPr>
        <w:t> </w:t>
      </w:r>
      <w:r>
        <w:rPr>
          <w:sz w:val="22"/>
        </w:rPr>
        <w:t>AMA-s.</w:t>
      </w:r>
    </w:p>
    <w:p>
      <w:pPr>
        <w:pStyle w:val="ListParagraph"/>
        <w:numPr>
          <w:ilvl w:val="0"/>
          <w:numId w:val="28"/>
        </w:numPr>
        <w:tabs>
          <w:tab w:pos="1061" w:val="left" w:leader="none"/>
        </w:tabs>
        <w:spacing w:line="242" w:lineRule="auto" w:before="0" w:after="0"/>
        <w:ind w:left="120" w:right="113" w:firstLine="720"/>
        <w:jc w:val="left"/>
        <w:rPr>
          <w:sz w:val="22"/>
        </w:rPr>
      </w:pPr>
      <w:r>
        <w:rPr>
          <w:sz w:val="22"/>
        </w:rPr>
        <w:t>Në zbatim të detyrave të veta, Kryetari nxjerr urdhra dhe udhëzime në përputhje me rregulloren e</w:t>
      </w:r>
      <w:r>
        <w:rPr>
          <w:spacing w:val="-1"/>
          <w:sz w:val="22"/>
        </w:rPr>
        <w:t> </w:t>
      </w:r>
      <w:r>
        <w:rPr>
          <w:sz w:val="22"/>
        </w:rPr>
        <w:t>brendshme.</w:t>
      </w:r>
    </w:p>
    <w:p>
      <w:pPr>
        <w:pStyle w:val="ListParagraph"/>
        <w:numPr>
          <w:ilvl w:val="0"/>
          <w:numId w:val="28"/>
        </w:numPr>
        <w:tabs>
          <w:tab w:pos="1061" w:val="left" w:leader="none"/>
        </w:tabs>
        <w:spacing w:line="248" w:lineRule="exact" w:before="0" w:after="0"/>
        <w:ind w:left="1060" w:right="0" w:hanging="221"/>
        <w:jc w:val="left"/>
        <w:rPr>
          <w:sz w:val="22"/>
        </w:rPr>
      </w:pPr>
      <w:r>
        <w:rPr>
          <w:sz w:val="22"/>
        </w:rPr>
        <w:t>Në mungesë të Kryetarit ose në bazë të delegimit, funksionet e tij i kryen</w:t>
      </w:r>
      <w:r>
        <w:rPr>
          <w:spacing w:val="-19"/>
          <w:sz w:val="22"/>
        </w:rPr>
        <w:t> </w:t>
      </w:r>
      <w:r>
        <w:rPr>
          <w:sz w:val="22"/>
        </w:rPr>
        <w:t>Zëvendëskryetari.</w:t>
      </w:r>
    </w:p>
    <w:p>
      <w:pPr>
        <w:pStyle w:val="BodyText"/>
        <w:spacing w:before="10"/>
        <w:ind w:left="0" w:firstLine="0"/>
        <w:rPr>
          <w:sz w:val="21"/>
        </w:rPr>
      </w:pPr>
    </w:p>
    <w:p>
      <w:pPr>
        <w:pStyle w:val="BodyText"/>
        <w:ind w:left="146" w:right="146" w:firstLine="0"/>
        <w:jc w:val="center"/>
      </w:pPr>
      <w:r>
        <w:rPr/>
        <w:t>Neni 15</w:t>
      </w:r>
    </w:p>
    <w:p>
      <w:pPr>
        <w:pStyle w:val="Heading1"/>
      </w:pPr>
      <w:r>
        <w:rPr/>
        <w:t>Organizimi dhe administrata e AMA-s</w:t>
      </w:r>
    </w:p>
    <w:p>
      <w:pPr>
        <w:pStyle w:val="BodyText"/>
        <w:spacing w:before="7"/>
        <w:ind w:left="0" w:firstLine="0"/>
        <w:rPr>
          <w:b/>
          <w:sz w:val="21"/>
        </w:rPr>
      </w:pPr>
    </w:p>
    <w:p>
      <w:pPr>
        <w:pStyle w:val="ListParagraph"/>
        <w:numPr>
          <w:ilvl w:val="0"/>
          <w:numId w:val="30"/>
        </w:numPr>
        <w:tabs>
          <w:tab w:pos="1092" w:val="left" w:leader="none"/>
        </w:tabs>
        <w:spacing w:line="240" w:lineRule="auto" w:before="0" w:after="0"/>
        <w:ind w:left="120" w:right="116" w:firstLine="720"/>
        <w:jc w:val="both"/>
        <w:rPr>
          <w:sz w:val="22"/>
        </w:rPr>
      </w:pPr>
      <w:r>
        <w:rPr>
          <w:sz w:val="22"/>
        </w:rPr>
        <w:t>Pranë AMA-s vepron administrata e saj, e cila realizon të gjithë veprimtarinë e nevojshme, përgatitore e administrative. Kriteret e punësimit dhe ngritjes në detyrë bëhen nga AMA, sipas përcaktimeve të ligjit nr. 8549, dt. 11.11.1999 “Statusi i nëpunësit</w:t>
      </w:r>
      <w:r>
        <w:rPr>
          <w:spacing w:val="-7"/>
          <w:sz w:val="22"/>
        </w:rPr>
        <w:t> </w:t>
      </w:r>
      <w:r>
        <w:rPr>
          <w:sz w:val="22"/>
        </w:rPr>
        <w:t>civil”.</w:t>
      </w:r>
    </w:p>
    <w:p>
      <w:pPr>
        <w:pStyle w:val="ListParagraph"/>
        <w:numPr>
          <w:ilvl w:val="0"/>
          <w:numId w:val="30"/>
        </w:numPr>
        <w:tabs>
          <w:tab w:pos="1061" w:val="left" w:leader="none"/>
        </w:tabs>
        <w:spacing w:line="252" w:lineRule="exact" w:before="1" w:after="0"/>
        <w:ind w:left="1060" w:right="0" w:hanging="221"/>
        <w:jc w:val="both"/>
        <w:rPr>
          <w:sz w:val="22"/>
        </w:rPr>
      </w:pPr>
      <w:r>
        <w:rPr>
          <w:sz w:val="22"/>
        </w:rPr>
        <w:t>Struktura dhe organika e AMA-s propozohen nga ky institucion dhe miratohen nga</w:t>
      </w:r>
      <w:r>
        <w:rPr>
          <w:spacing w:val="-15"/>
          <w:sz w:val="22"/>
        </w:rPr>
        <w:t> </w:t>
      </w:r>
      <w:r>
        <w:rPr>
          <w:sz w:val="22"/>
        </w:rPr>
        <w:t>Kuvendi.</w:t>
      </w:r>
    </w:p>
    <w:p>
      <w:pPr>
        <w:pStyle w:val="ListParagraph"/>
        <w:numPr>
          <w:ilvl w:val="0"/>
          <w:numId w:val="30"/>
        </w:numPr>
        <w:tabs>
          <w:tab w:pos="1061" w:val="left" w:leader="none"/>
        </w:tabs>
        <w:spacing w:line="252" w:lineRule="exact" w:before="0" w:after="0"/>
        <w:ind w:left="1060" w:right="0" w:hanging="221"/>
        <w:jc w:val="both"/>
        <w:rPr>
          <w:sz w:val="22"/>
        </w:rPr>
      </w:pPr>
      <w:r>
        <w:rPr>
          <w:sz w:val="22"/>
        </w:rPr>
        <w:t>Administrata e AMA-s drejtohet nga sekretari i</w:t>
      </w:r>
      <w:r>
        <w:rPr>
          <w:spacing w:val="-3"/>
          <w:sz w:val="22"/>
        </w:rPr>
        <w:t> </w:t>
      </w:r>
      <w:r>
        <w:rPr>
          <w:sz w:val="22"/>
        </w:rPr>
        <w:t>përgjithshëm.</w:t>
      </w:r>
    </w:p>
    <w:p>
      <w:pPr>
        <w:pStyle w:val="ListParagraph"/>
        <w:numPr>
          <w:ilvl w:val="0"/>
          <w:numId w:val="30"/>
        </w:numPr>
        <w:tabs>
          <w:tab w:pos="1109" w:val="left" w:leader="none"/>
        </w:tabs>
        <w:spacing w:line="240" w:lineRule="auto" w:before="0" w:after="0"/>
        <w:ind w:left="120" w:right="116" w:firstLine="720"/>
        <w:jc w:val="both"/>
        <w:rPr>
          <w:sz w:val="22"/>
        </w:rPr>
      </w:pPr>
      <w:r>
        <w:rPr>
          <w:sz w:val="22"/>
        </w:rPr>
        <w:t>Sigurimet shoqërore, pensionet suplementare, si dhe privilegjet e tjera ligjore në fuqi për institucionet e të njëjtit nivel zbatohen edhe për administratën e</w:t>
      </w:r>
      <w:r>
        <w:rPr>
          <w:spacing w:val="-4"/>
          <w:sz w:val="22"/>
        </w:rPr>
        <w:t> </w:t>
      </w:r>
      <w:r>
        <w:rPr>
          <w:sz w:val="22"/>
        </w:rPr>
        <w:t>AMA-s.</w:t>
      </w:r>
    </w:p>
    <w:p>
      <w:pPr>
        <w:pStyle w:val="BodyText"/>
        <w:spacing w:before="1"/>
        <w:ind w:left="0" w:firstLine="0"/>
      </w:pPr>
    </w:p>
    <w:p>
      <w:pPr>
        <w:pStyle w:val="BodyText"/>
        <w:spacing w:before="1"/>
        <w:ind w:left="146" w:right="146" w:firstLine="0"/>
        <w:jc w:val="center"/>
      </w:pPr>
      <w:r>
        <w:rPr/>
        <w:t>Neni 16</w:t>
      </w:r>
    </w:p>
    <w:p>
      <w:pPr>
        <w:pStyle w:val="Heading1"/>
        <w:spacing w:before="3"/>
        <w:ind w:right="144"/>
      </w:pPr>
      <w:r>
        <w:rPr/>
        <w:t>Sekretari i përgjithshëm i AMA-s</w:t>
      </w:r>
    </w:p>
    <w:p>
      <w:pPr>
        <w:pStyle w:val="BodyText"/>
        <w:spacing w:before="7"/>
        <w:ind w:left="0" w:firstLine="0"/>
        <w:rPr>
          <w:b/>
          <w:sz w:val="21"/>
        </w:rPr>
      </w:pPr>
    </w:p>
    <w:p>
      <w:pPr>
        <w:pStyle w:val="ListParagraph"/>
        <w:numPr>
          <w:ilvl w:val="0"/>
          <w:numId w:val="31"/>
        </w:numPr>
        <w:tabs>
          <w:tab w:pos="1083" w:val="left" w:leader="none"/>
        </w:tabs>
        <w:spacing w:line="240" w:lineRule="auto" w:before="0" w:after="0"/>
        <w:ind w:left="120" w:right="113" w:firstLine="720"/>
        <w:jc w:val="both"/>
        <w:rPr>
          <w:sz w:val="22"/>
        </w:rPr>
      </w:pPr>
      <w:r>
        <w:rPr>
          <w:sz w:val="22"/>
        </w:rPr>
        <w:t>Sekretari i përgjithshëm i AMA-s është nëpunësi më i lartë civil në administratën e AMA-s, përgjigjet para tij për funksionimin e kësaj administrate dhe ka përgjegjësi menaxheriale të nëpunësit të autorizuar, sipas përcaktimeve të nenit 9 të ligjit nr. 10 296, datë 8.7.2010 “Për menaxhimin financiar dhe kontrollin”.</w:t>
      </w:r>
    </w:p>
    <w:p>
      <w:pPr>
        <w:pStyle w:val="ListParagraph"/>
        <w:numPr>
          <w:ilvl w:val="0"/>
          <w:numId w:val="31"/>
        </w:numPr>
        <w:tabs>
          <w:tab w:pos="1078" w:val="left" w:leader="none"/>
        </w:tabs>
        <w:spacing w:line="240" w:lineRule="auto" w:before="0" w:after="0"/>
        <w:ind w:left="120" w:right="115" w:firstLine="720"/>
        <w:jc w:val="both"/>
        <w:rPr>
          <w:sz w:val="22"/>
        </w:rPr>
      </w:pPr>
      <w:r>
        <w:rPr>
          <w:sz w:val="22"/>
        </w:rPr>
        <w:t>Sekretari i përgjithshëm ushtron funksionet e tij sipas udhëzimeve dhe drejtimit të përcaktuar nga AMA dhe përgjigjet para tij për mënyrën e zbatimit të</w:t>
      </w:r>
      <w:r>
        <w:rPr>
          <w:spacing w:val="-7"/>
          <w:sz w:val="22"/>
        </w:rPr>
        <w:t> </w:t>
      </w:r>
      <w:r>
        <w:rPr>
          <w:sz w:val="22"/>
        </w:rPr>
        <w:t>tyre.</w:t>
      </w:r>
    </w:p>
    <w:p>
      <w:pPr>
        <w:pStyle w:val="ListParagraph"/>
        <w:numPr>
          <w:ilvl w:val="0"/>
          <w:numId w:val="31"/>
        </w:numPr>
        <w:tabs>
          <w:tab w:pos="1105" w:val="left" w:leader="none"/>
        </w:tabs>
        <w:spacing w:line="240" w:lineRule="auto" w:before="0" w:after="0"/>
        <w:ind w:left="120" w:right="115" w:firstLine="720"/>
        <w:jc w:val="both"/>
        <w:rPr>
          <w:sz w:val="22"/>
        </w:rPr>
      </w:pPr>
      <w:r>
        <w:rPr>
          <w:sz w:val="22"/>
        </w:rPr>
        <w:t>Sekretari i përgjithshëm mund të delegojë disa nga funksionet e veta te ndonjë nëpunës i administratës, sipas nevojës dhe vlerësimit të tij, përveç kur kjo nuk është e</w:t>
      </w:r>
      <w:r>
        <w:rPr>
          <w:spacing w:val="-18"/>
          <w:sz w:val="22"/>
        </w:rPr>
        <w:t> </w:t>
      </w:r>
      <w:r>
        <w:rPr>
          <w:sz w:val="22"/>
        </w:rPr>
        <w:t>mundur.</w:t>
      </w:r>
    </w:p>
    <w:p>
      <w:pPr>
        <w:pStyle w:val="ListParagraph"/>
        <w:numPr>
          <w:ilvl w:val="0"/>
          <w:numId w:val="31"/>
        </w:numPr>
        <w:tabs>
          <w:tab w:pos="1131" w:val="left" w:leader="none"/>
        </w:tabs>
        <w:spacing w:line="240" w:lineRule="auto" w:before="0" w:after="0"/>
        <w:ind w:left="120" w:right="115" w:firstLine="720"/>
        <w:jc w:val="both"/>
        <w:rPr>
          <w:sz w:val="22"/>
        </w:rPr>
      </w:pPr>
      <w:r>
        <w:rPr>
          <w:sz w:val="22"/>
        </w:rPr>
        <w:t>Sekretari i përgjithshëm përzgjidhet nga AMA në bazë të kandidaturave fituese të një kandidimi publik, sipas përcaktimeve të ligjit nr. 8549, datë 11.11.1999 “Statusi i nëpunësit</w:t>
      </w:r>
      <w:r>
        <w:rPr>
          <w:spacing w:val="-10"/>
          <w:sz w:val="22"/>
        </w:rPr>
        <w:t> </w:t>
      </w:r>
      <w:r>
        <w:rPr>
          <w:sz w:val="22"/>
        </w:rPr>
        <w:t>civil”.</w:t>
      </w:r>
    </w:p>
    <w:p>
      <w:pPr>
        <w:pStyle w:val="BodyText"/>
        <w:spacing w:before="10"/>
        <w:ind w:left="0" w:firstLine="0"/>
        <w:rPr>
          <w:sz w:val="21"/>
        </w:rPr>
      </w:pPr>
    </w:p>
    <w:p>
      <w:pPr>
        <w:pStyle w:val="BodyText"/>
        <w:ind w:left="146" w:right="146" w:firstLine="0"/>
        <w:jc w:val="center"/>
      </w:pPr>
      <w:r>
        <w:rPr/>
        <w:t>Neni 17</w:t>
      </w:r>
    </w:p>
    <w:p>
      <w:pPr>
        <w:pStyle w:val="Heading1"/>
        <w:spacing w:before="6"/>
      </w:pPr>
      <w:r>
        <w:rPr/>
        <w:t>Detyrat e sekretarit të përgjithshëm</w:t>
      </w:r>
    </w:p>
    <w:p>
      <w:pPr>
        <w:pStyle w:val="BodyText"/>
        <w:spacing w:before="5"/>
        <w:ind w:left="0" w:firstLine="0"/>
        <w:rPr>
          <w:b/>
          <w:sz w:val="21"/>
        </w:rPr>
      </w:pPr>
    </w:p>
    <w:p>
      <w:pPr>
        <w:pStyle w:val="BodyText"/>
        <w:ind w:left="840" w:firstLine="0"/>
      </w:pPr>
      <w:r>
        <w:rPr/>
        <w:t>Sekretari i përgjithshëm përgjigjet për:</w:t>
      </w:r>
    </w:p>
    <w:p>
      <w:pPr>
        <w:pStyle w:val="ListParagraph"/>
        <w:numPr>
          <w:ilvl w:val="0"/>
          <w:numId w:val="32"/>
        </w:numPr>
        <w:tabs>
          <w:tab w:pos="1112" w:val="left" w:leader="none"/>
        </w:tabs>
        <w:spacing w:line="240" w:lineRule="auto" w:before="2" w:after="0"/>
        <w:ind w:left="120" w:right="117" w:firstLine="720"/>
        <w:jc w:val="left"/>
        <w:rPr>
          <w:sz w:val="22"/>
        </w:rPr>
      </w:pPr>
      <w:r>
        <w:rPr>
          <w:sz w:val="22"/>
        </w:rPr>
        <w:t>mbarëvajtjen e menaxhimit të burimeve financiare të AMA-s, regjistrimin e llogarive dhe kontrollin dhe raportet e bëra në këtë drejtim nga Kontrolli i Lartë i</w:t>
      </w:r>
      <w:r>
        <w:rPr>
          <w:spacing w:val="-13"/>
          <w:sz w:val="22"/>
        </w:rPr>
        <w:t> </w:t>
      </w:r>
      <w:r>
        <w:rPr>
          <w:sz w:val="22"/>
        </w:rPr>
        <w:t>Shtetit;</w:t>
      </w:r>
    </w:p>
    <w:p>
      <w:pPr>
        <w:pStyle w:val="ListParagraph"/>
        <w:numPr>
          <w:ilvl w:val="0"/>
          <w:numId w:val="32"/>
        </w:numPr>
        <w:tabs>
          <w:tab w:pos="1090" w:val="left" w:leader="none"/>
        </w:tabs>
        <w:spacing w:line="240" w:lineRule="auto" w:before="0" w:after="0"/>
        <w:ind w:left="120" w:right="118" w:firstLine="720"/>
        <w:jc w:val="left"/>
        <w:rPr>
          <w:sz w:val="22"/>
        </w:rPr>
      </w:pPr>
      <w:r>
        <w:rPr>
          <w:sz w:val="22"/>
        </w:rPr>
        <w:t>sistemin, procedurat dhe praktikat e vlerësimit për realizimin e efiçencës financiare të AMA-s në ushtrim të funksioneve të</w:t>
      </w:r>
      <w:r>
        <w:rPr>
          <w:spacing w:val="-5"/>
          <w:sz w:val="22"/>
        </w:rPr>
        <w:t> </w:t>
      </w:r>
      <w:r>
        <w:rPr>
          <w:sz w:val="22"/>
        </w:rPr>
        <w:t>veta;</w:t>
      </w:r>
    </w:p>
    <w:p>
      <w:pPr>
        <w:pStyle w:val="ListParagraph"/>
        <w:numPr>
          <w:ilvl w:val="0"/>
          <w:numId w:val="32"/>
        </w:numPr>
        <w:tabs>
          <w:tab w:pos="1126" w:val="left" w:leader="none"/>
        </w:tabs>
        <w:spacing w:line="240" w:lineRule="auto" w:before="0" w:after="0"/>
        <w:ind w:left="120" w:right="115" w:firstLine="720"/>
        <w:jc w:val="left"/>
        <w:rPr>
          <w:sz w:val="22"/>
        </w:rPr>
      </w:pPr>
      <w:r>
        <w:rPr>
          <w:sz w:val="22"/>
        </w:rPr>
        <w:t>çdo çështje që lidhet apo prek veprimtarinë e AMA-s, e paraqitur në raportin vjetor të Kontrollit të Lartë të Shtetit, që ky i fundit paraqet në</w:t>
      </w:r>
      <w:r>
        <w:rPr>
          <w:spacing w:val="-8"/>
          <w:sz w:val="22"/>
        </w:rPr>
        <w:t> </w:t>
      </w:r>
      <w:r>
        <w:rPr>
          <w:sz w:val="22"/>
        </w:rPr>
        <w:t>Kuvend;</w:t>
      </w:r>
    </w:p>
    <w:p>
      <w:pPr>
        <w:pStyle w:val="BodyText"/>
        <w:spacing w:line="242" w:lineRule="auto"/>
        <w:ind w:right="117"/>
      </w:pPr>
      <w:r>
        <w:rPr/>
        <w:t>ç) çdo çështje, që lidhet me shpenzimin e fondeve të akorduara nga Buxheti i Shtetit për financimin e projekteve të veçanta;</w:t>
      </w:r>
    </w:p>
    <w:p>
      <w:pPr>
        <w:pStyle w:val="ListParagraph"/>
        <w:numPr>
          <w:ilvl w:val="0"/>
          <w:numId w:val="32"/>
        </w:numPr>
        <w:tabs>
          <w:tab w:pos="1143" w:val="left" w:leader="none"/>
        </w:tabs>
        <w:spacing w:line="242" w:lineRule="auto" w:before="0" w:after="0"/>
        <w:ind w:left="120" w:right="113" w:firstLine="720"/>
        <w:jc w:val="left"/>
        <w:rPr>
          <w:sz w:val="22"/>
        </w:rPr>
      </w:pPr>
      <w:r>
        <w:rPr>
          <w:sz w:val="22"/>
        </w:rPr>
        <w:t>çështjet e administrimit të burimeve njerëzore dhe zbatimin e legjislacionit në fuqi për nëpunësin</w:t>
      </w:r>
      <w:r>
        <w:rPr>
          <w:spacing w:val="-3"/>
          <w:sz w:val="22"/>
        </w:rPr>
        <w:t> </w:t>
      </w:r>
      <w:r>
        <w:rPr>
          <w:sz w:val="22"/>
        </w:rPr>
        <w:t>civil.</w:t>
      </w:r>
    </w:p>
    <w:p>
      <w:pPr>
        <w:pStyle w:val="BodyText"/>
        <w:spacing w:before="10"/>
        <w:ind w:left="0" w:firstLine="0"/>
        <w:rPr>
          <w:sz w:val="20"/>
        </w:rPr>
      </w:pPr>
    </w:p>
    <w:p>
      <w:pPr>
        <w:pStyle w:val="BodyText"/>
        <w:spacing w:before="1"/>
        <w:ind w:left="146" w:right="146" w:firstLine="0"/>
        <w:jc w:val="center"/>
      </w:pPr>
      <w:r>
        <w:rPr/>
        <w:t>Neni 18</w:t>
      </w:r>
    </w:p>
    <w:p>
      <w:pPr>
        <w:spacing w:after="0"/>
        <w:jc w:val="center"/>
        <w:sectPr>
          <w:pgSz w:w="12240" w:h="15840"/>
          <w:pgMar w:top="1360" w:bottom="280" w:left="1320" w:right="1320"/>
        </w:sectPr>
      </w:pPr>
    </w:p>
    <w:p>
      <w:pPr>
        <w:pStyle w:val="Heading1"/>
        <w:spacing w:before="78"/>
      </w:pPr>
      <w:r>
        <w:rPr/>
        <w:t>Objektivat e veprimtarisë së AMA-s</w:t>
      </w:r>
    </w:p>
    <w:p>
      <w:pPr>
        <w:pStyle w:val="BodyText"/>
        <w:spacing w:before="7"/>
        <w:ind w:left="0" w:firstLine="0"/>
        <w:rPr>
          <w:b/>
          <w:sz w:val="21"/>
        </w:rPr>
      </w:pPr>
    </w:p>
    <w:p>
      <w:pPr>
        <w:pStyle w:val="ListParagraph"/>
        <w:numPr>
          <w:ilvl w:val="0"/>
          <w:numId w:val="33"/>
        </w:numPr>
        <w:tabs>
          <w:tab w:pos="1061" w:val="left" w:leader="none"/>
        </w:tabs>
        <w:spacing w:line="252" w:lineRule="exact" w:before="1" w:after="0"/>
        <w:ind w:left="1060" w:right="0" w:hanging="221"/>
        <w:jc w:val="both"/>
        <w:rPr>
          <w:sz w:val="22"/>
        </w:rPr>
      </w:pPr>
      <w:r>
        <w:rPr>
          <w:sz w:val="22"/>
        </w:rPr>
        <w:t>AMA, në ushtrimin e funksioneve të veta,</w:t>
      </w:r>
      <w:r>
        <w:rPr>
          <w:spacing w:val="-4"/>
          <w:sz w:val="22"/>
        </w:rPr>
        <w:t> </w:t>
      </w:r>
      <w:r>
        <w:rPr>
          <w:sz w:val="22"/>
        </w:rPr>
        <w:t>siguron:</w:t>
      </w:r>
    </w:p>
    <w:p>
      <w:pPr>
        <w:pStyle w:val="ListParagraph"/>
        <w:numPr>
          <w:ilvl w:val="0"/>
          <w:numId w:val="34"/>
        </w:numPr>
        <w:tabs>
          <w:tab w:pos="1069" w:val="left" w:leader="none"/>
        </w:tabs>
        <w:spacing w:line="240" w:lineRule="auto" w:before="0" w:after="0"/>
        <w:ind w:left="120" w:right="113" w:firstLine="720"/>
        <w:jc w:val="both"/>
        <w:rPr>
          <w:sz w:val="22"/>
        </w:rPr>
      </w:pPr>
      <w:r>
        <w:rPr>
          <w:sz w:val="22"/>
        </w:rPr>
        <w:t>që të gjitha shërbimet audiovizive të përmbushin sa më mirë nevojat e qytetarëve të Republikës së Shqipërisë, duke respektuar gjuhën dhe larminë e traditave, besimeve fetare, kulturës dhe moralit të qytetarëve;</w:t>
      </w:r>
    </w:p>
    <w:p>
      <w:pPr>
        <w:pStyle w:val="ListParagraph"/>
        <w:numPr>
          <w:ilvl w:val="0"/>
          <w:numId w:val="34"/>
        </w:numPr>
        <w:tabs>
          <w:tab w:pos="1083" w:val="left" w:leader="none"/>
        </w:tabs>
        <w:spacing w:line="240" w:lineRule="auto" w:before="0" w:after="0"/>
        <w:ind w:left="120" w:right="113" w:firstLine="720"/>
        <w:jc w:val="both"/>
        <w:rPr>
          <w:sz w:val="22"/>
        </w:rPr>
      </w:pPr>
      <w:r>
        <w:rPr>
          <w:sz w:val="22"/>
        </w:rPr>
        <w:t>ruajtjen dhe mbështetjen e vlerave demokratike të përcaktuara në Kushtetutë, veçanërisht lirinë e shprehjes dhe të</w:t>
      </w:r>
      <w:r>
        <w:rPr>
          <w:spacing w:val="-1"/>
          <w:sz w:val="22"/>
        </w:rPr>
        <w:t> </w:t>
      </w:r>
      <w:r>
        <w:rPr>
          <w:sz w:val="22"/>
        </w:rPr>
        <w:t>medias;</w:t>
      </w:r>
    </w:p>
    <w:p>
      <w:pPr>
        <w:pStyle w:val="ListParagraph"/>
        <w:numPr>
          <w:ilvl w:val="0"/>
          <w:numId w:val="34"/>
        </w:numPr>
        <w:tabs>
          <w:tab w:pos="1069" w:val="left" w:leader="none"/>
        </w:tabs>
        <w:spacing w:line="240" w:lineRule="auto" w:before="0" w:after="0"/>
        <w:ind w:left="1068" w:right="0" w:hanging="229"/>
        <w:jc w:val="both"/>
        <w:rPr>
          <w:sz w:val="22"/>
        </w:rPr>
      </w:pPr>
      <w:r>
        <w:rPr>
          <w:sz w:val="22"/>
        </w:rPr>
        <w:t>ofrimin e shërbimeve të shumëllojshme dhe pa</w:t>
      </w:r>
      <w:r>
        <w:rPr>
          <w:spacing w:val="-4"/>
          <w:sz w:val="22"/>
        </w:rPr>
        <w:t> </w:t>
      </w:r>
      <w:r>
        <w:rPr>
          <w:sz w:val="22"/>
        </w:rPr>
        <w:t>pagesë.</w:t>
      </w:r>
    </w:p>
    <w:p>
      <w:pPr>
        <w:pStyle w:val="ListParagraph"/>
        <w:numPr>
          <w:ilvl w:val="0"/>
          <w:numId w:val="33"/>
        </w:numPr>
        <w:tabs>
          <w:tab w:pos="1062" w:val="left" w:leader="none"/>
        </w:tabs>
        <w:spacing w:line="252" w:lineRule="exact" w:before="0" w:after="0"/>
        <w:ind w:left="1061" w:right="0" w:hanging="222"/>
        <w:jc w:val="both"/>
        <w:rPr>
          <w:sz w:val="22"/>
        </w:rPr>
      </w:pPr>
      <w:r>
        <w:rPr>
          <w:sz w:val="22"/>
        </w:rPr>
        <w:t>AMA</w:t>
      </w:r>
      <w:r>
        <w:rPr>
          <w:spacing w:val="-1"/>
          <w:sz w:val="22"/>
        </w:rPr>
        <w:t> </w:t>
      </w:r>
      <w:r>
        <w:rPr>
          <w:sz w:val="22"/>
        </w:rPr>
        <w:t>nxit:</w:t>
      </w:r>
    </w:p>
    <w:p>
      <w:pPr>
        <w:pStyle w:val="ListParagraph"/>
        <w:numPr>
          <w:ilvl w:val="0"/>
          <w:numId w:val="35"/>
        </w:numPr>
        <w:tabs>
          <w:tab w:pos="1069" w:val="left" w:leader="none"/>
        </w:tabs>
        <w:spacing w:line="252" w:lineRule="exact" w:before="0" w:after="0"/>
        <w:ind w:left="1068" w:right="0" w:hanging="229"/>
        <w:jc w:val="both"/>
        <w:rPr>
          <w:sz w:val="22"/>
        </w:rPr>
      </w:pPr>
      <w:r>
        <w:rPr>
          <w:sz w:val="22"/>
        </w:rPr>
        <w:t>promovimin e programeve të shumëllojshme dhe pa</w:t>
      </w:r>
      <w:r>
        <w:rPr>
          <w:spacing w:val="-4"/>
          <w:sz w:val="22"/>
        </w:rPr>
        <w:t> </w:t>
      </w:r>
      <w:r>
        <w:rPr>
          <w:sz w:val="22"/>
        </w:rPr>
        <w:t>pagesë;</w:t>
      </w:r>
    </w:p>
    <w:p>
      <w:pPr>
        <w:pStyle w:val="ListParagraph"/>
        <w:numPr>
          <w:ilvl w:val="0"/>
          <w:numId w:val="35"/>
        </w:numPr>
        <w:tabs>
          <w:tab w:pos="1090" w:val="left" w:leader="none"/>
        </w:tabs>
        <w:spacing w:line="240" w:lineRule="auto" w:before="0" w:after="0"/>
        <w:ind w:left="120" w:right="118" w:firstLine="720"/>
        <w:jc w:val="both"/>
        <w:rPr>
          <w:sz w:val="22"/>
        </w:rPr>
      </w:pPr>
      <w:r>
        <w:rPr>
          <w:sz w:val="22"/>
        </w:rPr>
        <w:t>sigurimin e shumëllojshmërisë dhe cilësisë së lartë të programeve dhe me risi nga OSHMA-të publike e</w:t>
      </w:r>
      <w:r>
        <w:rPr>
          <w:spacing w:val="-1"/>
          <w:sz w:val="22"/>
        </w:rPr>
        <w:t> </w:t>
      </w:r>
      <w:r>
        <w:rPr>
          <w:sz w:val="22"/>
        </w:rPr>
        <w:t>private;</w:t>
      </w:r>
    </w:p>
    <w:p>
      <w:pPr>
        <w:pStyle w:val="ListParagraph"/>
        <w:numPr>
          <w:ilvl w:val="0"/>
          <w:numId w:val="35"/>
        </w:numPr>
        <w:tabs>
          <w:tab w:pos="1098" w:val="left" w:leader="none"/>
        </w:tabs>
        <w:spacing w:line="240" w:lineRule="auto" w:before="0" w:after="0"/>
        <w:ind w:left="1097" w:right="0" w:hanging="258"/>
        <w:jc w:val="both"/>
        <w:rPr>
          <w:sz w:val="22"/>
        </w:rPr>
      </w:pPr>
      <w:r>
        <w:rPr>
          <w:sz w:val="22"/>
        </w:rPr>
        <w:t>përmbushjen</w:t>
      </w:r>
      <w:r>
        <w:rPr>
          <w:spacing w:val="25"/>
          <w:sz w:val="22"/>
        </w:rPr>
        <w:t> </w:t>
      </w:r>
      <w:r>
        <w:rPr>
          <w:sz w:val="22"/>
        </w:rPr>
        <w:t>e</w:t>
      </w:r>
      <w:r>
        <w:rPr>
          <w:spacing w:val="24"/>
          <w:sz w:val="22"/>
        </w:rPr>
        <w:t> </w:t>
      </w:r>
      <w:r>
        <w:rPr>
          <w:sz w:val="22"/>
        </w:rPr>
        <w:t>objektivave</w:t>
      </w:r>
      <w:r>
        <w:rPr>
          <w:spacing w:val="27"/>
          <w:sz w:val="22"/>
        </w:rPr>
        <w:t> </w:t>
      </w:r>
      <w:r>
        <w:rPr>
          <w:sz w:val="22"/>
        </w:rPr>
        <w:t>nga</w:t>
      </w:r>
      <w:r>
        <w:rPr>
          <w:spacing w:val="27"/>
          <w:sz w:val="22"/>
        </w:rPr>
        <w:t> </w:t>
      </w:r>
      <w:r>
        <w:rPr>
          <w:sz w:val="22"/>
        </w:rPr>
        <w:t>transmetuesit</w:t>
      </w:r>
      <w:r>
        <w:rPr>
          <w:spacing w:val="25"/>
          <w:sz w:val="22"/>
        </w:rPr>
        <w:t> </w:t>
      </w:r>
      <w:r>
        <w:rPr>
          <w:sz w:val="22"/>
        </w:rPr>
        <w:t>e</w:t>
      </w:r>
      <w:r>
        <w:rPr>
          <w:spacing w:val="24"/>
          <w:sz w:val="22"/>
        </w:rPr>
        <w:t> </w:t>
      </w:r>
      <w:r>
        <w:rPr>
          <w:sz w:val="22"/>
        </w:rPr>
        <w:t>shërbimit</w:t>
      </w:r>
      <w:r>
        <w:rPr>
          <w:spacing w:val="25"/>
          <w:sz w:val="22"/>
        </w:rPr>
        <w:t> </w:t>
      </w:r>
      <w:r>
        <w:rPr>
          <w:sz w:val="22"/>
        </w:rPr>
        <w:t>publik,</w:t>
      </w:r>
      <w:r>
        <w:rPr>
          <w:spacing w:val="26"/>
          <w:sz w:val="22"/>
        </w:rPr>
        <w:t> </w:t>
      </w:r>
      <w:r>
        <w:rPr>
          <w:sz w:val="22"/>
        </w:rPr>
        <w:t>sipas</w:t>
      </w:r>
      <w:r>
        <w:rPr>
          <w:spacing w:val="24"/>
          <w:sz w:val="22"/>
        </w:rPr>
        <w:t> </w:t>
      </w:r>
      <w:r>
        <w:rPr>
          <w:sz w:val="22"/>
        </w:rPr>
        <w:t>përcaktimeve</w:t>
      </w:r>
      <w:r>
        <w:rPr>
          <w:spacing w:val="27"/>
          <w:sz w:val="22"/>
        </w:rPr>
        <w:t> </w:t>
      </w:r>
      <w:r>
        <w:rPr>
          <w:sz w:val="22"/>
        </w:rPr>
        <w:t>të</w:t>
      </w:r>
      <w:r>
        <w:rPr>
          <w:spacing w:val="26"/>
          <w:sz w:val="22"/>
        </w:rPr>
        <w:t> </w:t>
      </w:r>
      <w:r>
        <w:rPr>
          <w:sz w:val="22"/>
        </w:rPr>
        <w:t>këtij</w:t>
      </w:r>
    </w:p>
    <w:p>
      <w:pPr>
        <w:pStyle w:val="BodyText"/>
        <w:spacing w:line="252" w:lineRule="exact" w:before="1"/>
        <w:ind w:firstLine="0"/>
      </w:pPr>
      <w:r>
        <w:rPr/>
        <w:t>ligji.</w:t>
      </w:r>
    </w:p>
    <w:p>
      <w:pPr>
        <w:pStyle w:val="BodyText"/>
        <w:spacing w:line="252" w:lineRule="exact"/>
        <w:ind w:left="840" w:firstLine="0"/>
      </w:pPr>
      <w:r>
        <w:rPr/>
        <w:t>ç) rritjen e shumëllojshmërisë së shërbimeve audiovizive;</w:t>
      </w:r>
    </w:p>
    <w:p>
      <w:pPr>
        <w:pStyle w:val="ListParagraph"/>
        <w:numPr>
          <w:ilvl w:val="0"/>
          <w:numId w:val="35"/>
        </w:numPr>
        <w:tabs>
          <w:tab w:pos="1150" w:val="left" w:leader="none"/>
        </w:tabs>
        <w:spacing w:line="240" w:lineRule="auto" w:before="2" w:after="0"/>
        <w:ind w:left="1149" w:right="0" w:hanging="310"/>
        <w:jc w:val="left"/>
        <w:rPr>
          <w:sz w:val="22"/>
        </w:rPr>
      </w:pPr>
      <w:r>
        <w:rPr>
          <w:sz w:val="22"/>
        </w:rPr>
        <w:t>realizimin</w:t>
      </w:r>
      <w:r>
        <w:rPr>
          <w:spacing w:val="13"/>
          <w:sz w:val="22"/>
        </w:rPr>
        <w:t> </w:t>
      </w:r>
      <w:r>
        <w:rPr>
          <w:sz w:val="22"/>
        </w:rPr>
        <w:t>e</w:t>
      </w:r>
      <w:r>
        <w:rPr>
          <w:spacing w:val="14"/>
          <w:sz w:val="22"/>
        </w:rPr>
        <w:t> </w:t>
      </w:r>
      <w:r>
        <w:rPr>
          <w:sz w:val="22"/>
        </w:rPr>
        <w:t>një</w:t>
      </w:r>
      <w:r>
        <w:rPr>
          <w:spacing w:val="14"/>
          <w:sz w:val="22"/>
        </w:rPr>
        <w:t> </w:t>
      </w:r>
      <w:r>
        <w:rPr>
          <w:sz w:val="22"/>
        </w:rPr>
        <w:t>mjedisi</w:t>
      </w:r>
      <w:r>
        <w:rPr>
          <w:spacing w:val="14"/>
          <w:sz w:val="22"/>
        </w:rPr>
        <w:t> </w:t>
      </w:r>
      <w:r>
        <w:rPr>
          <w:sz w:val="22"/>
        </w:rPr>
        <w:t>rregullator,</w:t>
      </w:r>
      <w:r>
        <w:rPr>
          <w:spacing w:val="13"/>
          <w:sz w:val="22"/>
        </w:rPr>
        <w:t> </w:t>
      </w:r>
      <w:r>
        <w:rPr>
          <w:sz w:val="22"/>
        </w:rPr>
        <w:t>që</w:t>
      </w:r>
      <w:r>
        <w:rPr>
          <w:spacing w:val="14"/>
          <w:sz w:val="22"/>
        </w:rPr>
        <w:t> </w:t>
      </w:r>
      <w:r>
        <w:rPr>
          <w:sz w:val="22"/>
        </w:rPr>
        <w:t>lehtëson</w:t>
      </w:r>
      <w:r>
        <w:rPr>
          <w:spacing w:val="11"/>
          <w:sz w:val="22"/>
        </w:rPr>
        <w:t> </w:t>
      </w:r>
      <w:r>
        <w:rPr>
          <w:sz w:val="22"/>
        </w:rPr>
        <w:t>zhvillimin</w:t>
      </w:r>
      <w:r>
        <w:rPr>
          <w:spacing w:val="13"/>
          <w:sz w:val="22"/>
        </w:rPr>
        <w:t> </w:t>
      </w:r>
      <w:r>
        <w:rPr>
          <w:sz w:val="22"/>
        </w:rPr>
        <w:t>e</w:t>
      </w:r>
      <w:r>
        <w:rPr>
          <w:spacing w:val="14"/>
          <w:sz w:val="22"/>
        </w:rPr>
        <w:t> </w:t>
      </w:r>
      <w:r>
        <w:rPr>
          <w:sz w:val="22"/>
        </w:rPr>
        <w:t>sektorit</w:t>
      </w:r>
      <w:r>
        <w:rPr>
          <w:spacing w:val="15"/>
          <w:sz w:val="22"/>
        </w:rPr>
        <w:t> </w:t>
      </w:r>
      <w:r>
        <w:rPr>
          <w:sz w:val="22"/>
        </w:rPr>
        <w:t>të</w:t>
      </w:r>
      <w:r>
        <w:rPr>
          <w:spacing w:val="11"/>
          <w:sz w:val="22"/>
        </w:rPr>
        <w:t> </w:t>
      </w:r>
      <w:r>
        <w:rPr>
          <w:sz w:val="22"/>
        </w:rPr>
        <w:t>transmetimeve</w:t>
      </w:r>
    </w:p>
    <w:p>
      <w:pPr>
        <w:pStyle w:val="BodyText"/>
        <w:ind w:right="117" w:firstLine="0"/>
      </w:pPr>
      <w:r>
        <w:rPr/>
        <w:t>audiovizive në Shqipëri dhe që është i përgjegjshëm për nevojat e dëgjuesve e shikuesve dhe në veçanti për personat me nevoja të veçanta shqisore;</w:t>
      </w:r>
    </w:p>
    <w:p>
      <w:pPr>
        <w:pStyle w:val="BodyText"/>
        <w:spacing w:line="252" w:lineRule="exact"/>
        <w:ind w:left="840" w:firstLine="0"/>
      </w:pPr>
      <w:r>
        <w:rPr/>
        <w:t>dh) zhvillimin e shërbimeve të transmetimit dhe programeve në gjuhën shqipe.</w:t>
      </w:r>
    </w:p>
    <w:p>
      <w:pPr>
        <w:pStyle w:val="ListParagraph"/>
        <w:numPr>
          <w:ilvl w:val="0"/>
          <w:numId w:val="33"/>
        </w:numPr>
        <w:tabs>
          <w:tab w:pos="1062" w:val="left" w:leader="none"/>
        </w:tabs>
        <w:spacing w:line="252" w:lineRule="exact" w:before="0" w:after="0"/>
        <w:ind w:left="1061" w:right="0" w:hanging="222"/>
        <w:jc w:val="left"/>
        <w:rPr>
          <w:sz w:val="22"/>
        </w:rPr>
      </w:pPr>
      <w:r>
        <w:rPr>
          <w:sz w:val="22"/>
        </w:rPr>
        <w:t>AMA, në ushtrimin e funksioneve të tij, siguron që marrja e masave</w:t>
      </w:r>
      <w:r>
        <w:rPr>
          <w:spacing w:val="-14"/>
          <w:sz w:val="22"/>
        </w:rPr>
        <w:t> </w:t>
      </w:r>
      <w:r>
        <w:rPr>
          <w:sz w:val="22"/>
        </w:rPr>
        <w:t>përkatëse:</w:t>
      </w:r>
    </w:p>
    <w:p>
      <w:pPr>
        <w:pStyle w:val="ListParagraph"/>
        <w:numPr>
          <w:ilvl w:val="0"/>
          <w:numId w:val="36"/>
        </w:numPr>
        <w:tabs>
          <w:tab w:pos="1066" w:val="left" w:leader="none"/>
        </w:tabs>
        <w:spacing w:line="252" w:lineRule="exact" w:before="0" w:after="0"/>
        <w:ind w:left="1065" w:right="0" w:hanging="226"/>
        <w:jc w:val="left"/>
        <w:rPr>
          <w:sz w:val="22"/>
        </w:rPr>
      </w:pPr>
      <w:r>
        <w:rPr>
          <w:sz w:val="22"/>
        </w:rPr>
        <w:t>të jetë në përpjesëtim me objektivat e përcaktuar në këtë</w:t>
      </w:r>
      <w:r>
        <w:rPr>
          <w:spacing w:val="-11"/>
          <w:sz w:val="22"/>
        </w:rPr>
        <w:t> </w:t>
      </w:r>
      <w:r>
        <w:rPr>
          <w:sz w:val="22"/>
        </w:rPr>
        <w:t>nen;</w:t>
      </w:r>
    </w:p>
    <w:p>
      <w:pPr>
        <w:pStyle w:val="ListParagraph"/>
        <w:numPr>
          <w:ilvl w:val="0"/>
          <w:numId w:val="36"/>
        </w:numPr>
        <w:tabs>
          <w:tab w:pos="1081" w:val="left" w:leader="none"/>
        </w:tabs>
        <w:spacing w:line="252" w:lineRule="exact" w:before="0" w:after="0"/>
        <w:ind w:left="1080" w:right="0" w:hanging="241"/>
        <w:jc w:val="left"/>
        <w:rPr>
          <w:sz w:val="22"/>
        </w:rPr>
      </w:pPr>
      <w:r>
        <w:rPr>
          <w:sz w:val="22"/>
        </w:rPr>
        <w:t>të miratojë rregullore që synojnë zhvillim të qëndrueshëm për</w:t>
      </w:r>
      <w:r>
        <w:rPr>
          <w:spacing w:val="-14"/>
          <w:sz w:val="22"/>
        </w:rPr>
        <w:t> </w:t>
      </w:r>
      <w:r>
        <w:rPr>
          <w:sz w:val="22"/>
        </w:rPr>
        <w:t>OSHMA-të;</w:t>
      </w:r>
    </w:p>
    <w:p>
      <w:pPr>
        <w:pStyle w:val="ListParagraph"/>
        <w:numPr>
          <w:ilvl w:val="0"/>
          <w:numId w:val="36"/>
        </w:numPr>
        <w:tabs>
          <w:tab w:pos="1069" w:val="left" w:leader="none"/>
        </w:tabs>
        <w:spacing w:line="252" w:lineRule="exact" w:before="0" w:after="0"/>
        <w:ind w:left="1068" w:right="0" w:hanging="229"/>
        <w:jc w:val="left"/>
        <w:rPr>
          <w:sz w:val="22"/>
        </w:rPr>
      </w:pPr>
      <w:r>
        <w:rPr>
          <w:sz w:val="22"/>
        </w:rPr>
        <w:t>të mundësojë dhe të nxisë zhvillimin teknologjik dhe zbatimin e tij në sektorin e</w:t>
      </w:r>
      <w:r>
        <w:rPr>
          <w:spacing w:val="-17"/>
          <w:sz w:val="22"/>
        </w:rPr>
        <w:t> </w:t>
      </w:r>
      <w:r>
        <w:rPr>
          <w:sz w:val="22"/>
        </w:rPr>
        <w:t>transmetimit.</w:t>
      </w:r>
    </w:p>
    <w:p>
      <w:pPr>
        <w:pStyle w:val="BodyText"/>
        <w:ind w:left="0" w:firstLine="0"/>
      </w:pPr>
    </w:p>
    <w:p>
      <w:pPr>
        <w:pStyle w:val="BodyText"/>
        <w:spacing w:before="1"/>
        <w:ind w:left="146" w:right="146" w:firstLine="0"/>
        <w:jc w:val="center"/>
      </w:pPr>
      <w:r>
        <w:rPr/>
        <w:t>Neni 19</w:t>
      </w:r>
    </w:p>
    <w:p>
      <w:pPr>
        <w:pStyle w:val="Heading1"/>
        <w:spacing w:before="6"/>
        <w:ind w:right="144"/>
      </w:pPr>
      <w:r>
        <w:rPr/>
        <w:t>Funksionet e AMA-s</w:t>
      </w:r>
    </w:p>
    <w:p>
      <w:pPr>
        <w:pStyle w:val="BodyText"/>
        <w:spacing w:before="4"/>
        <w:ind w:left="0" w:firstLine="0"/>
        <w:rPr>
          <w:b/>
          <w:sz w:val="21"/>
        </w:rPr>
      </w:pPr>
    </w:p>
    <w:p>
      <w:pPr>
        <w:pStyle w:val="ListParagraph"/>
        <w:numPr>
          <w:ilvl w:val="0"/>
          <w:numId w:val="37"/>
        </w:numPr>
        <w:tabs>
          <w:tab w:pos="1062" w:val="left" w:leader="none"/>
        </w:tabs>
        <w:spacing w:line="240" w:lineRule="auto" w:before="1" w:after="0"/>
        <w:ind w:left="1061" w:right="0" w:hanging="222"/>
        <w:jc w:val="both"/>
        <w:rPr>
          <w:sz w:val="22"/>
        </w:rPr>
      </w:pPr>
      <w:r>
        <w:rPr>
          <w:sz w:val="22"/>
        </w:rPr>
        <w:t>Funksionet kryesore të AMA-s</w:t>
      </w:r>
      <w:r>
        <w:rPr>
          <w:spacing w:val="-2"/>
          <w:sz w:val="22"/>
        </w:rPr>
        <w:t> </w:t>
      </w:r>
      <w:r>
        <w:rPr>
          <w:sz w:val="22"/>
        </w:rPr>
        <w:t>janë:</w:t>
      </w:r>
    </w:p>
    <w:p>
      <w:pPr>
        <w:pStyle w:val="ListParagraph"/>
        <w:numPr>
          <w:ilvl w:val="0"/>
          <w:numId w:val="38"/>
        </w:numPr>
        <w:tabs>
          <w:tab w:pos="1078" w:val="left" w:leader="none"/>
        </w:tabs>
        <w:spacing w:line="240" w:lineRule="auto" w:before="1" w:after="0"/>
        <w:ind w:left="120" w:right="115" w:firstLine="720"/>
        <w:jc w:val="both"/>
        <w:rPr>
          <w:sz w:val="22"/>
        </w:rPr>
      </w:pPr>
      <w:r>
        <w:rPr>
          <w:sz w:val="22"/>
        </w:rPr>
        <w:t>shqyrtimi i propozimeve dhe aplikimeve për ushtrimin e shërbimeve të transmetimit, përfshirë aplikimet për transmetime numerike dhe dhënia e autorizimeve ose licencave përkatëse, në përputhje me këtë ligj, përfshirë shërbimet e ofruara nga</w:t>
      </w:r>
      <w:r>
        <w:rPr>
          <w:spacing w:val="-1"/>
          <w:sz w:val="22"/>
        </w:rPr>
        <w:t> </w:t>
      </w:r>
      <w:r>
        <w:rPr>
          <w:sz w:val="22"/>
        </w:rPr>
        <w:t>RTSH-ja;</w:t>
      </w:r>
    </w:p>
    <w:p>
      <w:pPr>
        <w:pStyle w:val="ListParagraph"/>
        <w:numPr>
          <w:ilvl w:val="0"/>
          <w:numId w:val="38"/>
        </w:numPr>
        <w:tabs>
          <w:tab w:pos="1081" w:val="left" w:leader="none"/>
        </w:tabs>
        <w:spacing w:line="252" w:lineRule="exact" w:before="0" w:after="0"/>
        <w:ind w:left="1080" w:right="0" w:hanging="241"/>
        <w:jc w:val="both"/>
        <w:rPr>
          <w:sz w:val="22"/>
        </w:rPr>
      </w:pPr>
      <w:r>
        <w:rPr>
          <w:sz w:val="22"/>
        </w:rPr>
        <w:t>lëshon dhe heq licencat dhe/ose autorizimet me shumicë të</w:t>
      </w:r>
      <w:r>
        <w:rPr>
          <w:spacing w:val="-6"/>
          <w:sz w:val="22"/>
        </w:rPr>
        <w:t> </w:t>
      </w:r>
      <w:r>
        <w:rPr>
          <w:sz w:val="22"/>
        </w:rPr>
        <w:t>cilësuar;</w:t>
      </w:r>
    </w:p>
    <w:p>
      <w:pPr>
        <w:pStyle w:val="ListParagraph"/>
        <w:numPr>
          <w:ilvl w:val="0"/>
          <w:numId w:val="38"/>
        </w:numPr>
        <w:tabs>
          <w:tab w:pos="1090" w:val="left" w:leader="none"/>
        </w:tabs>
        <w:spacing w:line="240" w:lineRule="auto" w:before="0" w:after="0"/>
        <w:ind w:left="120" w:right="116" w:firstLine="720"/>
        <w:jc w:val="both"/>
        <w:rPr>
          <w:sz w:val="22"/>
        </w:rPr>
      </w:pPr>
      <w:r>
        <w:rPr>
          <w:sz w:val="22"/>
        </w:rPr>
        <w:t>garantimi i konkurrencës së ndershme, duke siguruar njëkohësisht zhvillimin e mëtejshëm të RTSH-së;</w:t>
      </w:r>
    </w:p>
    <w:p>
      <w:pPr>
        <w:pStyle w:val="BodyText"/>
        <w:ind w:right="114" w:firstLine="719"/>
        <w:jc w:val="both"/>
      </w:pPr>
      <w:r>
        <w:rPr/>
        <w:t>ç) bashkëpunimi me Komisionin për Mbrojtjen e Konsumatorit për garantimin e mbrojtjes së konsumatorëve në fushën e mediave elektronike, në rastin e praktikave të pandershme të OSHMA-ve dhe të ofrimit të shërbimeve me çmime abuzive;</w:t>
      </w:r>
    </w:p>
    <w:p>
      <w:pPr>
        <w:pStyle w:val="ListParagraph"/>
        <w:numPr>
          <w:ilvl w:val="0"/>
          <w:numId w:val="38"/>
        </w:numPr>
        <w:tabs>
          <w:tab w:pos="1082" w:val="left" w:leader="none"/>
        </w:tabs>
        <w:spacing w:line="240" w:lineRule="auto" w:before="0" w:after="0"/>
        <w:ind w:left="841" w:right="611" w:hanging="1"/>
        <w:jc w:val="both"/>
        <w:rPr>
          <w:sz w:val="22"/>
        </w:rPr>
      </w:pPr>
      <w:r>
        <w:rPr>
          <w:sz w:val="22"/>
        </w:rPr>
        <w:t>hartimi i strategjive për ofrimin e shërbimeve të transmetimit në Republikën e Shqipërisë; dh) mbikëqyrja e zbatimit të kontratës së shërbimit të lidhur me</w:t>
      </w:r>
      <w:r>
        <w:rPr>
          <w:spacing w:val="47"/>
          <w:sz w:val="22"/>
        </w:rPr>
        <w:t> </w:t>
      </w:r>
      <w:r>
        <w:rPr>
          <w:sz w:val="22"/>
        </w:rPr>
        <w:t>RTSH-në;</w:t>
      </w:r>
    </w:p>
    <w:p>
      <w:pPr>
        <w:pStyle w:val="ListParagraph"/>
        <w:numPr>
          <w:ilvl w:val="0"/>
          <w:numId w:val="38"/>
        </w:numPr>
        <w:tabs>
          <w:tab w:pos="1101" w:val="left" w:leader="none"/>
        </w:tabs>
        <w:spacing w:line="240" w:lineRule="auto" w:before="0" w:after="0"/>
        <w:ind w:left="121" w:right="113" w:firstLine="720"/>
        <w:jc w:val="left"/>
        <w:rPr>
          <w:sz w:val="22"/>
        </w:rPr>
      </w:pPr>
      <w:r>
        <w:rPr>
          <w:sz w:val="22"/>
        </w:rPr>
        <w:t>hartimi dhe miratimi i kodit dhe rregulloreve të transmetimit audioviziv dhe akteve të tjera nënligjore, në zbatim të këtij</w:t>
      </w:r>
      <w:r>
        <w:rPr>
          <w:spacing w:val="-7"/>
          <w:sz w:val="22"/>
        </w:rPr>
        <w:t> </w:t>
      </w:r>
      <w:r>
        <w:rPr>
          <w:sz w:val="22"/>
        </w:rPr>
        <w:t>ligji;</w:t>
      </w:r>
    </w:p>
    <w:p>
      <w:pPr>
        <w:pStyle w:val="BodyText"/>
        <w:ind w:left="121"/>
      </w:pPr>
      <w:r>
        <w:rPr/>
        <w:t>ë) hartimi dhe miratimi i rregulloreve për procedurat dhe kriteret e dhënies së licencave dhe/ose autorizimeve, sipas përcaktimeve të këtij</w:t>
      </w:r>
      <w:r>
        <w:rPr>
          <w:spacing w:val="-2"/>
        </w:rPr>
        <w:t> </w:t>
      </w:r>
      <w:r>
        <w:rPr/>
        <w:t>ligji;</w:t>
      </w:r>
    </w:p>
    <w:p>
      <w:pPr>
        <w:pStyle w:val="ListParagraph"/>
        <w:numPr>
          <w:ilvl w:val="0"/>
          <w:numId w:val="38"/>
        </w:numPr>
        <w:tabs>
          <w:tab w:pos="1046" w:val="left" w:leader="none"/>
        </w:tabs>
        <w:spacing w:line="252" w:lineRule="exact" w:before="0" w:after="0"/>
        <w:ind w:left="1045" w:right="0" w:hanging="205"/>
        <w:jc w:val="left"/>
        <w:rPr>
          <w:sz w:val="22"/>
        </w:rPr>
      </w:pPr>
      <w:r>
        <w:rPr>
          <w:sz w:val="22"/>
        </w:rPr>
        <w:t>përcaktimi i pagesave për</w:t>
      </w:r>
      <w:r>
        <w:rPr>
          <w:spacing w:val="-11"/>
          <w:sz w:val="22"/>
        </w:rPr>
        <w:t> </w:t>
      </w:r>
      <w:r>
        <w:rPr>
          <w:sz w:val="22"/>
        </w:rPr>
        <w:t>licencat;</w:t>
      </w:r>
    </w:p>
    <w:p>
      <w:pPr>
        <w:pStyle w:val="ListParagraph"/>
        <w:numPr>
          <w:ilvl w:val="0"/>
          <w:numId w:val="38"/>
        </w:numPr>
        <w:tabs>
          <w:tab w:pos="1092" w:val="left" w:leader="none"/>
        </w:tabs>
        <w:spacing w:line="252" w:lineRule="exact" w:before="0" w:after="0"/>
        <w:ind w:left="1091" w:right="0" w:hanging="251"/>
        <w:jc w:val="left"/>
        <w:rPr>
          <w:sz w:val="22"/>
        </w:rPr>
      </w:pPr>
      <w:r>
        <w:rPr>
          <w:sz w:val="22"/>
        </w:rPr>
        <w:t>përgatitja</w:t>
      </w:r>
      <w:r>
        <w:rPr>
          <w:spacing w:val="8"/>
          <w:sz w:val="22"/>
        </w:rPr>
        <w:t> </w:t>
      </w:r>
      <w:r>
        <w:rPr>
          <w:sz w:val="22"/>
        </w:rPr>
        <w:t>dhe</w:t>
      </w:r>
      <w:r>
        <w:rPr>
          <w:spacing w:val="9"/>
          <w:sz w:val="22"/>
        </w:rPr>
        <w:t> </w:t>
      </w:r>
      <w:r>
        <w:rPr>
          <w:sz w:val="22"/>
        </w:rPr>
        <w:t>nxjerrja</w:t>
      </w:r>
      <w:r>
        <w:rPr>
          <w:spacing w:val="9"/>
          <w:sz w:val="22"/>
        </w:rPr>
        <w:t> </w:t>
      </w:r>
      <w:r>
        <w:rPr>
          <w:sz w:val="22"/>
        </w:rPr>
        <w:t>e</w:t>
      </w:r>
      <w:r>
        <w:rPr>
          <w:spacing w:val="5"/>
          <w:sz w:val="22"/>
        </w:rPr>
        <w:t> </w:t>
      </w:r>
      <w:r>
        <w:rPr>
          <w:sz w:val="22"/>
        </w:rPr>
        <w:t>udhëzimeve</w:t>
      </w:r>
      <w:r>
        <w:rPr>
          <w:spacing w:val="11"/>
          <w:sz w:val="22"/>
        </w:rPr>
        <w:t> </w:t>
      </w:r>
      <w:r>
        <w:rPr>
          <w:sz w:val="22"/>
        </w:rPr>
        <w:t>për</w:t>
      </w:r>
      <w:r>
        <w:rPr>
          <w:spacing w:val="12"/>
          <w:sz w:val="22"/>
        </w:rPr>
        <w:t> </w:t>
      </w:r>
      <w:r>
        <w:rPr>
          <w:sz w:val="22"/>
        </w:rPr>
        <w:t>RTSH-në,</w:t>
      </w:r>
      <w:r>
        <w:rPr>
          <w:spacing w:val="10"/>
          <w:sz w:val="22"/>
        </w:rPr>
        <w:t> </w:t>
      </w:r>
      <w:r>
        <w:rPr>
          <w:sz w:val="22"/>
        </w:rPr>
        <w:t>në</w:t>
      </w:r>
      <w:r>
        <w:rPr>
          <w:spacing w:val="11"/>
          <w:sz w:val="22"/>
        </w:rPr>
        <w:t> </w:t>
      </w:r>
      <w:r>
        <w:rPr>
          <w:sz w:val="22"/>
        </w:rPr>
        <w:t>lidhje</w:t>
      </w:r>
      <w:r>
        <w:rPr>
          <w:spacing w:val="9"/>
          <w:sz w:val="22"/>
        </w:rPr>
        <w:t> </w:t>
      </w:r>
      <w:r>
        <w:rPr>
          <w:sz w:val="22"/>
        </w:rPr>
        <w:t>me</w:t>
      </w:r>
      <w:r>
        <w:rPr>
          <w:spacing w:val="10"/>
          <w:sz w:val="22"/>
        </w:rPr>
        <w:t> </w:t>
      </w:r>
      <w:r>
        <w:rPr>
          <w:sz w:val="22"/>
        </w:rPr>
        <w:t>përmbushjen</w:t>
      </w:r>
      <w:r>
        <w:rPr>
          <w:spacing w:val="8"/>
          <w:sz w:val="22"/>
        </w:rPr>
        <w:t> </w:t>
      </w:r>
      <w:r>
        <w:rPr>
          <w:sz w:val="22"/>
        </w:rPr>
        <w:t>e</w:t>
      </w:r>
      <w:r>
        <w:rPr>
          <w:spacing w:val="11"/>
          <w:sz w:val="22"/>
        </w:rPr>
        <w:t> </w:t>
      </w:r>
      <w:r>
        <w:rPr>
          <w:sz w:val="22"/>
        </w:rPr>
        <w:t>detyrimeve</w:t>
      </w:r>
      <w:r>
        <w:rPr>
          <w:spacing w:val="11"/>
          <w:sz w:val="22"/>
        </w:rPr>
        <w:t> </w:t>
      </w:r>
      <w:r>
        <w:rPr>
          <w:sz w:val="22"/>
        </w:rPr>
        <w:t>të</w:t>
      </w:r>
    </w:p>
    <w:p>
      <w:pPr>
        <w:pStyle w:val="BodyText"/>
        <w:spacing w:line="252" w:lineRule="exact" w:before="1"/>
        <w:ind w:left="121" w:firstLine="0"/>
      </w:pPr>
      <w:r>
        <w:rPr/>
        <w:t>tij;</w:t>
      </w:r>
    </w:p>
    <w:p>
      <w:pPr>
        <w:pStyle w:val="BodyText"/>
        <w:spacing w:line="252" w:lineRule="exact"/>
        <w:ind w:left="841" w:firstLine="0"/>
      </w:pPr>
      <w:r>
        <w:rPr/>
        <w:t>gj) përcaktimi i kritereve dhe masave rregulluese për bashkëpërdorimin e infrastrukturës së</w:t>
      </w:r>
    </w:p>
    <w:p>
      <w:pPr>
        <w:pStyle w:val="BodyText"/>
        <w:spacing w:line="252" w:lineRule="exact" w:before="2"/>
        <w:ind w:left="121" w:firstLine="0"/>
      </w:pPr>
      <w:r>
        <w:rPr/>
        <w:t>transmetimit të RTSH-së;</w:t>
      </w:r>
    </w:p>
    <w:p>
      <w:pPr>
        <w:pStyle w:val="ListParagraph"/>
        <w:numPr>
          <w:ilvl w:val="0"/>
          <w:numId w:val="38"/>
        </w:numPr>
        <w:tabs>
          <w:tab w:pos="1149" w:val="left" w:leader="none"/>
        </w:tabs>
        <w:spacing w:line="240" w:lineRule="auto" w:before="0" w:after="0"/>
        <w:ind w:left="121" w:right="114" w:firstLine="720"/>
        <w:jc w:val="left"/>
        <w:rPr>
          <w:sz w:val="22"/>
        </w:rPr>
      </w:pPr>
      <w:r>
        <w:rPr>
          <w:sz w:val="22"/>
        </w:rPr>
        <w:t>zgjidhja e mosmarrëveshjeve midis ofruesve të shërbimeve të transmetimeve audio ose audiovizive, përfshirë mosmarrëveshjet me transmetuesin</w:t>
      </w:r>
      <w:r>
        <w:rPr>
          <w:spacing w:val="-4"/>
          <w:sz w:val="22"/>
        </w:rPr>
        <w:t> </w:t>
      </w:r>
      <w:r>
        <w:rPr>
          <w:sz w:val="22"/>
        </w:rPr>
        <w:t>publik;</w:t>
      </w:r>
    </w:p>
    <w:p>
      <w:pPr>
        <w:spacing w:after="0" w:line="240" w:lineRule="auto"/>
        <w:jc w:val="left"/>
        <w:rPr>
          <w:sz w:val="22"/>
        </w:rPr>
        <w:sectPr>
          <w:pgSz w:w="12240" w:h="15840"/>
          <w:pgMar w:top="1360" w:bottom="280" w:left="1320" w:right="1320"/>
        </w:sectPr>
      </w:pPr>
    </w:p>
    <w:p>
      <w:pPr>
        <w:pStyle w:val="ListParagraph"/>
        <w:numPr>
          <w:ilvl w:val="0"/>
          <w:numId w:val="38"/>
        </w:numPr>
        <w:tabs>
          <w:tab w:pos="1033" w:val="left" w:leader="none"/>
        </w:tabs>
        <w:spacing w:line="252" w:lineRule="exact" w:before="74" w:after="0"/>
        <w:ind w:left="1032" w:right="0" w:hanging="193"/>
        <w:jc w:val="left"/>
        <w:rPr>
          <w:sz w:val="22"/>
        </w:rPr>
      </w:pPr>
      <w:r>
        <w:rPr>
          <w:sz w:val="22"/>
        </w:rPr>
        <w:t>bashkëpunimi me ministrin për hartimin e Planit Kombëtar të</w:t>
      </w:r>
      <w:r>
        <w:rPr>
          <w:spacing w:val="-1"/>
          <w:sz w:val="22"/>
        </w:rPr>
        <w:t> </w:t>
      </w:r>
      <w:r>
        <w:rPr>
          <w:sz w:val="22"/>
        </w:rPr>
        <w:t>Frekuencave;</w:t>
      </w:r>
    </w:p>
    <w:p>
      <w:pPr>
        <w:pStyle w:val="ListParagraph"/>
        <w:numPr>
          <w:ilvl w:val="0"/>
          <w:numId w:val="38"/>
        </w:numPr>
        <w:tabs>
          <w:tab w:pos="1045" w:val="left" w:leader="none"/>
        </w:tabs>
        <w:spacing w:line="240" w:lineRule="auto" w:before="0" w:after="0"/>
        <w:ind w:left="120" w:right="118" w:firstLine="720"/>
        <w:jc w:val="left"/>
        <w:rPr>
          <w:sz w:val="22"/>
        </w:rPr>
      </w:pPr>
      <w:r>
        <w:rPr>
          <w:sz w:val="22"/>
        </w:rPr>
        <w:t>bashkëpunimi dhe këshillimi me AKEP-in, Autoritetin e Konkurrencës, Zyrën e të Drejtave të Autorit dhe organet e tjera në përmbushjen e detyrimeve të përcaktuara në këtë</w:t>
      </w:r>
      <w:r>
        <w:rPr>
          <w:spacing w:val="-11"/>
          <w:sz w:val="22"/>
        </w:rPr>
        <w:t> </w:t>
      </w:r>
      <w:r>
        <w:rPr>
          <w:sz w:val="22"/>
        </w:rPr>
        <w:t>ligj.</w:t>
      </w:r>
    </w:p>
    <w:p>
      <w:pPr>
        <w:pStyle w:val="ListParagraph"/>
        <w:numPr>
          <w:ilvl w:val="0"/>
          <w:numId w:val="37"/>
        </w:numPr>
        <w:tabs>
          <w:tab w:pos="1061" w:val="left" w:leader="none"/>
        </w:tabs>
        <w:spacing w:line="240" w:lineRule="auto" w:before="0" w:after="0"/>
        <w:ind w:left="1060" w:right="0" w:hanging="221"/>
        <w:jc w:val="left"/>
        <w:rPr>
          <w:sz w:val="22"/>
        </w:rPr>
      </w:pPr>
      <w:r>
        <w:rPr>
          <w:sz w:val="22"/>
        </w:rPr>
        <w:t>AMA, përveç funksioneve të</w:t>
      </w:r>
      <w:r>
        <w:rPr>
          <w:spacing w:val="-1"/>
          <w:sz w:val="22"/>
        </w:rPr>
        <w:t> </w:t>
      </w:r>
      <w:r>
        <w:rPr>
          <w:sz w:val="22"/>
        </w:rPr>
        <w:t>mësipërme:</w:t>
      </w:r>
    </w:p>
    <w:p>
      <w:pPr>
        <w:pStyle w:val="ListParagraph"/>
        <w:numPr>
          <w:ilvl w:val="0"/>
          <w:numId w:val="39"/>
        </w:numPr>
        <w:tabs>
          <w:tab w:pos="1146" w:val="left" w:leader="none"/>
        </w:tabs>
        <w:spacing w:line="240" w:lineRule="auto" w:before="1" w:after="0"/>
        <w:ind w:left="120" w:right="116" w:firstLine="720"/>
        <w:jc w:val="left"/>
        <w:rPr>
          <w:sz w:val="22"/>
        </w:rPr>
      </w:pPr>
      <w:r>
        <w:rPr>
          <w:sz w:val="22"/>
        </w:rPr>
        <w:t>mbledh, administron dhe publikon informacion për sektorin e mediave audiovizive në Republikën e Shqipërisë, përfshirë teknologjinë e</w:t>
      </w:r>
      <w:r>
        <w:rPr>
          <w:spacing w:val="-5"/>
          <w:sz w:val="22"/>
        </w:rPr>
        <w:t> </w:t>
      </w:r>
      <w:r>
        <w:rPr>
          <w:sz w:val="22"/>
        </w:rPr>
        <w:t>aplikuar;</w:t>
      </w:r>
    </w:p>
    <w:p>
      <w:pPr>
        <w:pStyle w:val="ListParagraph"/>
        <w:numPr>
          <w:ilvl w:val="0"/>
          <w:numId w:val="39"/>
        </w:numPr>
        <w:tabs>
          <w:tab w:pos="1081" w:val="left" w:leader="none"/>
        </w:tabs>
        <w:spacing w:line="251" w:lineRule="exact" w:before="0" w:after="0"/>
        <w:ind w:left="1080" w:right="0" w:hanging="241"/>
        <w:jc w:val="left"/>
        <w:rPr>
          <w:sz w:val="22"/>
        </w:rPr>
      </w:pPr>
      <w:r>
        <w:rPr>
          <w:sz w:val="22"/>
        </w:rPr>
        <w:t>ndjek zhvillimin e veprimtarisë së mediave audiovizive në nivel</w:t>
      </w:r>
      <w:r>
        <w:rPr>
          <w:spacing w:val="-9"/>
          <w:sz w:val="22"/>
        </w:rPr>
        <w:t> </w:t>
      </w:r>
      <w:r>
        <w:rPr>
          <w:sz w:val="22"/>
        </w:rPr>
        <w:t>ndërkombëtar;</w:t>
      </w:r>
    </w:p>
    <w:p>
      <w:pPr>
        <w:pStyle w:val="ListParagraph"/>
        <w:numPr>
          <w:ilvl w:val="0"/>
          <w:numId w:val="39"/>
        </w:numPr>
        <w:tabs>
          <w:tab w:pos="1131" w:val="left" w:leader="none"/>
        </w:tabs>
        <w:spacing w:line="240" w:lineRule="auto" w:before="1" w:after="0"/>
        <w:ind w:left="120" w:right="113" w:firstLine="720"/>
        <w:jc w:val="left"/>
        <w:rPr>
          <w:sz w:val="22"/>
        </w:rPr>
      </w:pPr>
      <w:r>
        <w:rPr>
          <w:sz w:val="22"/>
        </w:rPr>
        <w:t>realizon, organizon, mbështet dhe promovon kërkimin, në lidhje me çështjet e mediave audiovizive;</w:t>
      </w:r>
    </w:p>
    <w:p>
      <w:pPr>
        <w:pStyle w:val="BodyText"/>
      </w:pPr>
      <w:r>
        <w:rPr/>
        <w:t>ç) bashkëpunon me organet e tjera, përfshirë organet përfaqësuese brenda sektorit të mediave audiovizive, për të ndihmuar veprimtaritë trajnuese në sektorin e mediave audiovizive;</w:t>
      </w:r>
    </w:p>
    <w:p>
      <w:pPr>
        <w:pStyle w:val="ListParagraph"/>
        <w:numPr>
          <w:ilvl w:val="0"/>
          <w:numId w:val="39"/>
        </w:numPr>
        <w:tabs>
          <w:tab w:pos="1081" w:val="left" w:leader="none"/>
        </w:tabs>
        <w:spacing w:line="251" w:lineRule="exact" w:before="0" w:after="0"/>
        <w:ind w:left="1080" w:right="0" w:hanging="241"/>
        <w:jc w:val="left"/>
        <w:rPr>
          <w:sz w:val="22"/>
        </w:rPr>
      </w:pPr>
      <w:r>
        <w:rPr>
          <w:sz w:val="22"/>
        </w:rPr>
        <w:t>bashkëpunon me organet homologe të shteteve të</w:t>
      </w:r>
      <w:r>
        <w:rPr>
          <w:spacing w:val="-5"/>
          <w:sz w:val="22"/>
        </w:rPr>
        <w:t> </w:t>
      </w:r>
      <w:r>
        <w:rPr>
          <w:sz w:val="22"/>
        </w:rPr>
        <w:t>tjera;</w:t>
      </w:r>
    </w:p>
    <w:p>
      <w:pPr>
        <w:pStyle w:val="BodyText"/>
        <w:spacing w:before="2"/>
        <w:ind w:right="171" w:firstLine="552"/>
      </w:pPr>
      <w:r>
        <w:rPr/>
        <w:t>dh) ndërmerr, nxit dhe kujdeset për kërkimin dhe veprimtaritë përkatëse, që kanë të bëjnë me rolin e medias, duke përfshirë bashkëpunimin me transmetuesit dhe subjektet e tjera të</w:t>
      </w:r>
      <w:r>
        <w:rPr>
          <w:spacing w:val="-11"/>
        </w:rPr>
        <w:t> </w:t>
      </w:r>
      <w:r>
        <w:rPr/>
        <w:t>fushës;</w:t>
      </w:r>
    </w:p>
    <w:p>
      <w:pPr>
        <w:pStyle w:val="ListParagraph"/>
        <w:numPr>
          <w:ilvl w:val="0"/>
          <w:numId w:val="39"/>
        </w:numPr>
        <w:tabs>
          <w:tab w:pos="1069" w:val="left" w:leader="none"/>
        </w:tabs>
        <w:spacing w:line="252" w:lineRule="exact" w:before="0" w:after="0"/>
        <w:ind w:left="1068" w:right="0" w:hanging="229"/>
        <w:jc w:val="both"/>
        <w:rPr>
          <w:sz w:val="22"/>
        </w:rPr>
      </w:pPr>
      <w:r>
        <w:rPr>
          <w:sz w:val="22"/>
        </w:rPr>
        <w:t>përmbush me efektivitet objektivat e përcaktuar në nenin 18 të këtij</w:t>
      </w:r>
      <w:r>
        <w:rPr>
          <w:spacing w:val="-8"/>
          <w:sz w:val="22"/>
        </w:rPr>
        <w:t> </w:t>
      </w:r>
      <w:r>
        <w:rPr>
          <w:sz w:val="22"/>
        </w:rPr>
        <w:t>ligji.</w:t>
      </w:r>
    </w:p>
    <w:p>
      <w:pPr>
        <w:pStyle w:val="ListParagraph"/>
        <w:numPr>
          <w:ilvl w:val="0"/>
          <w:numId w:val="37"/>
        </w:numPr>
        <w:tabs>
          <w:tab w:pos="1064" w:val="left" w:leader="none"/>
        </w:tabs>
        <w:spacing w:line="240" w:lineRule="auto" w:before="0" w:after="0"/>
        <w:ind w:left="120" w:right="116" w:firstLine="720"/>
        <w:jc w:val="both"/>
        <w:rPr>
          <w:sz w:val="22"/>
        </w:rPr>
      </w:pPr>
      <w:r>
        <w:rPr>
          <w:sz w:val="22"/>
        </w:rPr>
        <w:t>AMA kontrollon zbatimin e këtij ligji nga subjektet që ushtrojnë veprimtari në fushën objekt të këtij ligji dhe, në rast shkeljesh, vendos</w:t>
      </w:r>
      <w:r>
        <w:rPr>
          <w:spacing w:val="-3"/>
          <w:sz w:val="22"/>
        </w:rPr>
        <w:t> </w:t>
      </w:r>
      <w:r>
        <w:rPr>
          <w:sz w:val="22"/>
        </w:rPr>
        <w:t>sanksione.</w:t>
      </w:r>
    </w:p>
    <w:p>
      <w:pPr>
        <w:pStyle w:val="ListParagraph"/>
        <w:numPr>
          <w:ilvl w:val="0"/>
          <w:numId w:val="37"/>
        </w:numPr>
        <w:tabs>
          <w:tab w:pos="1062" w:val="left" w:leader="none"/>
        </w:tabs>
        <w:spacing w:line="252" w:lineRule="exact" w:before="0" w:after="0"/>
        <w:ind w:left="1061" w:right="0" w:hanging="222"/>
        <w:jc w:val="both"/>
        <w:rPr>
          <w:sz w:val="22"/>
        </w:rPr>
      </w:pPr>
      <w:r>
        <w:rPr>
          <w:sz w:val="22"/>
        </w:rPr>
        <w:t>AMA monitoron tërësinë e programeve të transmetuara nga</w:t>
      </w:r>
      <w:r>
        <w:rPr>
          <w:spacing w:val="-7"/>
          <w:sz w:val="22"/>
        </w:rPr>
        <w:t> </w:t>
      </w:r>
      <w:r>
        <w:rPr>
          <w:sz w:val="22"/>
        </w:rPr>
        <w:t>OSHMA-të.</w:t>
      </w:r>
    </w:p>
    <w:p>
      <w:pPr>
        <w:pStyle w:val="ListParagraph"/>
        <w:numPr>
          <w:ilvl w:val="0"/>
          <w:numId w:val="37"/>
        </w:numPr>
        <w:tabs>
          <w:tab w:pos="1081" w:val="left" w:leader="none"/>
        </w:tabs>
        <w:spacing w:line="240" w:lineRule="auto" w:before="0" w:after="0"/>
        <w:ind w:left="120" w:right="114" w:firstLine="720"/>
        <w:jc w:val="both"/>
        <w:rPr>
          <w:sz w:val="22"/>
        </w:rPr>
      </w:pPr>
      <w:r>
        <w:rPr>
          <w:sz w:val="22"/>
        </w:rPr>
        <w:t>AMA udhëzon OSHMA-të shqiptare për transmetime nga Shqipëria në drejtim të vendeve të tjera, në zbatim të akteve ndërkombëtare apo rajonale, në të cilat Republika e Shqipërisë është</w:t>
      </w:r>
      <w:r>
        <w:rPr>
          <w:spacing w:val="-19"/>
          <w:sz w:val="22"/>
        </w:rPr>
        <w:t> </w:t>
      </w:r>
      <w:r>
        <w:rPr>
          <w:sz w:val="22"/>
        </w:rPr>
        <w:t>palë.</w:t>
      </w:r>
    </w:p>
    <w:p>
      <w:pPr>
        <w:pStyle w:val="ListParagraph"/>
        <w:numPr>
          <w:ilvl w:val="0"/>
          <w:numId w:val="37"/>
        </w:numPr>
        <w:tabs>
          <w:tab w:pos="1074" w:val="left" w:leader="none"/>
        </w:tabs>
        <w:spacing w:line="240" w:lineRule="auto" w:before="0" w:after="0"/>
        <w:ind w:left="120" w:right="115" w:firstLine="720"/>
        <w:jc w:val="both"/>
        <w:rPr>
          <w:sz w:val="22"/>
        </w:rPr>
      </w:pPr>
      <w:r>
        <w:rPr>
          <w:sz w:val="22"/>
        </w:rPr>
        <w:t>AMA, për zbatimin e sanksioneve të përcaktuara në këtë ligj, bashkëpunon me organet e tjera publike, sipas kompetencës së</w:t>
      </w:r>
      <w:r>
        <w:rPr>
          <w:spacing w:val="-3"/>
          <w:sz w:val="22"/>
        </w:rPr>
        <w:t> </w:t>
      </w:r>
      <w:r>
        <w:rPr>
          <w:sz w:val="22"/>
        </w:rPr>
        <w:t>tyre.</w:t>
      </w:r>
    </w:p>
    <w:p>
      <w:pPr>
        <w:pStyle w:val="ListParagraph"/>
        <w:numPr>
          <w:ilvl w:val="0"/>
          <w:numId w:val="37"/>
        </w:numPr>
        <w:tabs>
          <w:tab w:pos="1079" w:val="left" w:leader="none"/>
        </w:tabs>
        <w:spacing w:line="240" w:lineRule="auto" w:before="0" w:after="0"/>
        <w:ind w:left="120" w:right="113" w:firstLine="720"/>
        <w:jc w:val="both"/>
        <w:rPr>
          <w:sz w:val="22"/>
        </w:rPr>
      </w:pPr>
      <w:r>
        <w:rPr>
          <w:sz w:val="22"/>
        </w:rPr>
        <w:t>AMA kërkon nga administrata shtetërore, gjykatat, bankat dhe organizma të tjerë përkatës, si dhe nga titullarët e subjekteve të licencuar informacione, që i gjykon të nevojshme për të kontrolluar vërtetësinë e të dhënave të paraqitura nga aplikuesit. Këto të dhëna përdoren vetëm për zbatimin e detyrave të ngarkuara nga ky ligj. Përhapja dhe botimi i tyre nuk</w:t>
      </w:r>
      <w:r>
        <w:rPr>
          <w:spacing w:val="-10"/>
          <w:sz w:val="22"/>
        </w:rPr>
        <w:t> </w:t>
      </w:r>
      <w:r>
        <w:rPr>
          <w:sz w:val="22"/>
        </w:rPr>
        <w:t>lejohet.</w:t>
      </w:r>
    </w:p>
    <w:p>
      <w:pPr>
        <w:pStyle w:val="ListParagraph"/>
        <w:numPr>
          <w:ilvl w:val="0"/>
          <w:numId w:val="37"/>
        </w:numPr>
        <w:tabs>
          <w:tab w:pos="1067" w:val="left" w:leader="none"/>
        </w:tabs>
        <w:spacing w:line="240" w:lineRule="auto" w:before="1" w:after="0"/>
        <w:ind w:left="120" w:right="113" w:firstLine="720"/>
        <w:jc w:val="both"/>
        <w:rPr>
          <w:sz w:val="22"/>
        </w:rPr>
      </w:pPr>
      <w:r>
        <w:rPr>
          <w:sz w:val="22"/>
        </w:rPr>
        <w:t>AMA jep mendim për perspektivën e veprimtarisë së mediave audiovizive, në bazë të kërkesës apo</w:t>
      </w:r>
      <w:r>
        <w:rPr>
          <w:spacing w:val="-1"/>
          <w:sz w:val="22"/>
        </w:rPr>
        <w:t> </w:t>
      </w:r>
      <w:r>
        <w:rPr>
          <w:sz w:val="22"/>
        </w:rPr>
        <w:t>kryesisht.</w:t>
      </w:r>
    </w:p>
    <w:p>
      <w:pPr>
        <w:pStyle w:val="ListParagraph"/>
        <w:numPr>
          <w:ilvl w:val="0"/>
          <w:numId w:val="37"/>
        </w:numPr>
        <w:tabs>
          <w:tab w:pos="1158" w:val="left" w:leader="none"/>
        </w:tabs>
        <w:spacing w:line="242" w:lineRule="auto" w:before="0" w:after="0"/>
        <w:ind w:left="120" w:right="115" w:firstLine="720"/>
        <w:jc w:val="both"/>
        <w:rPr>
          <w:sz w:val="22"/>
        </w:rPr>
      </w:pPr>
      <w:r>
        <w:rPr>
          <w:sz w:val="22"/>
        </w:rPr>
        <w:t>AMA shpreh zyrtarisht propozimet e veta për nënshkrimin dhe zbatimin korrekt të marrëveshjeve ndërkombëtare, që kanë të bëjnë me mediat</w:t>
      </w:r>
      <w:r>
        <w:rPr>
          <w:spacing w:val="-2"/>
          <w:sz w:val="22"/>
        </w:rPr>
        <w:t> </w:t>
      </w:r>
      <w:r>
        <w:rPr>
          <w:sz w:val="22"/>
        </w:rPr>
        <w:t>audiovizive.</w:t>
      </w:r>
    </w:p>
    <w:p>
      <w:pPr>
        <w:pStyle w:val="ListParagraph"/>
        <w:numPr>
          <w:ilvl w:val="0"/>
          <w:numId w:val="37"/>
        </w:numPr>
        <w:tabs>
          <w:tab w:pos="1201" w:val="left" w:leader="none"/>
        </w:tabs>
        <w:spacing w:line="240" w:lineRule="auto" w:before="0" w:after="0"/>
        <w:ind w:left="120" w:right="115" w:firstLine="720"/>
        <w:jc w:val="both"/>
        <w:rPr>
          <w:sz w:val="22"/>
        </w:rPr>
      </w:pPr>
      <w:r>
        <w:rPr>
          <w:sz w:val="22"/>
        </w:rPr>
        <w:t>AMA merr pjesë në veprimtari ndërkombëtare, në lidhje me strategjinë dhe perspektivat e zhvillimit të mediave audiovizive, duke përfaqësuar Republikën e Shqipërisë dhe mbështet pjesëmarrjen e bashkëpunimin e subjekteve publike e private me organizata homologe europiane e botërore në fushën e mediave audiovizive. AMA përgatit studime me rekomandime për qëndrimin e Republikës së Shqipërisë në bisedimet ndërkombëtare zyrtare mbi mediat</w:t>
      </w:r>
      <w:r>
        <w:rPr>
          <w:spacing w:val="1"/>
          <w:sz w:val="22"/>
        </w:rPr>
        <w:t> </w:t>
      </w:r>
      <w:r>
        <w:rPr>
          <w:sz w:val="22"/>
        </w:rPr>
        <w:t>audiovizive.</w:t>
      </w:r>
    </w:p>
    <w:p>
      <w:pPr>
        <w:pStyle w:val="ListParagraph"/>
        <w:numPr>
          <w:ilvl w:val="0"/>
          <w:numId w:val="37"/>
        </w:numPr>
        <w:tabs>
          <w:tab w:pos="1182" w:val="left" w:leader="none"/>
        </w:tabs>
        <w:spacing w:line="240" w:lineRule="auto" w:before="0" w:after="0"/>
        <w:ind w:left="120" w:right="118" w:firstLine="720"/>
        <w:jc w:val="both"/>
        <w:rPr>
          <w:sz w:val="22"/>
        </w:rPr>
      </w:pPr>
      <w:r>
        <w:rPr>
          <w:sz w:val="22"/>
        </w:rPr>
        <w:t>AMA sugjeron ndryshime të legjislacionit dhe të rregulloreve, të cilat diktohen nga zhvillimi teknologjik, ekonomik, social dhe kulturor në fushën e mediave</w:t>
      </w:r>
      <w:r>
        <w:rPr>
          <w:spacing w:val="-7"/>
          <w:sz w:val="22"/>
        </w:rPr>
        <w:t> </w:t>
      </w:r>
      <w:r>
        <w:rPr>
          <w:sz w:val="22"/>
        </w:rPr>
        <w:t>audiovizive.</w:t>
      </w:r>
    </w:p>
    <w:p>
      <w:pPr>
        <w:pStyle w:val="ListParagraph"/>
        <w:numPr>
          <w:ilvl w:val="0"/>
          <w:numId w:val="37"/>
        </w:numPr>
        <w:tabs>
          <w:tab w:pos="1172" w:val="left" w:leader="none"/>
        </w:tabs>
        <w:spacing w:line="252" w:lineRule="exact" w:before="0" w:after="0"/>
        <w:ind w:left="1171" w:right="0" w:hanging="332"/>
        <w:jc w:val="both"/>
        <w:rPr>
          <w:sz w:val="22"/>
        </w:rPr>
      </w:pPr>
      <w:r>
        <w:rPr>
          <w:sz w:val="22"/>
        </w:rPr>
        <w:t>AMA harton dhe miraton rregulloren e brendshme të administratës së</w:t>
      </w:r>
      <w:r>
        <w:rPr>
          <w:spacing w:val="-13"/>
          <w:sz w:val="22"/>
        </w:rPr>
        <w:t> </w:t>
      </w:r>
      <w:r>
        <w:rPr>
          <w:sz w:val="22"/>
        </w:rPr>
        <w:t>saj.</w:t>
      </w:r>
    </w:p>
    <w:p>
      <w:pPr>
        <w:pStyle w:val="ListParagraph"/>
        <w:numPr>
          <w:ilvl w:val="0"/>
          <w:numId w:val="37"/>
        </w:numPr>
        <w:tabs>
          <w:tab w:pos="1220" w:val="left" w:leader="none"/>
        </w:tabs>
        <w:spacing w:line="240" w:lineRule="auto" w:before="0" w:after="0"/>
        <w:ind w:left="120" w:right="115" w:firstLine="720"/>
        <w:jc w:val="both"/>
        <w:rPr>
          <w:sz w:val="22"/>
        </w:rPr>
      </w:pPr>
      <w:r>
        <w:rPr>
          <w:sz w:val="22"/>
        </w:rPr>
        <w:t>AMA miraton projektbuxhetin e saj vjetor, shqyrton dhe miraton bilancin vjetor, si dhe raportin vjetor mbi veprimtarinë e saj përpara se t’i paraqitet</w:t>
      </w:r>
      <w:r>
        <w:rPr>
          <w:spacing w:val="-5"/>
          <w:sz w:val="22"/>
        </w:rPr>
        <w:t> </w:t>
      </w:r>
      <w:r>
        <w:rPr>
          <w:sz w:val="22"/>
        </w:rPr>
        <w:t>Kuvendit.</w:t>
      </w:r>
    </w:p>
    <w:p>
      <w:pPr>
        <w:pStyle w:val="ListParagraph"/>
        <w:numPr>
          <w:ilvl w:val="0"/>
          <w:numId w:val="37"/>
        </w:numPr>
        <w:tabs>
          <w:tab w:pos="1204" w:val="left" w:leader="none"/>
        </w:tabs>
        <w:spacing w:line="240" w:lineRule="auto" w:before="0" w:after="0"/>
        <w:ind w:left="120" w:right="113" w:firstLine="720"/>
        <w:jc w:val="both"/>
        <w:rPr>
          <w:sz w:val="22"/>
        </w:rPr>
      </w:pPr>
      <w:r>
        <w:rPr>
          <w:sz w:val="22"/>
        </w:rPr>
        <w:t>AMA raporton në fillim të çdo viti për veprimtarinë vjetore të saj, zhvillimet në fushën e transmetimeve dhe mënyrën se si janë respektuar nga rrjeti publik dhe privat detyrimet, që rrjedhin nga ky ligj. Raportin e paraqet para Komisionit për Edukimin dhe Mjetet e Informimit Publik dhe para Kuvendit në seancë</w:t>
      </w:r>
      <w:r>
        <w:rPr>
          <w:spacing w:val="-2"/>
          <w:sz w:val="22"/>
        </w:rPr>
        <w:t> </w:t>
      </w:r>
      <w:r>
        <w:rPr>
          <w:sz w:val="22"/>
        </w:rPr>
        <w:t>plenare.</w:t>
      </w:r>
    </w:p>
    <w:p>
      <w:pPr>
        <w:pStyle w:val="ListParagraph"/>
        <w:numPr>
          <w:ilvl w:val="0"/>
          <w:numId w:val="37"/>
        </w:numPr>
        <w:tabs>
          <w:tab w:pos="1187" w:val="left" w:leader="none"/>
        </w:tabs>
        <w:spacing w:line="240" w:lineRule="auto" w:before="0" w:after="0"/>
        <w:ind w:left="120" w:right="115" w:firstLine="719"/>
        <w:jc w:val="both"/>
        <w:rPr>
          <w:sz w:val="22"/>
        </w:rPr>
      </w:pPr>
      <w:r>
        <w:rPr>
          <w:sz w:val="22"/>
        </w:rPr>
        <w:t>AMA kontrollon cilësinë e marrjes së sinjaleve në zonat e mbulimit dhe kërkon zgjidhje për ankesat e publikut për cilësinë e transmetimit të sinjaleve</w:t>
      </w:r>
      <w:r>
        <w:rPr>
          <w:spacing w:val="-4"/>
          <w:sz w:val="22"/>
        </w:rPr>
        <w:t> </w:t>
      </w:r>
      <w:r>
        <w:rPr>
          <w:sz w:val="22"/>
        </w:rPr>
        <w:t>audiovizive.</w:t>
      </w:r>
    </w:p>
    <w:p>
      <w:pPr>
        <w:pStyle w:val="ListParagraph"/>
        <w:numPr>
          <w:ilvl w:val="0"/>
          <w:numId w:val="37"/>
        </w:numPr>
        <w:tabs>
          <w:tab w:pos="1173" w:val="left" w:leader="none"/>
        </w:tabs>
        <w:spacing w:line="252" w:lineRule="exact" w:before="0" w:after="0"/>
        <w:ind w:left="1172" w:right="0" w:hanging="333"/>
        <w:jc w:val="left"/>
        <w:rPr>
          <w:sz w:val="22"/>
        </w:rPr>
      </w:pPr>
      <w:r>
        <w:rPr>
          <w:sz w:val="22"/>
        </w:rPr>
        <w:t>AMA nxjerr vendime në zbatim të funksioneve të veta dhe të këtij</w:t>
      </w:r>
      <w:r>
        <w:rPr>
          <w:spacing w:val="-10"/>
          <w:sz w:val="22"/>
        </w:rPr>
        <w:t> </w:t>
      </w:r>
      <w:r>
        <w:rPr>
          <w:sz w:val="22"/>
        </w:rPr>
        <w:t>ligji.</w:t>
      </w:r>
    </w:p>
    <w:p>
      <w:pPr>
        <w:pStyle w:val="ListParagraph"/>
        <w:numPr>
          <w:ilvl w:val="0"/>
          <w:numId w:val="37"/>
        </w:numPr>
        <w:tabs>
          <w:tab w:pos="1173" w:val="left" w:leader="none"/>
        </w:tabs>
        <w:spacing w:line="252" w:lineRule="exact" w:before="0" w:after="0"/>
        <w:ind w:left="1172" w:right="0" w:hanging="333"/>
        <w:jc w:val="left"/>
        <w:rPr>
          <w:sz w:val="22"/>
        </w:rPr>
      </w:pPr>
      <w:r>
        <w:rPr>
          <w:sz w:val="22"/>
        </w:rPr>
        <w:t>AMA i propozon Kuvendit strukturën organizative të</w:t>
      </w:r>
      <w:r>
        <w:rPr>
          <w:spacing w:val="-10"/>
          <w:sz w:val="22"/>
        </w:rPr>
        <w:t> </w:t>
      </w:r>
      <w:r>
        <w:rPr>
          <w:sz w:val="22"/>
        </w:rPr>
        <w:t>institucionit.</w:t>
      </w:r>
    </w:p>
    <w:p>
      <w:pPr>
        <w:pStyle w:val="ListParagraph"/>
        <w:numPr>
          <w:ilvl w:val="0"/>
          <w:numId w:val="37"/>
        </w:numPr>
        <w:tabs>
          <w:tab w:pos="1173" w:val="left" w:leader="none"/>
        </w:tabs>
        <w:spacing w:line="240" w:lineRule="auto" w:before="0" w:after="0"/>
        <w:ind w:left="1172" w:right="0" w:hanging="333"/>
        <w:jc w:val="left"/>
        <w:rPr>
          <w:sz w:val="22"/>
        </w:rPr>
      </w:pPr>
      <w:r>
        <w:rPr>
          <w:sz w:val="22"/>
        </w:rPr>
        <w:t>AMA siguron shfrytëzimin me efektivitet të burimeve të</w:t>
      </w:r>
      <w:r>
        <w:rPr>
          <w:spacing w:val="-4"/>
          <w:sz w:val="22"/>
        </w:rPr>
        <w:t> </w:t>
      </w:r>
      <w:r>
        <w:rPr>
          <w:sz w:val="22"/>
        </w:rPr>
        <w:t>financimit.</w:t>
      </w:r>
    </w:p>
    <w:p>
      <w:pPr>
        <w:spacing w:after="0" w:line="240" w:lineRule="auto"/>
        <w:jc w:val="left"/>
        <w:rPr>
          <w:sz w:val="22"/>
        </w:rPr>
        <w:sectPr>
          <w:pgSz w:w="12240" w:h="15840"/>
          <w:pgMar w:top="1360" w:bottom="280" w:left="1320" w:right="1320"/>
        </w:sectPr>
      </w:pPr>
    </w:p>
    <w:p>
      <w:pPr>
        <w:pStyle w:val="BodyText"/>
        <w:ind w:left="0" w:firstLine="0"/>
        <w:rPr>
          <w:sz w:val="20"/>
        </w:rPr>
      </w:pPr>
    </w:p>
    <w:p>
      <w:pPr>
        <w:pStyle w:val="BodyText"/>
        <w:ind w:left="0" w:firstLine="0"/>
        <w:rPr>
          <w:sz w:val="20"/>
        </w:rPr>
      </w:pPr>
    </w:p>
    <w:p>
      <w:pPr>
        <w:pStyle w:val="BodyText"/>
        <w:ind w:left="0" w:firstLine="0"/>
        <w:rPr>
          <w:sz w:val="20"/>
        </w:rPr>
      </w:pPr>
    </w:p>
    <w:p>
      <w:pPr>
        <w:pStyle w:val="BodyText"/>
        <w:spacing w:before="208"/>
        <w:ind w:left="146" w:right="146" w:firstLine="0"/>
        <w:jc w:val="center"/>
      </w:pPr>
      <w:r>
        <w:rPr/>
        <w:t>Neni 20</w:t>
      </w:r>
    </w:p>
    <w:p>
      <w:pPr>
        <w:pStyle w:val="Heading1"/>
        <w:spacing w:before="7"/>
      </w:pPr>
      <w:r>
        <w:rPr/>
        <w:t>Këshilli i Ankesave</w:t>
      </w:r>
    </w:p>
    <w:p>
      <w:pPr>
        <w:pStyle w:val="BodyText"/>
        <w:spacing w:before="7"/>
        <w:ind w:left="0" w:firstLine="0"/>
        <w:rPr>
          <w:b/>
          <w:sz w:val="21"/>
        </w:rPr>
      </w:pPr>
    </w:p>
    <w:p>
      <w:pPr>
        <w:pStyle w:val="ListParagraph"/>
        <w:numPr>
          <w:ilvl w:val="0"/>
          <w:numId w:val="40"/>
        </w:numPr>
        <w:tabs>
          <w:tab w:pos="1064" w:val="left" w:leader="none"/>
        </w:tabs>
        <w:spacing w:line="240" w:lineRule="auto" w:before="0" w:after="0"/>
        <w:ind w:left="119" w:right="113" w:firstLine="720"/>
        <w:jc w:val="both"/>
        <w:rPr>
          <w:sz w:val="22"/>
        </w:rPr>
      </w:pPr>
      <w:r>
        <w:rPr>
          <w:sz w:val="22"/>
        </w:rPr>
        <w:t>Këshilli i Ankesave caktohet nga AMA me shumicë të cilësuar dhe përbëhet nga kryetari dhe 2 anëtarë, specialistë të fushës së medias, të cilët emërohen për një periudhë 3-vjeçare, me të drejtë riemërimi jo më shumë se një</w:t>
      </w:r>
      <w:r>
        <w:rPr>
          <w:spacing w:val="-3"/>
          <w:sz w:val="22"/>
        </w:rPr>
        <w:t> </w:t>
      </w:r>
      <w:r>
        <w:rPr>
          <w:sz w:val="22"/>
        </w:rPr>
        <w:t>herë.</w:t>
      </w:r>
    </w:p>
    <w:p>
      <w:pPr>
        <w:pStyle w:val="ListParagraph"/>
        <w:numPr>
          <w:ilvl w:val="0"/>
          <w:numId w:val="40"/>
        </w:numPr>
        <w:tabs>
          <w:tab w:pos="1073" w:val="left" w:leader="none"/>
        </w:tabs>
        <w:spacing w:line="240" w:lineRule="auto" w:before="0" w:after="0"/>
        <w:ind w:left="119" w:right="112" w:firstLine="720"/>
        <w:jc w:val="both"/>
        <w:rPr>
          <w:sz w:val="22"/>
        </w:rPr>
      </w:pPr>
      <w:r>
        <w:rPr>
          <w:sz w:val="22"/>
        </w:rPr>
        <w:t>Objekti i punës së Këshillit të Ankesave është mbikëqyrja e zbatimit të kodit dhe rregulloreve të miratuara nga AMA, që kanë të bëjnë sidomos me respektimin e dinjitetit e të drejtave të tjera themelore të njeriut, në mënyrë të veçantë mbrojtjen e të miturve, të drejtës për informacion dhe sensibilizimit të opinionit publik, lidhur me respektimin e normave morale dhe etike në programet e ofruesve të shërbimeve</w:t>
      </w:r>
      <w:r>
        <w:rPr>
          <w:spacing w:val="-3"/>
          <w:sz w:val="22"/>
        </w:rPr>
        <w:t> </w:t>
      </w:r>
      <w:r>
        <w:rPr>
          <w:sz w:val="22"/>
        </w:rPr>
        <w:t>audiovizive.</w:t>
      </w:r>
    </w:p>
    <w:p>
      <w:pPr>
        <w:pStyle w:val="ListParagraph"/>
        <w:numPr>
          <w:ilvl w:val="0"/>
          <w:numId w:val="40"/>
        </w:numPr>
        <w:tabs>
          <w:tab w:pos="1061" w:val="left" w:leader="none"/>
        </w:tabs>
        <w:spacing w:line="252" w:lineRule="exact" w:before="0" w:after="0"/>
        <w:ind w:left="1060" w:right="0" w:hanging="222"/>
        <w:jc w:val="both"/>
        <w:rPr>
          <w:sz w:val="22"/>
        </w:rPr>
      </w:pPr>
      <w:r>
        <w:rPr>
          <w:sz w:val="22"/>
        </w:rPr>
        <w:t>Funksionet kryesore të Këshillit të Ankesave, në përmbushje të objektit të punës së tij,</w:t>
      </w:r>
      <w:r>
        <w:rPr>
          <w:spacing w:val="-22"/>
          <w:sz w:val="22"/>
        </w:rPr>
        <w:t> </w:t>
      </w:r>
      <w:r>
        <w:rPr>
          <w:sz w:val="22"/>
        </w:rPr>
        <w:t>janë:</w:t>
      </w:r>
    </w:p>
    <w:p>
      <w:pPr>
        <w:pStyle w:val="ListParagraph"/>
        <w:numPr>
          <w:ilvl w:val="0"/>
          <w:numId w:val="41"/>
        </w:numPr>
        <w:tabs>
          <w:tab w:pos="1141" w:val="left" w:leader="none"/>
        </w:tabs>
        <w:spacing w:line="240" w:lineRule="auto" w:before="0" w:after="0"/>
        <w:ind w:left="119" w:right="118" w:firstLine="720"/>
        <w:jc w:val="left"/>
        <w:rPr>
          <w:sz w:val="22"/>
        </w:rPr>
      </w:pPr>
      <w:r>
        <w:rPr>
          <w:sz w:val="22"/>
        </w:rPr>
        <w:t>të mbikëqyrë zbatimin e kodeve dhe rregulloreve nga OSHMA-të dhe RTSH-ja, sipas përcaktimeve të këtij</w:t>
      </w:r>
      <w:r>
        <w:rPr>
          <w:spacing w:val="-2"/>
          <w:sz w:val="22"/>
        </w:rPr>
        <w:t> </w:t>
      </w:r>
      <w:r>
        <w:rPr>
          <w:sz w:val="22"/>
        </w:rPr>
        <w:t>ligji;</w:t>
      </w:r>
    </w:p>
    <w:p>
      <w:pPr>
        <w:pStyle w:val="ListParagraph"/>
        <w:numPr>
          <w:ilvl w:val="0"/>
          <w:numId w:val="41"/>
        </w:numPr>
        <w:tabs>
          <w:tab w:pos="1080" w:val="left" w:leader="none"/>
        </w:tabs>
        <w:spacing w:line="240" w:lineRule="auto" w:before="0" w:after="0"/>
        <w:ind w:left="1079" w:right="0" w:hanging="241"/>
        <w:jc w:val="left"/>
        <w:rPr>
          <w:sz w:val="22"/>
        </w:rPr>
      </w:pPr>
      <w:r>
        <w:rPr>
          <w:sz w:val="22"/>
        </w:rPr>
        <w:t>të shqyrtojë ankesat, sipas neneve 51, 52 dhe 53 të këtij</w:t>
      </w:r>
      <w:r>
        <w:rPr>
          <w:spacing w:val="-11"/>
          <w:sz w:val="22"/>
        </w:rPr>
        <w:t> </w:t>
      </w:r>
      <w:r>
        <w:rPr>
          <w:sz w:val="22"/>
        </w:rPr>
        <w:t>ligji.</w:t>
      </w:r>
    </w:p>
    <w:p>
      <w:pPr>
        <w:pStyle w:val="ListParagraph"/>
        <w:numPr>
          <w:ilvl w:val="0"/>
          <w:numId w:val="40"/>
        </w:numPr>
        <w:tabs>
          <w:tab w:pos="1102" w:val="left" w:leader="none"/>
        </w:tabs>
        <w:spacing w:line="240" w:lineRule="auto" w:before="0" w:after="0"/>
        <w:ind w:left="119" w:right="113" w:firstLine="720"/>
        <w:jc w:val="left"/>
        <w:rPr>
          <w:sz w:val="22"/>
        </w:rPr>
      </w:pPr>
      <w:r>
        <w:rPr>
          <w:sz w:val="22"/>
        </w:rPr>
        <w:t>Për realizimin e funksioneve të tij, Këshilli i Ankesave mbështetet në strukturat e tjera të AMA-s.</w:t>
      </w:r>
    </w:p>
    <w:p>
      <w:pPr>
        <w:pStyle w:val="ListParagraph"/>
        <w:numPr>
          <w:ilvl w:val="0"/>
          <w:numId w:val="40"/>
        </w:numPr>
        <w:tabs>
          <w:tab w:pos="1063" w:val="left" w:leader="none"/>
        </w:tabs>
        <w:spacing w:line="240" w:lineRule="auto" w:before="0" w:after="0"/>
        <w:ind w:left="119" w:right="116" w:firstLine="720"/>
        <w:jc w:val="both"/>
        <w:rPr>
          <w:sz w:val="22"/>
        </w:rPr>
      </w:pPr>
      <w:r>
        <w:rPr>
          <w:sz w:val="22"/>
        </w:rPr>
        <w:t>Këshilli i Ankesave ndjek në mënyrë periodike masën, në të cilën programet e një transmetuesi të huaj, të cilët tërësisht ose kryesisht u drejtohen spektatorëve në Republikën e Shqipërisë ekskluzivisht për qëllime informative, përputhen me kodet e transmetimit.</w:t>
      </w:r>
    </w:p>
    <w:p>
      <w:pPr>
        <w:pStyle w:val="ListParagraph"/>
        <w:numPr>
          <w:ilvl w:val="0"/>
          <w:numId w:val="40"/>
        </w:numPr>
        <w:tabs>
          <w:tab w:pos="1090" w:val="left" w:leader="none"/>
        </w:tabs>
        <w:spacing w:line="240" w:lineRule="auto" w:before="0" w:after="0"/>
        <w:ind w:left="119" w:right="114" w:firstLine="720"/>
        <w:jc w:val="both"/>
        <w:rPr>
          <w:sz w:val="22"/>
        </w:rPr>
      </w:pPr>
      <w:r>
        <w:rPr>
          <w:sz w:val="22"/>
        </w:rPr>
        <w:t>Këshilli i Ankesave, me ekspertizë të pavarur, mund të organizojë anketime të publikut për problemet etike të programeve. Përfundimet që nxjerr nga studimi i anketimeve dhe nga ankesat e publikut ia raporton AMA-s, duke sugjeruar masat për përmirësim. Përfundimet mund të publikohen edhe në mjetet e informimit</w:t>
      </w:r>
      <w:r>
        <w:rPr>
          <w:spacing w:val="-2"/>
          <w:sz w:val="22"/>
        </w:rPr>
        <w:t> </w:t>
      </w:r>
      <w:r>
        <w:rPr>
          <w:sz w:val="22"/>
        </w:rPr>
        <w:t>publik.</w:t>
      </w:r>
    </w:p>
    <w:p>
      <w:pPr>
        <w:pStyle w:val="ListParagraph"/>
        <w:numPr>
          <w:ilvl w:val="0"/>
          <w:numId w:val="40"/>
        </w:numPr>
        <w:tabs>
          <w:tab w:pos="1073" w:val="left" w:leader="none"/>
        </w:tabs>
        <w:spacing w:line="240" w:lineRule="auto" w:before="0" w:after="0"/>
        <w:ind w:left="119" w:right="116" w:firstLine="720"/>
        <w:jc w:val="both"/>
        <w:rPr>
          <w:sz w:val="22"/>
        </w:rPr>
      </w:pPr>
      <w:r>
        <w:rPr>
          <w:sz w:val="22"/>
        </w:rPr>
        <w:t>Çdo 6 muaj Këshilli i Ankesave boton një përmbledhje të përfundimeve të nxjerra, në bazë të pikës 6 të këtij neni, në një buletin të veçantë që botohet nga</w:t>
      </w:r>
      <w:r>
        <w:rPr>
          <w:spacing w:val="-7"/>
          <w:sz w:val="22"/>
        </w:rPr>
        <w:t> </w:t>
      </w:r>
      <w:r>
        <w:rPr>
          <w:sz w:val="22"/>
        </w:rPr>
        <w:t>AMA.</w:t>
      </w:r>
    </w:p>
    <w:p>
      <w:pPr>
        <w:pStyle w:val="ListParagraph"/>
        <w:numPr>
          <w:ilvl w:val="0"/>
          <w:numId w:val="40"/>
        </w:numPr>
        <w:tabs>
          <w:tab w:pos="1083" w:val="left" w:leader="none"/>
        </w:tabs>
        <w:spacing w:line="240" w:lineRule="auto" w:before="0" w:after="0"/>
        <w:ind w:left="119" w:right="116" w:firstLine="720"/>
        <w:jc w:val="both"/>
        <w:rPr>
          <w:sz w:val="22"/>
        </w:rPr>
      </w:pPr>
      <w:r>
        <w:rPr>
          <w:sz w:val="22"/>
        </w:rPr>
        <w:t>Paga e anëtarëve të Këshillit të Ankesave përcaktohet në përputhje me legjislacionin në fuqi dhe mbulohet nga</w:t>
      </w:r>
      <w:r>
        <w:rPr>
          <w:spacing w:val="-3"/>
          <w:sz w:val="22"/>
        </w:rPr>
        <w:t> </w:t>
      </w:r>
      <w:r>
        <w:rPr>
          <w:sz w:val="22"/>
        </w:rPr>
        <w:t>AMA.</w:t>
      </w:r>
    </w:p>
    <w:p>
      <w:pPr>
        <w:spacing w:after="0" w:line="240" w:lineRule="auto"/>
        <w:jc w:val="both"/>
        <w:rPr>
          <w:sz w:val="22"/>
        </w:rPr>
        <w:sectPr>
          <w:pgSz w:w="12240" w:h="15840"/>
          <w:pgMar w:top="1500" w:bottom="280" w:left="1320" w:right="1320"/>
        </w:sectPr>
      </w:pPr>
    </w:p>
    <w:p>
      <w:pPr>
        <w:pStyle w:val="BodyText"/>
        <w:ind w:left="0" w:firstLine="0"/>
        <w:rPr>
          <w:sz w:val="24"/>
        </w:rPr>
      </w:pPr>
    </w:p>
    <w:p>
      <w:pPr>
        <w:pStyle w:val="BodyText"/>
        <w:ind w:left="0" w:firstLine="0"/>
        <w:rPr>
          <w:sz w:val="24"/>
        </w:rPr>
      </w:pPr>
    </w:p>
    <w:p>
      <w:pPr>
        <w:pStyle w:val="BodyText"/>
        <w:ind w:left="0" w:firstLine="0"/>
        <w:rPr>
          <w:sz w:val="24"/>
        </w:rPr>
      </w:pPr>
    </w:p>
    <w:p>
      <w:pPr>
        <w:pStyle w:val="BodyText"/>
        <w:ind w:left="0" w:firstLine="0"/>
        <w:rPr>
          <w:sz w:val="20"/>
        </w:rPr>
      </w:pPr>
    </w:p>
    <w:p>
      <w:pPr>
        <w:pStyle w:val="BodyText"/>
        <w:spacing w:before="1"/>
        <w:ind w:firstLine="0"/>
      </w:pPr>
      <w:r>
        <w:rPr/>
        <w:t>ligjore.</w:t>
      </w:r>
    </w:p>
    <w:p>
      <w:pPr>
        <w:pStyle w:val="BodyText"/>
        <w:spacing w:before="115"/>
        <w:ind w:left="3079" w:right="3868" w:firstLine="0"/>
        <w:jc w:val="center"/>
      </w:pPr>
      <w:r>
        <w:rPr/>
        <w:br w:type="column"/>
      </w:r>
      <w:r>
        <w:rPr/>
        <w:t>Neni 21</w:t>
      </w:r>
    </w:p>
    <w:p>
      <w:pPr>
        <w:pStyle w:val="Heading1"/>
        <w:ind w:left="3079" w:right="3868"/>
      </w:pPr>
      <w:r>
        <w:rPr/>
        <w:t>Strategjia e AMA-s</w:t>
      </w:r>
    </w:p>
    <w:p>
      <w:pPr>
        <w:pStyle w:val="ListParagraph"/>
        <w:numPr>
          <w:ilvl w:val="0"/>
          <w:numId w:val="42"/>
        </w:numPr>
        <w:tabs>
          <w:tab w:pos="273" w:val="left" w:leader="none"/>
        </w:tabs>
        <w:spacing w:line="240" w:lineRule="auto" w:before="179" w:after="0"/>
        <w:ind w:left="272" w:right="0" w:hanging="225"/>
        <w:jc w:val="left"/>
        <w:rPr>
          <w:sz w:val="22"/>
        </w:rPr>
      </w:pPr>
      <w:r>
        <w:rPr>
          <w:sz w:val="22"/>
        </w:rPr>
        <w:t>AMA harton dhe miraton një strategji, ku pasqyron mënyrën e realizimit të funksioneve të</w:t>
      </w:r>
      <w:r>
        <w:rPr>
          <w:spacing w:val="20"/>
          <w:sz w:val="22"/>
        </w:rPr>
        <w:t> </w:t>
      </w:r>
      <w:r>
        <w:rPr>
          <w:sz w:val="22"/>
        </w:rPr>
        <w:t>veta</w:t>
      </w:r>
    </w:p>
    <w:p>
      <w:pPr>
        <w:pStyle w:val="BodyText"/>
        <w:ind w:left="0" w:firstLine="0"/>
      </w:pPr>
    </w:p>
    <w:p>
      <w:pPr>
        <w:pStyle w:val="ListParagraph"/>
        <w:numPr>
          <w:ilvl w:val="0"/>
          <w:numId w:val="42"/>
        </w:numPr>
        <w:tabs>
          <w:tab w:pos="270" w:val="left" w:leader="none"/>
        </w:tabs>
        <w:spacing w:line="252" w:lineRule="exact" w:before="1" w:after="0"/>
        <w:ind w:left="269" w:right="0" w:hanging="222"/>
        <w:jc w:val="left"/>
        <w:rPr>
          <w:sz w:val="22"/>
        </w:rPr>
      </w:pPr>
      <w:r>
        <w:rPr>
          <w:sz w:val="22"/>
        </w:rPr>
        <w:t>Strategjia</w:t>
      </w:r>
      <w:r>
        <w:rPr>
          <w:spacing w:val="-1"/>
          <w:sz w:val="22"/>
        </w:rPr>
        <w:t> </w:t>
      </w:r>
      <w:r>
        <w:rPr>
          <w:sz w:val="22"/>
        </w:rPr>
        <w:t>duhet:</w:t>
      </w:r>
    </w:p>
    <w:p>
      <w:pPr>
        <w:pStyle w:val="ListParagraph"/>
        <w:numPr>
          <w:ilvl w:val="0"/>
          <w:numId w:val="43"/>
        </w:numPr>
        <w:tabs>
          <w:tab w:pos="304" w:val="left" w:leader="none"/>
        </w:tabs>
        <w:spacing w:line="252" w:lineRule="exact" w:before="0" w:after="0"/>
        <w:ind w:left="303" w:right="0" w:hanging="256"/>
        <w:jc w:val="left"/>
        <w:rPr>
          <w:sz w:val="22"/>
        </w:rPr>
      </w:pPr>
      <w:r>
        <w:rPr>
          <w:sz w:val="22"/>
        </w:rPr>
        <w:t>të</w:t>
      </w:r>
      <w:r>
        <w:rPr>
          <w:spacing w:val="25"/>
          <w:sz w:val="22"/>
        </w:rPr>
        <w:t> </w:t>
      </w:r>
      <w:r>
        <w:rPr>
          <w:sz w:val="22"/>
        </w:rPr>
        <w:t>përfshijë</w:t>
      </w:r>
      <w:r>
        <w:rPr>
          <w:spacing w:val="24"/>
          <w:sz w:val="22"/>
        </w:rPr>
        <w:t> </w:t>
      </w:r>
      <w:r>
        <w:rPr>
          <w:sz w:val="22"/>
        </w:rPr>
        <w:t>qëllimet</w:t>
      </w:r>
      <w:r>
        <w:rPr>
          <w:spacing w:val="25"/>
          <w:sz w:val="22"/>
        </w:rPr>
        <w:t> </w:t>
      </w:r>
      <w:r>
        <w:rPr>
          <w:sz w:val="22"/>
        </w:rPr>
        <w:t>kryesore</w:t>
      </w:r>
      <w:r>
        <w:rPr>
          <w:spacing w:val="26"/>
          <w:sz w:val="22"/>
        </w:rPr>
        <w:t> </w:t>
      </w:r>
      <w:r>
        <w:rPr>
          <w:sz w:val="22"/>
        </w:rPr>
        <w:t>dhe</w:t>
      </w:r>
      <w:r>
        <w:rPr>
          <w:spacing w:val="25"/>
          <w:sz w:val="22"/>
        </w:rPr>
        <w:t> </w:t>
      </w:r>
      <w:r>
        <w:rPr>
          <w:sz w:val="22"/>
        </w:rPr>
        <w:t>aktivitetet</w:t>
      </w:r>
      <w:r>
        <w:rPr>
          <w:spacing w:val="25"/>
          <w:sz w:val="22"/>
        </w:rPr>
        <w:t> </w:t>
      </w:r>
      <w:r>
        <w:rPr>
          <w:sz w:val="22"/>
        </w:rPr>
        <w:t>në</w:t>
      </w:r>
      <w:r>
        <w:rPr>
          <w:spacing w:val="25"/>
          <w:sz w:val="22"/>
        </w:rPr>
        <w:t> </w:t>
      </w:r>
      <w:r>
        <w:rPr>
          <w:sz w:val="22"/>
        </w:rPr>
        <w:t>përmbushje</w:t>
      </w:r>
      <w:r>
        <w:rPr>
          <w:spacing w:val="26"/>
          <w:sz w:val="22"/>
        </w:rPr>
        <w:t> </w:t>
      </w:r>
      <w:r>
        <w:rPr>
          <w:sz w:val="22"/>
        </w:rPr>
        <w:t>të</w:t>
      </w:r>
      <w:r>
        <w:rPr>
          <w:spacing w:val="25"/>
          <w:sz w:val="22"/>
        </w:rPr>
        <w:t> </w:t>
      </w:r>
      <w:r>
        <w:rPr>
          <w:sz w:val="22"/>
        </w:rPr>
        <w:t>objektivave</w:t>
      </w:r>
      <w:r>
        <w:rPr>
          <w:spacing w:val="24"/>
          <w:sz w:val="22"/>
        </w:rPr>
        <w:t> </w:t>
      </w:r>
      <w:r>
        <w:rPr>
          <w:sz w:val="22"/>
        </w:rPr>
        <w:t>të</w:t>
      </w:r>
      <w:r>
        <w:rPr>
          <w:spacing w:val="24"/>
          <w:sz w:val="22"/>
        </w:rPr>
        <w:t> </w:t>
      </w:r>
      <w:r>
        <w:rPr>
          <w:sz w:val="22"/>
        </w:rPr>
        <w:t>AMA-s</w:t>
      </w:r>
      <w:r>
        <w:rPr>
          <w:spacing w:val="26"/>
          <w:sz w:val="22"/>
        </w:rPr>
        <w:t> </w:t>
      </w:r>
      <w:r>
        <w:rPr>
          <w:sz w:val="22"/>
        </w:rPr>
        <w:t>si</w:t>
      </w:r>
      <w:r>
        <w:rPr>
          <w:spacing w:val="25"/>
          <w:sz w:val="22"/>
        </w:rPr>
        <w:t> </w:t>
      </w:r>
      <w:r>
        <w:rPr>
          <w:sz w:val="22"/>
        </w:rPr>
        <w:t>dhe</w:t>
      </w:r>
    </w:p>
    <w:p>
      <w:pPr>
        <w:spacing w:after="0" w:line="252" w:lineRule="exact"/>
        <w:jc w:val="left"/>
        <w:rPr>
          <w:sz w:val="22"/>
        </w:rPr>
        <w:sectPr>
          <w:type w:val="continuous"/>
          <w:pgSz w:w="12240" w:h="15840"/>
          <w:pgMar w:top="1360" w:bottom="280" w:left="1320" w:right="1320"/>
          <w:cols w:num="2" w:equalWidth="0">
            <w:col w:w="752" w:space="40"/>
            <w:col w:w="8808"/>
          </w:cols>
        </w:sectPr>
      </w:pPr>
    </w:p>
    <w:p>
      <w:pPr>
        <w:pStyle w:val="BodyText"/>
        <w:spacing w:line="252" w:lineRule="exact" w:before="1"/>
        <w:ind w:firstLine="0"/>
      </w:pPr>
      <w:r>
        <w:rPr/>
        <w:t>rrugët për arritjen e qëllimeve;</w:t>
      </w:r>
    </w:p>
    <w:p>
      <w:pPr>
        <w:pStyle w:val="ListParagraph"/>
        <w:numPr>
          <w:ilvl w:val="0"/>
          <w:numId w:val="43"/>
        </w:numPr>
        <w:tabs>
          <w:tab w:pos="1081" w:val="left" w:leader="none"/>
        </w:tabs>
        <w:spacing w:line="252" w:lineRule="exact" w:before="0" w:after="0"/>
        <w:ind w:left="1080" w:right="0" w:hanging="241"/>
        <w:jc w:val="left"/>
        <w:rPr>
          <w:sz w:val="22"/>
        </w:rPr>
      </w:pPr>
      <w:r>
        <w:rPr>
          <w:sz w:val="22"/>
        </w:rPr>
        <w:t>të përgatitet duke marrë në konsideratë</w:t>
      </w:r>
      <w:r>
        <w:rPr>
          <w:spacing w:val="-5"/>
          <w:sz w:val="22"/>
        </w:rPr>
        <w:t> </w:t>
      </w:r>
      <w:r>
        <w:rPr>
          <w:sz w:val="22"/>
        </w:rPr>
        <w:t>edhe:</w:t>
      </w:r>
    </w:p>
    <w:p>
      <w:pPr>
        <w:pStyle w:val="ListParagraph"/>
        <w:numPr>
          <w:ilvl w:val="0"/>
          <w:numId w:val="44"/>
        </w:numPr>
        <w:tabs>
          <w:tab w:pos="1033" w:val="left" w:leader="none"/>
        </w:tabs>
        <w:spacing w:line="252" w:lineRule="exact" w:before="1" w:after="0"/>
        <w:ind w:left="1032" w:right="0" w:hanging="193"/>
        <w:jc w:val="left"/>
        <w:rPr>
          <w:sz w:val="22"/>
        </w:rPr>
      </w:pPr>
      <w:r>
        <w:rPr>
          <w:sz w:val="22"/>
        </w:rPr>
        <w:t>kërkesat e</w:t>
      </w:r>
      <w:r>
        <w:rPr>
          <w:spacing w:val="-2"/>
          <w:sz w:val="22"/>
        </w:rPr>
        <w:t> </w:t>
      </w:r>
      <w:r>
        <w:rPr>
          <w:sz w:val="22"/>
        </w:rPr>
        <w:t>Kuvendit;</w:t>
      </w:r>
    </w:p>
    <w:p>
      <w:pPr>
        <w:pStyle w:val="ListParagraph"/>
        <w:numPr>
          <w:ilvl w:val="0"/>
          <w:numId w:val="44"/>
        </w:numPr>
        <w:tabs>
          <w:tab w:pos="1093" w:val="left" w:leader="none"/>
        </w:tabs>
        <w:spacing w:line="252" w:lineRule="exact" w:before="0" w:after="0"/>
        <w:ind w:left="1092" w:right="0" w:hanging="253"/>
        <w:jc w:val="left"/>
        <w:rPr>
          <w:sz w:val="22"/>
        </w:rPr>
      </w:pPr>
      <w:r>
        <w:rPr>
          <w:sz w:val="22"/>
        </w:rPr>
        <w:t>sugjerimet e ministrit;</w:t>
      </w:r>
    </w:p>
    <w:p>
      <w:pPr>
        <w:pStyle w:val="ListParagraph"/>
        <w:numPr>
          <w:ilvl w:val="0"/>
          <w:numId w:val="44"/>
        </w:numPr>
        <w:tabs>
          <w:tab w:pos="1155" w:val="left" w:leader="none"/>
        </w:tabs>
        <w:spacing w:line="252" w:lineRule="exact" w:before="2" w:after="0"/>
        <w:ind w:left="1154" w:right="0" w:hanging="315"/>
        <w:jc w:val="left"/>
        <w:rPr>
          <w:sz w:val="22"/>
        </w:rPr>
      </w:pPr>
      <w:r>
        <w:rPr>
          <w:sz w:val="22"/>
        </w:rPr>
        <w:t>sugjerimet e AKEP-it, Autoritetit të Konkurrencës dhe organeve të</w:t>
      </w:r>
      <w:r>
        <w:rPr>
          <w:spacing w:val="-11"/>
          <w:sz w:val="22"/>
        </w:rPr>
        <w:t> </w:t>
      </w:r>
      <w:r>
        <w:rPr>
          <w:sz w:val="22"/>
        </w:rPr>
        <w:t>tjera;</w:t>
      </w:r>
    </w:p>
    <w:p>
      <w:pPr>
        <w:pStyle w:val="ListParagraph"/>
        <w:numPr>
          <w:ilvl w:val="0"/>
          <w:numId w:val="43"/>
        </w:numPr>
        <w:tabs>
          <w:tab w:pos="1069" w:val="left" w:leader="none"/>
        </w:tabs>
        <w:spacing w:line="240" w:lineRule="auto" w:before="0" w:after="0"/>
        <w:ind w:left="120" w:right="693" w:firstLine="720"/>
        <w:jc w:val="left"/>
        <w:rPr>
          <w:sz w:val="22"/>
        </w:rPr>
      </w:pPr>
      <w:r>
        <w:rPr>
          <w:sz w:val="22"/>
        </w:rPr>
        <w:t>të marrë parasysh nevojën për sigurimin e përdorimit sa më të frytshëm, të dobishëm</w:t>
      </w:r>
      <w:r>
        <w:rPr>
          <w:spacing w:val="-30"/>
          <w:sz w:val="22"/>
        </w:rPr>
        <w:t> </w:t>
      </w:r>
      <w:r>
        <w:rPr>
          <w:sz w:val="22"/>
        </w:rPr>
        <w:t>dhe përfitues të burimeve të</w:t>
      </w:r>
      <w:r>
        <w:rPr>
          <w:spacing w:val="-3"/>
          <w:sz w:val="22"/>
        </w:rPr>
        <w:t> </w:t>
      </w:r>
      <w:r>
        <w:rPr>
          <w:sz w:val="22"/>
        </w:rPr>
        <w:t>veta;</w:t>
      </w:r>
    </w:p>
    <w:p>
      <w:pPr>
        <w:pStyle w:val="BodyText"/>
        <w:ind w:right="144"/>
      </w:pPr>
      <w:r>
        <w:rPr/>
        <w:t>ç) të përfshijë një studim të frytshmërisë dhe dobishmërisë të strategjisë gjatë kohës së zbatimit të saj, duke përjashtuar strategjinë e parë;</w:t>
      </w:r>
    </w:p>
    <w:p>
      <w:pPr>
        <w:pStyle w:val="ListParagraph"/>
        <w:numPr>
          <w:ilvl w:val="0"/>
          <w:numId w:val="43"/>
        </w:numPr>
        <w:tabs>
          <w:tab w:pos="1081" w:val="left" w:leader="none"/>
        </w:tabs>
        <w:spacing w:line="252" w:lineRule="exact" w:before="0" w:after="0"/>
        <w:ind w:left="1080" w:right="0" w:hanging="241"/>
        <w:jc w:val="left"/>
        <w:rPr>
          <w:sz w:val="22"/>
        </w:rPr>
      </w:pPr>
      <w:r>
        <w:rPr>
          <w:sz w:val="22"/>
        </w:rPr>
        <w:t>të miratohet, së pari, brenda 5 muajve nga hyrja në fuqi e këtij ligji dhe më tej çdo 3</w:t>
      </w:r>
      <w:r>
        <w:rPr>
          <w:spacing w:val="-15"/>
          <w:sz w:val="22"/>
        </w:rPr>
        <w:t> </w:t>
      </w:r>
      <w:r>
        <w:rPr>
          <w:sz w:val="22"/>
        </w:rPr>
        <w:t>vjet;</w:t>
      </w:r>
    </w:p>
    <w:p>
      <w:pPr>
        <w:pStyle w:val="BodyText"/>
        <w:ind w:firstLine="552"/>
      </w:pPr>
      <w:r>
        <w:rPr/>
        <w:t>dh) të përfshijë një plan veprimi të AMA-s lidhur me numrin, qëllimin dhe natyrën e autorizimeve dhe/ose licencave, që propozon për të realizuar gjatë kohëzgjatjes që mbulon strategjia.</w:t>
      </w:r>
    </w:p>
    <w:p>
      <w:pPr>
        <w:spacing w:after="0"/>
        <w:sectPr>
          <w:type w:val="continuous"/>
          <w:pgSz w:w="12240" w:h="15840"/>
          <w:pgMar w:top="1360" w:bottom="280" w:left="1320" w:right="1320"/>
        </w:sectPr>
      </w:pPr>
    </w:p>
    <w:p>
      <w:pPr>
        <w:pStyle w:val="ListParagraph"/>
        <w:numPr>
          <w:ilvl w:val="0"/>
          <w:numId w:val="42"/>
        </w:numPr>
        <w:tabs>
          <w:tab w:pos="1061" w:val="left" w:leader="none"/>
        </w:tabs>
        <w:spacing w:line="252" w:lineRule="exact" w:before="74" w:after="0"/>
        <w:ind w:left="1060" w:right="0" w:hanging="221"/>
        <w:jc w:val="left"/>
        <w:rPr>
          <w:sz w:val="22"/>
        </w:rPr>
      </w:pPr>
      <w:r>
        <w:rPr>
          <w:sz w:val="22"/>
        </w:rPr>
        <w:t>AMA, për përgatitjen e strategjisë, këshillohet me Këshillin e</w:t>
      </w:r>
      <w:r>
        <w:rPr>
          <w:spacing w:val="-5"/>
          <w:sz w:val="22"/>
        </w:rPr>
        <w:t> </w:t>
      </w:r>
      <w:r>
        <w:rPr>
          <w:sz w:val="22"/>
        </w:rPr>
        <w:t>Ankesave.</w:t>
      </w:r>
    </w:p>
    <w:p>
      <w:pPr>
        <w:pStyle w:val="ListParagraph"/>
        <w:numPr>
          <w:ilvl w:val="0"/>
          <w:numId w:val="42"/>
        </w:numPr>
        <w:tabs>
          <w:tab w:pos="1061" w:val="left" w:leader="none"/>
        </w:tabs>
        <w:spacing w:line="240" w:lineRule="auto" w:before="0" w:after="0"/>
        <w:ind w:left="119" w:right="1029" w:firstLine="720"/>
        <w:jc w:val="left"/>
        <w:rPr>
          <w:sz w:val="22"/>
        </w:rPr>
      </w:pPr>
      <w:r>
        <w:rPr>
          <w:sz w:val="22"/>
        </w:rPr>
        <w:t>Para miratimit të strategjisë, AMA ndërmerr një proces këshillimi publik me grupet e ndryshme të interesit, lidhur me projektin e</w:t>
      </w:r>
      <w:r>
        <w:rPr>
          <w:spacing w:val="-4"/>
          <w:sz w:val="22"/>
        </w:rPr>
        <w:t> </w:t>
      </w:r>
      <w:r>
        <w:rPr>
          <w:sz w:val="22"/>
        </w:rPr>
        <w:t>strategjisë.</w:t>
      </w:r>
    </w:p>
    <w:p>
      <w:pPr>
        <w:pStyle w:val="BodyText"/>
        <w:ind w:left="0" w:firstLine="0"/>
        <w:rPr>
          <w:sz w:val="24"/>
        </w:rPr>
      </w:pPr>
    </w:p>
    <w:p>
      <w:pPr>
        <w:pStyle w:val="BodyText"/>
        <w:ind w:left="0" w:firstLine="0"/>
        <w:rPr>
          <w:sz w:val="24"/>
        </w:rPr>
      </w:pPr>
    </w:p>
    <w:p>
      <w:pPr>
        <w:pStyle w:val="BodyText"/>
        <w:ind w:left="0" w:firstLine="0"/>
        <w:rPr>
          <w:sz w:val="24"/>
        </w:rPr>
      </w:pPr>
    </w:p>
    <w:p>
      <w:pPr>
        <w:pStyle w:val="BodyText"/>
        <w:spacing w:before="139"/>
        <w:ind w:left="146" w:right="144" w:firstLine="0"/>
        <w:jc w:val="center"/>
      </w:pPr>
      <w:r>
        <w:rPr/>
        <w:t>Neni  22</w:t>
      </w:r>
    </w:p>
    <w:p>
      <w:pPr>
        <w:pStyle w:val="Heading1"/>
        <w:spacing w:before="3"/>
      </w:pPr>
      <w:r>
        <w:rPr/>
        <w:t>Roli i ministrit</w:t>
      </w:r>
    </w:p>
    <w:p>
      <w:pPr>
        <w:pStyle w:val="ListParagraph"/>
        <w:numPr>
          <w:ilvl w:val="0"/>
          <w:numId w:val="45"/>
        </w:numPr>
        <w:tabs>
          <w:tab w:pos="1148" w:val="left" w:leader="none"/>
        </w:tabs>
        <w:spacing w:line="240" w:lineRule="auto" w:before="204" w:after="0"/>
        <w:ind w:left="119" w:right="113" w:firstLine="720"/>
        <w:jc w:val="both"/>
        <w:rPr>
          <w:sz w:val="22"/>
        </w:rPr>
      </w:pPr>
      <w:r>
        <w:rPr>
          <w:sz w:val="22"/>
        </w:rPr>
        <w:t>Paraqet në Këshillin e Ministrave propozime për politika të zhvillimit të rrjeteve të komunikimeve elektronike që mbështetin transmetimet audio dhe/ose audiovizive dhe ndjek zbatimin e tyre.</w:t>
      </w:r>
    </w:p>
    <w:p>
      <w:pPr>
        <w:pStyle w:val="ListParagraph"/>
        <w:numPr>
          <w:ilvl w:val="0"/>
          <w:numId w:val="45"/>
        </w:numPr>
        <w:tabs>
          <w:tab w:pos="1088" w:val="left" w:leader="none"/>
        </w:tabs>
        <w:spacing w:line="240" w:lineRule="auto" w:before="0" w:after="0"/>
        <w:ind w:left="119" w:right="115" w:firstLine="720"/>
        <w:jc w:val="both"/>
        <w:rPr>
          <w:sz w:val="22"/>
        </w:rPr>
      </w:pPr>
      <w:r>
        <w:rPr>
          <w:sz w:val="22"/>
        </w:rPr>
        <w:t>Propozon akte ligjore e nënligjore për zhvillimin e rrjeteve të komunikimeve elektronike që mbështetin transmetimet audio dhe/ose audiovizive.</w:t>
      </w:r>
    </w:p>
    <w:p>
      <w:pPr>
        <w:pStyle w:val="ListParagraph"/>
        <w:numPr>
          <w:ilvl w:val="0"/>
          <w:numId w:val="45"/>
        </w:numPr>
        <w:tabs>
          <w:tab w:pos="1075" w:val="left" w:leader="none"/>
        </w:tabs>
        <w:spacing w:line="240" w:lineRule="auto" w:before="0" w:after="0"/>
        <w:ind w:left="119" w:right="115" w:firstLine="720"/>
        <w:jc w:val="both"/>
        <w:rPr>
          <w:sz w:val="22"/>
        </w:rPr>
      </w:pPr>
      <w:r>
        <w:rPr>
          <w:sz w:val="22"/>
        </w:rPr>
        <w:t>Paraqet në Këshillin e Ministrave për miratim Planin Kombëtar të Frekuencave, si dhe punon për harmonizimin e këtij plani me politikat ndërkombëtare të zhvillimit të spektrit të</w:t>
      </w:r>
      <w:r>
        <w:rPr>
          <w:spacing w:val="-12"/>
          <w:sz w:val="22"/>
        </w:rPr>
        <w:t> </w:t>
      </w:r>
      <w:r>
        <w:rPr>
          <w:sz w:val="22"/>
        </w:rPr>
        <w:t>frekuencave.</w:t>
      </w:r>
    </w:p>
    <w:p>
      <w:pPr>
        <w:pStyle w:val="ListParagraph"/>
        <w:numPr>
          <w:ilvl w:val="0"/>
          <w:numId w:val="45"/>
        </w:numPr>
        <w:tabs>
          <w:tab w:pos="1078" w:val="left" w:leader="none"/>
        </w:tabs>
        <w:spacing w:line="240" w:lineRule="auto" w:before="0" w:after="0"/>
        <w:ind w:left="119" w:right="114" w:firstLine="720"/>
        <w:jc w:val="both"/>
        <w:rPr>
          <w:sz w:val="22"/>
        </w:rPr>
      </w:pPr>
      <w:r>
        <w:rPr>
          <w:sz w:val="22"/>
        </w:rPr>
        <w:t>Ndjek zbatimin e detyrimeve që rrjedhin nga traktatet ndërkombëtare, ku aderon Republika e Shqipërisë për rrjetet e komunikimeve elektronike, që mbështetin transmetimet audio  dhe/ose audiovizive.</w:t>
      </w:r>
    </w:p>
    <w:p>
      <w:pPr>
        <w:pStyle w:val="BodyText"/>
        <w:spacing w:before="9"/>
        <w:ind w:left="0" w:firstLine="0"/>
        <w:rPr>
          <w:sz w:val="21"/>
        </w:rPr>
      </w:pPr>
    </w:p>
    <w:p>
      <w:pPr>
        <w:pStyle w:val="BodyText"/>
        <w:ind w:left="146" w:right="146" w:firstLine="0"/>
        <w:jc w:val="center"/>
      </w:pPr>
      <w:r>
        <w:rPr/>
        <w:t>Neni 23</w:t>
      </w:r>
    </w:p>
    <w:p>
      <w:pPr>
        <w:pStyle w:val="Heading1"/>
        <w:spacing w:before="7"/>
        <w:ind w:right="145"/>
      </w:pPr>
      <w:r>
        <w:rPr/>
        <w:t>Kompetencat e AMA-s</w:t>
      </w:r>
    </w:p>
    <w:p>
      <w:pPr>
        <w:pStyle w:val="BodyText"/>
        <w:spacing w:before="4"/>
        <w:ind w:left="0" w:firstLine="0"/>
        <w:rPr>
          <w:b/>
          <w:sz w:val="21"/>
        </w:rPr>
      </w:pPr>
    </w:p>
    <w:p>
      <w:pPr>
        <w:pStyle w:val="ListParagraph"/>
        <w:numPr>
          <w:ilvl w:val="0"/>
          <w:numId w:val="46"/>
        </w:numPr>
        <w:tabs>
          <w:tab w:pos="1061" w:val="left" w:leader="none"/>
        </w:tabs>
        <w:spacing w:line="240" w:lineRule="auto" w:before="0" w:after="0"/>
        <w:ind w:left="1060" w:right="0" w:hanging="222"/>
        <w:jc w:val="left"/>
        <w:rPr>
          <w:sz w:val="22"/>
        </w:rPr>
      </w:pPr>
      <w:r>
        <w:rPr>
          <w:sz w:val="22"/>
        </w:rPr>
        <w:t>Për realizimin në mënyrë të plotë të funksioneve të saj, AMA ka këto</w:t>
      </w:r>
      <w:r>
        <w:rPr>
          <w:spacing w:val="-10"/>
          <w:sz w:val="22"/>
        </w:rPr>
        <w:t> </w:t>
      </w:r>
      <w:r>
        <w:rPr>
          <w:sz w:val="22"/>
        </w:rPr>
        <w:t>kompetenca:</w:t>
      </w:r>
    </w:p>
    <w:p>
      <w:pPr>
        <w:pStyle w:val="ListParagraph"/>
        <w:numPr>
          <w:ilvl w:val="0"/>
          <w:numId w:val="47"/>
        </w:numPr>
        <w:tabs>
          <w:tab w:pos="1068" w:val="left" w:leader="none"/>
        </w:tabs>
        <w:spacing w:line="252" w:lineRule="exact" w:before="2" w:after="0"/>
        <w:ind w:left="1067" w:right="0" w:hanging="229"/>
        <w:jc w:val="left"/>
        <w:rPr>
          <w:sz w:val="22"/>
        </w:rPr>
      </w:pPr>
      <w:r>
        <w:rPr>
          <w:sz w:val="22"/>
        </w:rPr>
        <w:t>lëshon licenca dhe/ose</w:t>
      </w:r>
      <w:r>
        <w:rPr>
          <w:spacing w:val="-3"/>
          <w:sz w:val="22"/>
        </w:rPr>
        <w:t> </w:t>
      </w:r>
      <w:r>
        <w:rPr>
          <w:sz w:val="22"/>
        </w:rPr>
        <w:t>autorizime;</w:t>
      </w:r>
    </w:p>
    <w:p>
      <w:pPr>
        <w:pStyle w:val="ListParagraph"/>
        <w:numPr>
          <w:ilvl w:val="0"/>
          <w:numId w:val="47"/>
        </w:numPr>
        <w:tabs>
          <w:tab w:pos="1092" w:val="left" w:leader="none"/>
        </w:tabs>
        <w:spacing w:line="240" w:lineRule="auto" w:before="0" w:after="0"/>
        <w:ind w:left="119" w:right="118" w:firstLine="720"/>
        <w:jc w:val="left"/>
        <w:rPr>
          <w:sz w:val="22"/>
        </w:rPr>
      </w:pPr>
      <w:r>
        <w:rPr>
          <w:sz w:val="22"/>
        </w:rPr>
        <w:t>u kërkon mbajtësve të licencave dhe/ose autorizimeve realizimin e detyrimeve financiare ndaj AMA-s;</w:t>
      </w:r>
    </w:p>
    <w:p>
      <w:pPr>
        <w:pStyle w:val="ListParagraph"/>
        <w:numPr>
          <w:ilvl w:val="0"/>
          <w:numId w:val="47"/>
        </w:numPr>
        <w:tabs>
          <w:tab w:pos="1068" w:val="left" w:leader="none"/>
        </w:tabs>
        <w:spacing w:line="240" w:lineRule="auto" w:before="0" w:after="0"/>
        <w:ind w:left="839" w:right="1264" w:firstLine="0"/>
        <w:jc w:val="left"/>
        <w:rPr>
          <w:sz w:val="22"/>
        </w:rPr>
      </w:pPr>
      <w:r>
        <w:rPr>
          <w:sz w:val="22"/>
        </w:rPr>
        <w:t>siguron zbatimin e kushteve të licencave dhe/ose autorizimeve të lëshuara prej saj; ç) ndërmerr, mbështet apo autorizon</w:t>
      </w:r>
      <w:r>
        <w:rPr>
          <w:spacing w:val="-5"/>
          <w:sz w:val="22"/>
        </w:rPr>
        <w:t> </w:t>
      </w:r>
      <w:r>
        <w:rPr>
          <w:sz w:val="22"/>
        </w:rPr>
        <w:t>studime.</w:t>
      </w:r>
    </w:p>
    <w:p>
      <w:pPr>
        <w:pStyle w:val="ListParagraph"/>
        <w:numPr>
          <w:ilvl w:val="0"/>
          <w:numId w:val="46"/>
        </w:numPr>
        <w:tabs>
          <w:tab w:pos="1090" w:val="left" w:leader="none"/>
        </w:tabs>
        <w:spacing w:line="240" w:lineRule="auto" w:before="0" w:after="0"/>
        <w:ind w:left="1089" w:right="0" w:hanging="251"/>
        <w:jc w:val="left"/>
        <w:rPr>
          <w:sz w:val="22"/>
        </w:rPr>
      </w:pPr>
      <w:r>
        <w:rPr>
          <w:sz w:val="22"/>
        </w:rPr>
        <w:t>AMA,</w:t>
      </w:r>
      <w:r>
        <w:rPr>
          <w:spacing w:val="27"/>
          <w:sz w:val="22"/>
        </w:rPr>
        <w:t> </w:t>
      </w:r>
      <w:r>
        <w:rPr>
          <w:sz w:val="22"/>
        </w:rPr>
        <w:t>për</w:t>
      </w:r>
      <w:r>
        <w:rPr>
          <w:spacing w:val="29"/>
          <w:sz w:val="22"/>
        </w:rPr>
        <w:t> </w:t>
      </w:r>
      <w:r>
        <w:rPr>
          <w:sz w:val="22"/>
        </w:rPr>
        <w:t>realizimin</w:t>
      </w:r>
      <w:r>
        <w:rPr>
          <w:spacing w:val="27"/>
          <w:sz w:val="22"/>
        </w:rPr>
        <w:t> </w:t>
      </w:r>
      <w:r>
        <w:rPr>
          <w:sz w:val="22"/>
        </w:rPr>
        <w:t>e</w:t>
      </w:r>
      <w:r>
        <w:rPr>
          <w:spacing w:val="29"/>
          <w:sz w:val="22"/>
        </w:rPr>
        <w:t> </w:t>
      </w:r>
      <w:r>
        <w:rPr>
          <w:sz w:val="22"/>
        </w:rPr>
        <w:t>funksionimit</w:t>
      </w:r>
      <w:r>
        <w:rPr>
          <w:spacing w:val="29"/>
          <w:sz w:val="22"/>
        </w:rPr>
        <w:t> </w:t>
      </w:r>
      <w:r>
        <w:rPr>
          <w:sz w:val="22"/>
        </w:rPr>
        <w:t>të</w:t>
      </w:r>
      <w:r>
        <w:rPr>
          <w:spacing w:val="29"/>
          <w:sz w:val="22"/>
        </w:rPr>
        <w:t> </w:t>
      </w:r>
      <w:r>
        <w:rPr>
          <w:sz w:val="22"/>
        </w:rPr>
        <w:t>saj,</w:t>
      </w:r>
      <w:r>
        <w:rPr>
          <w:spacing w:val="27"/>
          <w:sz w:val="22"/>
        </w:rPr>
        <w:t> </w:t>
      </w:r>
      <w:r>
        <w:rPr>
          <w:sz w:val="22"/>
        </w:rPr>
        <w:t>administron</w:t>
      </w:r>
      <w:r>
        <w:rPr>
          <w:spacing w:val="28"/>
          <w:sz w:val="22"/>
        </w:rPr>
        <w:t> </w:t>
      </w:r>
      <w:r>
        <w:rPr>
          <w:sz w:val="22"/>
        </w:rPr>
        <w:t>fondet</w:t>
      </w:r>
      <w:r>
        <w:rPr>
          <w:spacing w:val="29"/>
          <w:sz w:val="22"/>
        </w:rPr>
        <w:t> </w:t>
      </w:r>
      <w:r>
        <w:rPr>
          <w:sz w:val="22"/>
        </w:rPr>
        <w:t>e</w:t>
      </w:r>
      <w:r>
        <w:rPr>
          <w:spacing w:val="29"/>
          <w:sz w:val="22"/>
        </w:rPr>
        <w:t> </w:t>
      </w:r>
      <w:r>
        <w:rPr>
          <w:sz w:val="22"/>
        </w:rPr>
        <w:t>veta</w:t>
      </w:r>
      <w:r>
        <w:rPr>
          <w:spacing w:val="28"/>
          <w:sz w:val="22"/>
        </w:rPr>
        <w:t> </w:t>
      </w:r>
      <w:r>
        <w:rPr>
          <w:sz w:val="22"/>
        </w:rPr>
        <w:t>sipas</w:t>
      </w:r>
      <w:r>
        <w:rPr>
          <w:spacing w:val="29"/>
          <w:sz w:val="22"/>
        </w:rPr>
        <w:t> </w:t>
      </w:r>
      <w:r>
        <w:rPr>
          <w:sz w:val="22"/>
        </w:rPr>
        <w:t>legjislacionit</w:t>
      </w:r>
      <w:r>
        <w:rPr>
          <w:spacing w:val="29"/>
          <w:sz w:val="22"/>
        </w:rPr>
        <w:t> </w:t>
      </w:r>
      <w:r>
        <w:rPr>
          <w:sz w:val="22"/>
        </w:rPr>
        <w:t>në</w:t>
      </w:r>
    </w:p>
    <w:p>
      <w:pPr>
        <w:pStyle w:val="BodyText"/>
        <w:spacing w:line="252" w:lineRule="exact"/>
        <w:ind w:left="119" w:firstLine="0"/>
      </w:pPr>
      <w:r>
        <w:rPr/>
        <w:t>fuqi.</w:t>
      </w:r>
    </w:p>
    <w:p>
      <w:pPr>
        <w:pStyle w:val="BodyText"/>
        <w:ind w:left="0" w:firstLine="0"/>
        <w:rPr>
          <w:sz w:val="14"/>
        </w:rPr>
      </w:pPr>
    </w:p>
    <w:p>
      <w:pPr>
        <w:pStyle w:val="BodyText"/>
        <w:spacing w:before="92"/>
        <w:ind w:left="146" w:right="146" w:firstLine="0"/>
        <w:jc w:val="center"/>
      </w:pPr>
      <w:r>
        <w:rPr/>
        <w:t>Neni 24</w:t>
      </w:r>
    </w:p>
    <w:p>
      <w:pPr>
        <w:pStyle w:val="Heading1"/>
        <w:spacing w:before="6"/>
        <w:ind w:right="145"/>
      </w:pPr>
      <w:r>
        <w:rPr/>
        <w:t>Financimi i AMA-s</w:t>
      </w:r>
    </w:p>
    <w:p>
      <w:pPr>
        <w:pStyle w:val="BodyText"/>
        <w:spacing w:before="5"/>
        <w:ind w:left="0" w:firstLine="0"/>
        <w:rPr>
          <w:b/>
          <w:sz w:val="21"/>
        </w:rPr>
      </w:pPr>
    </w:p>
    <w:p>
      <w:pPr>
        <w:pStyle w:val="ListParagraph"/>
        <w:numPr>
          <w:ilvl w:val="0"/>
          <w:numId w:val="48"/>
        </w:numPr>
        <w:tabs>
          <w:tab w:pos="1061" w:val="left" w:leader="none"/>
        </w:tabs>
        <w:spacing w:line="240" w:lineRule="auto" w:before="0" w:after="0"/>
        <w:ind w:left="1060" w:right="0" w:hanging="222"/>
        <w:jc w:val="left"/>
        <w:rPr>
          <w:sz w:val="22"/>
        </w:rPr>
      </w:pPr>
      <w:r>
        <w:rPr>
          <w:sz w:val="22"/>
        </w:rPr>
        <w:t>Burimet e financimit të AMA-s</w:t>
      </w:r>
      <w:r>
        <w:rPr>
          <w:spacing w:val="-3"/>
          <w:sz w:val="22"/>
        </w:rPr>
        <w:t> </w:t>
      </w:r>
      <w:r>
        <w:rPr>
          <w:sz w:val="22"/>
        </w:rPr>
        <w:t>janë:</w:t>
      </w:r>
    </w:p>
    <w:p>
      <w:pPr>
        <w:pStyle w:val="ListParagraph"/>
        <w:numPr>
          <w:ilvl w:val="0"/>
          <w:numId w:val="49"/>
        </w:numPr>
        <w:tabs>
          <w:tab w:pos="1068" w:val="left" w:leader="none"/>
        </w:tabs>
        <w:spacing w:line="252" w:lineRule="exact" w:before="1" w:after="0"/>
        <w:ind w:left="1067" w:right="0" w:hanging="229"/>
        <w:jc w:val="left"/>
        <w:rPr>
          <w:sz w:val="22"/>
        </w:rPr>
      </w:pPr>
      <w:r>
        <w:rPr>
          <w:sz w:val="22"/>
        </w:rPr>
        <w:t>të ardhurat nga pagesat për marrjen dhe rinovimin e licencave dhe/ose</w:t>
      </w:r>
      <w:r>
        <w:rPr>
          <w:spacing w:val="-12"/>
          <w:sz w:val="22"/>
        </w:rPr>
        <w:t> </w:t>
      </w:r>
      <w:r>
        <w:rPr>
          <w:sz w:val="22"/>
        </w:rPr>
        <w:t>autorizimeve;</w:t>
      </w:r>
    </w:p>
    <w:p>
      <w:pPr>
        <w:pStyle w:val="ListParagraph"/>
        <w:numPr>
          <w:ilvl w:val="0"/>
          <w:numId w:val="49"/>
        </w:numPr>
        <w:tabs>
          <w:tab w:pos="1080" w:val="left" w:leader="none"/>
        </w:tabs>
        <w:spacing w:line="252" w:lineRule="exact" w:before="0" w:after="0"/>
        <w:ind w:left="1079" w:right="0" w:hanging="241"/>
        <w:jc w:val="left"/>
        <w:rPr>
          <w:sz w:val="22"/>
        </w:rPr>
      </w:pPr>
      <w:r>
        <w:rPr>
          <w:sz w:val="22"/>
        </w:rPr>
        <w:t>të ardhurat nga pagesat vjetore të licencave dhe/ose</w:t>
      </w:r>
      <w:r>
        <w:rPr>
          <w:spacing w:val="-6"/>
          <w:sz w:val="22"/>
        </w:rPr>
        <w:t> </w:t>
      </w:r>
      <w:r>
        <w:rPr>
          <w:sz w:val="22"/>
        </w:rPr>
        <w:t>autorizimeve;</w:t>
      </w:r>
    </w:p>
    <w:p>
      <w:pPr>
        <w:pStyle w:val="ListParagraph"/>
        <w:numPr>
          <w:ilvl w:val="0"/>
          <w:numId w:val="49"/>
        </w:numPr>
        <w:tabs>
          <w:tab w:pos="1068" w:val="left" w:leader="none"/>
        </w:tabs>
        <w:spacing w:line="252" w:lineRule="exact" w:before="2" w:after="0"/>
        <w:ind w:left="1067" w:right="0" w:hanging="229"/>
        <w:jc w:val="left"/>
        <w:rPr>
          <w:sz w:val="22"/>
        </w:rPr>
      </w:pPr>
      <w:r>
        <w:rPr>
          <w:sz w:val="22"/>
        </w:rPr>
        <w:t>të ardhurat nga përpunimi administrativ i kërkesave për</w:t>
      </w:r>
      <w:r>
        <w:rPr>
          <w:spacing w:val="-5"/>
          <w:sz w:val="22"/>
        </w:rPr>
        <w:t> </w:t>
      </w:r>
      <w:r>
        <w:rPr>
          <w:sz w:val="22"/>
        </w:rPr>
        <w:t>aplikime;</w:t>
      </w:r>
    </w:p>
    <w:p>
      <w:pPr>
        <w:pStyle w:val="BodyText"/>
        <w:ind w:left="119"/>
      </w:pPr>
      <w:r>
        <w:rPr/>
        <w:t>ç) të ardhurat nga tarifat për shërbimet e transmetimeve të caktuara në ligjet fiskale, në rolin e agjentit tatimor;</w:t>
      </w:r>
    </w:p>
    <w:p>
      <w:pPr>
        <w:pStyle w:val="ListParagraph"/>
        <w:numPr>
          <w:ilvl w:val="0"/>
          <w:numId w:val="49"/>
        </w:numPr>
        <w:tabs>
          <w:tab w:pos="1080" w:val="left" w:leader="none"/>
        </w:tabs>
        <w:spacing w:line="240" w:lineRule="auto" w:before="0" w:after="0"/>
        <w:ind w:left="839" w:right="5704" w:firstLine="0"/>
        <w:jc w:val="left"/>
        <w:rPr>
          <w:sz w:val="22"/>
        </w:rPr>
      </w:pPr>
      <w:r>
        <w:rPr>
          <w:sz w:val="22"/>
        </w:rPr>
        <w:t>financime nga Buxheti i Shtetit; dh) burime të tjera të</w:t>
      </w:r>
      <w:r>
        <w:rPr>
          <w:spacing w:val="-8"/>
          <w:sz w:val="22"/>
        </w:rPr>
        <w:t> </w:t>
      </w:r>
      <w:r>
        <w:rPr>
          <w:sz w:val="22"/>
        </w:rPr>
        <w:t>ligjshme.</w:t>
      </w:r>
    </w:p>
    <w:p>
      <w:pPr>
        <w:pStyle w:val="ListParagraph"/>
        <w:numPr>
          <w:ilvl w:val="0"/>
          <w:numId w:val="48"/>
        </w:numPr>
        <w:tabs>
          <w:tab w:pos="1088" w:val="left" w:leader="none"/>
        </w:tabs>
        <w:spacing w:line="240" w:lineRule="auto" w:before="0" w:after="0"/>
        <w:ind w:left="119" w:right="115" w:firstLine="720"/>
        <w:jc w:val="both"/>
        <w:rPr>
          <w:sz w:val="22"/>
        </w:rPr>
      </w:pPr>
      <w:r>
        <w:rPr>
          <w:sz w:val="22"/>
        </w:rPr>
        <w:t>AMA merr financim nga Buxheti i Shtetit në rastet kur vlerëson se disa shpenzime janë të nevojshme për ushtrimin e funksioneve të saj, të një natyre të veçantë dhe për të cilat nuk ekziston mundësi tjetër</w:t>
      </w:r>
      <w:r>
        <w:rPr>
          <w:spacing w:val="-2"/>
          <w:sz w:val="22"/>
        </w:rPr>
        <w:t> </w:t>
      </w:r>
      <w:r>
        <w:rPr>
          <w:sz w:val="22"/>
        </w:rPr>
        <w:t>financimi.</w:t>
      </w:r>
    </w:p>
    <w:p>
      <w:pPr>
        <w:pStyle w:val="BodyText"/>
        <w:spacing w:line="253" w:lineRule="exact"/>
        <w:ind w:left="146" w:right="146" w:firstLine="0"/>
        <w:jc w:val="center"/>
      </w:pPr>
      <w:r>
        <w:rPr/>
        <w:t>Neni 25</w:t>
      </w:r>
    </w:p>
    <w:p>
      <w:pPr>
        <w:pStyle w:val="Heading1"/>
        <w:ind w:right="145"/>
      </w:pPr>
      <w:r>
        <w:rPr/>
        <w:t>Caktimi i pagesave</w:t>
      </w:r>
    </w:p>
    <w:p>
      <w:pPr>
        <w:pStyle w:val="BodyText"/>
        <w:spacing w:before="6"/>
        <w:ind w:left="0" w:firstLine="0"/>
        <w:rPr>
          <w:b/>
          <w:sz w:val="21"/>
        </w:rPr>
      </w:pPr>
    </w:p>
    <w:p>
      <w:pPr>
        <w:pStyle w:val="ListParagraph"/>
        <w:numPr>
          <w:ilvl w:val="0"/>
          <w:numId w:val="50"/>
        </w:numPr>
        <w:tabs>
          <w:tab w:pos="1080" w:val="left" w:leader="none"/>
        </w:tabs>
        <w:spacing w:line="240" w:lineRule="auto" w:before="0" w:after="0"/>
        <w:ind w:left="1080" w:right="0" w:hanging="240"/>
        <w:jc w:val="left"/>
        <w:rPr>
          <w:sz w:val="22"/>
        </w:rPr>
      </w:pPr>
      <w:r>
        <w:rPr>
          <w:sz w:val="22"/>
        </w:rPr>
        <w:t>Me</w:t>
      </w:r>
      <w:r>
        <w:rPr>
          <w:spacing w:val="15"/>
          <w:sz w:val="22"/>
        </w:rPr>
        <w:t> </w:t>
      </w:r>
      <w:r>
        <w:rPr>
          <w:sz w:val="22"/>
        </w:rPr>
        <w:t>qëllim</w:t>
      </w:r>
      <w:r>
        <w:rPr>
          <w:spacing w:val="14"/>
          <w:sz w:val="22"/>
        </w:rPr>
        <w:t> </w:t>
      </w:r>
      <w:r>
        <w:rPr>
          <w:sz w:val="22"/>
        </w:rPr>
        <w:t>mbulimin</w:t>
      </w:r>
      <w:r>
        <w:rPr>
          <w:spacing w:val="17"/>
          <w:sz w:val="22"/>
        </w:rPr>
        <w:t> </w:t>
      </w:r>
      <w:r>
        <w:rPr>
          <w:sz w:val="22"/>
        </w:rPr>
        <w:t>e</w:t>
      </w:r>
      <w:r>
        <w:rPr>
          <w:spacing w:val="18"/>
          <w:sz w:val="22"/>
        </w:rPr>
        <w:t> </w:t>
      </w:r>
      <w:r>
        <w:rPr>
          <w:sz w:val="22"/>
        </w:rPr>
        <w:t>shpenzimeve</w:t>
      </w:r>
      <w:r>
        <w:rPr>
          <w:spacing w:val="17"/>
          <w:sz w:val="22"/>
        </w:rPr>
        <w:t> </w:t>
      </w:r>
      <w:r>
        <w:rPr>
          <w:sz w:val="22"/>
        </w:rPr>
        <w:t>të</w:t>
      </w:r>
      <w:r>
        <w:rPr>
          <w:spacing w:val="18"/>
          <w:sz w:val="22"/>
        </w:rPr>
        <w:t> </w:t>
      </w:r>
      <w:r>
        <w:rPr>
          <w:sz w:val="22"/>
        </w:rPr>
        <w:t>nevojshme</w:t>
      </w:r>
      <w:r>
        <w:rPr>
          <w:spacing w:val="18"/>
          <w:sz w:val="22"/>
        </w:rPr>
        <w:t> </w:t>
      </w:r>
      <w:r>
        <w:rPr>
          <w:sz w:val="22"/>
        </w:rPr>
        <w:t>për</w:t>
      </w:r>
      <w:r>
        <w:rPr>
          <w:spacing w:val="15"/>
          <w:sz w:val="22"/>
        </w:rPr>
        <w:t> </w:t>
      </w:r>
      <w:r>
        <w:rPr>
          <w:sz w:val="22"/>
        </w:rPr>
        <w:t>realizmin</w:t>
      </w:r>
      <w:r>
        <w:rPr>
          <w:spacing w:val="18"/>
          <w:sz w:val="22"/>
        </w:rPr>
        <w:t> </w:t>
      </w:r>
      <w:r>
        <w:rPr>
          <w:sz w:val="22"/>
        </w:rPr>
        <w:t>e</w:t>
      </w:r>
      <w:r>
        <w:rPr>
          <w:spacing w:val="17"/>
          <w:sz w:val="22"/>
        </w:rPr>
        <w:t> </w:t>
      </w:r>
      <w:r>
        <w:rPr>
          <w:sz w:val="22"/>
        </w:rPr>
        <w:t>funksioneve</w:t>
      </w:r>
      <w:r>
        <w:rPr>
          <w:spacing w:val="18"/>
          <w:sz w:val="22"/>
        </w:rPr>
        <w:t> </w:t>
      </w:r>
      <w:r>
        <w:rPr>
          <w:sz w:val="22"/>
        </w:rPr>
        <w:t>të</w:t>
      </w:r>
      <w:r>
        <w:rPr>
          <w:spacing w:val="17"/>
          <w:sz w:val="22"/>
        </w:rPr>
        <w:t> </w:t>
      </w:r>
      <w:r>
        <w:rPr>
          <w:sz w:val="22"/>
        </w:rPr>
        <w:t>veta,</w:t>
      </w:r>
      <w:r>
        <w:rPr>
          <w:spacing w:val="16"/>
          <w:sz w:val="22"/>
        </w:rPr>
        <w:t> </w:t>
      </w:r>
      <w:r>
        <w:rPr>
          <w:sz w:val="22"/>
        </w:rPr>
        <w:t>AMA</w:t>
      </w:r>
    </w:p>
    <w:p>
      <w:pPr>
        <w:spacing w:after="0" w:line="240" w:lineRule="auto"/>
        <w:jc w:val="left"/>
        <w:rPr>
          <w:sz w:val="22"/>
        </w:rPr>
        <w:sectPr>
          <w:pgSz w:w="12240" w:h="15840"/>
          <w:pgMar w:top="1360" w:bottom="280" w:left="1320" w:right="1320"/>
        </w:sectPr>
      </w:pPr>
    </w:p>
    <w:p>
      <w:pPr>
        <w:pStyle w:val="BodyText"/>
        <w:spacing w:before="74"/>
        <w:ind w:right="114" w:firstLine="0"/>
        <w:jc w:val="both"/>
      </w:pPr>
      <w:r>
        <w:rPr/>
        <w:t>cakton me vendim të veçantë të gjitha pagesat për licencat dhe/ose autorizimet e ofruesve të transmetimeve audio dhe shërbimeve të programeve audiovizive, shërbimet e tjera, si dhe pagesat për përpunimin administrativ.</w:t>
      </w:r>
    </w:p>
    <w:p>
      <w:pPr>
        <w:pStyle w:val="ListParagraph"/>
        <w:numPr>
          <w:ilvl w:val="0"/>
          <w:numId w:val="50"/>
        </w:numPr>
        <w:tabs>
          <w:tab w:pos="1102" w:val="left" w:leader="none"/>
        </w:tabs>
        <w:spacing w:line="240" w:lineRule="auto" w:before="0" w:after="0"/>
        <w:ind w:left="120" w:right="113" w:firstLine="720"/>
        <w:jc w:val="both"/>
        <w:rPr>
          <w:sz w:val="22"/>
        </w:rPr>
      </w:pPr>
      <w:r>
        <w:rPr>
          <w:sz w:val="22"/>
        </w:rPr>
        <w:t>Pagesat përcaktohen në bazë të parimit të objektivitetit, transparencës, jodiskriminimit dhe proporcionalitetit. Ato ndryshojnë për shërbimin publik, atë tregtar, transmetuesit lokalë dhe për kategoritë e ndryshme të licencave dhe/ose autorizimeve. Licencat për radiot e komunitetit përjashtohen nga pagesat.</w:t>
      </w:r>
    </w:p>
    <w:p>
      <w:pPr>
        <w:pStyle w:val="ListParagraph"/>
        <w:numPr>
          <w:ilvl w:val="0"/>
          <w:numId w:val="50"/>
        </w:numPr>
        <w:tabs>
          <w:tab w:pos="1143" w:val="left" w:leader="none"/>
        </w:tabs>
        <w:spacing w:line="240" w:lineRule="auto" w:before="0" w:after="0"/>
        <w:ind w:left="120" w:right="113" w:firstLine="720"/>
        <w:jc w:val="both"/>
        <w:rPr>
          <w:sz w:val="22"/>
        </w:rPr>
      </w:pPr>
      <w:r>
        <w:rPr>
          <w:sz w:val="22"/>
        </w:rPr>
        <w:t>Vendimi për caktimin e pagesave duhet të përcaktojë mënyrën e mbledhjes, pagimit, administrimit, duke</w:t>
      </w:r>
      <w:r>
        <w:rPr>
          <w:spacing w:val="-1"/>
          <w:sz w:val="22"/>
        </w:rPr>
        <w:t> </w:t>
      </w:r>
      <w:r>
        <w:rPr>
          <w:sz w:val="22"/>
        </w:rPr>
        <w:t>përfshirë:</w:t>
      </w:r>
    </w:p>
    <w:p>
      <w:pPr>
        <w:pStyle w:val="ListParagraph"/>
        <w:numPr>
          <w:ilvl w:val="0"/>
          <w:numId w:val="51"/>
        </w:numPr>
        <w:tabs>
          <w:tab w:pos="1068" w:val="left" w:leader="none"/>
        </w:tabs>
        <w:spacing w:line="252" w:lineRule="exact" w:before="0" w:after="0"/>
        <w:ind w:left="1067" w:right="0" w:hanging="229"/>
        <w:jc w:val="left"/>
        <w:rPr>
          <w:sz w:val="22"/>
        </w:rPr>
      </w:pPr>
      <w:r>
        <w:rPr>
          <w:sz w:val="22"/>
        </w:rPr>
        <w:t>metodën e përllogaritjes së pagesës</w:t>
      </w:r>
      <w:r>
        <w:rPr>
          <w:spacing w:val="-6"/>
          <w:sz w:val="22"/>
        </w:rPr>
        <w:t> </w:t>
      </w:r>
      <w:r>
        <w:rPr>
          <w:sz w:val="22"/>
        </w:rPr>
        <w:t>përkatëse;</w:t>
      </w:r>
    </w:p>
    <w:p>
      <w:pPr>
        <w:pStyle w:val="ListParagraph"/>
        <w:numPr>
          <w:ilvl w:val="0"/>
          <w:numId w:val="51"/>
        </w:numPr>
        <w:tabs>
          <w:tab w:pos="1080" w:val="left" w:leader="none"/>
        </w:tabs>
        <w:spacing w:line="252" w:lineRule="exact" w:before="0" w:after="0"/>
        <w:ind w:left="1079" w:right="0" w:hanging="241"/>
        <w:jc w:val="left"/>
        <w:rPr>
          <w:sz w:val="22"/>
        </w:rPr>
      </w:pPr>
      <w:r>
        <w:rPr>
          <w:sz w:val="22"/>
        </w:rPr>
        <w:t>kohën dhe formën e realizimit të</w:t>
      </w:r>
      <w:r>
        <w:rPr>
          <w:spacing w:val="-2"/>
          <w:sz w:val="22"/>
        </w:rPr>
        <w:t> </w:t>
      </w:r>
      <w:r>
        <w:rPr>
          <w:sz w:val="22"/>
        </w:rPr>
        <w:t>pagesës;</w:t>
      </w:r>
    </w:p>
    <w:p>
      <w:pPr>
        <w:pStyle w:val="ListParagraph"/>
        <w:numPr>
          <w:ilvl w:val="0"/>
          <w:numId w:val="51"/>
        </w:numPr>
        <w:tabs>
          <w:tab w:pos="1068" w:val="left" w:leader="none"/>
        </w:tabs>
        <w:spacing w:line="252" w:lineRule="exact" w:before="0" w:after="0"/>
        <w:ind w:left="1067" w:right="0" w:hanging="229"/>
        <w:jc w:val="left"/>
        <w:rPr>
          <w:sz w:val="22"/>
        </w:rPr>
      </w:pPr>
      <w:r>
        <w:rPr>
          <w:sz w:val="22"/>
        </w:rPr>
        <w:t>mënyrën e regjistrimit të pagesave dhe mbikëqyrjes së</w:t>
      </w:r>
      <w:r>
        <w:rPr>
          <w:spacing w:val="-18"/>
          <w:sz w:val="22"/>
        </w:rPr>
        <w:t> </w:t>
      </w:r>
      <w:r>
        <w:rPr>
          <w:sz w:val="22"/>
        </w:rPr>
        <w:t>tyre.</w:t>
      </w:r>
    </w:p>
    <w:p>
      <w:pPr>
        <w:pStyle w:val="ListParagraph"/>
        <w:numPr>
          <w:ilvl w:val="0"/>
          <w:numId w:val="50"/>
        </w:numPr>
        <w:tabs>
          <w:tab w:pos="1085" w:val="left" w:leader="none"/>
        </w:tabs>
        <w:spacing w:line="240" w:lineRule="auto" w:before="1" w:after="0"/>
        <w:ind w:left="119" w:right="113" w:firstLine="720"/>
        <w:jc w:val="both"/>
        <w:rPr>
          <w:sz w:val="22"/>
        </w:rPr>
      </w:pPr>
      <w:r>
        <w:rPr>
          <w:sz w:val="22"/>
        </w:rPr>
        <w:t>Pagesa për marrjen e licencave ose autorizimit bëhet në momentin e marrjes së licencës ose autorizimit. Pagesat vjetore kryhen brenda tremujorit të parë të çdo viti</w:t>
      </w:r>
      <w:r>
        <w:rPr>
          <w:spacing w:val="-6"/>
          <w:sz w:val="22"/>
        </w:rPr>
        <w:t> </w:t>
      </w:r>
      <w:r>
        <w:rPr>
          <w:sz w:val="22"/>
        </w:rPr>
        <w:t>kalendarik.</w:t>
      </w:r>
    </w:p>
    <w:p>
      <w:pPr>
        <w:pStyle w:val="ListParagraph"/>
        <w:numPr>
          <w:ilvl w:val="0"/>
          <w:numId w:val="50"/>
        </w:numPr>
        <w:tabs>
          <w:tab w:pos="1088" w:val="left" w:leader="none"/>
        </w:tabs>
        <w:spacing w:line="240" w:lineRule="auto" w:before="1" w:after="0"/>
        <w:ind w:left="119" w:right="114" w:firstLine="720"/>
        <w:jc w:val="both"/>
        <w:rPr>
          <w:sz w:val="22"/>
        </w:rPr>
      </w:pPr>
      <w:r>
        <w:rPr>
          <w:sz w:val="22"/>
        </w:rPr>
        <w:t>Çdo tepricë nga të ardhurat nga pagesat, që mbetet nga shpenzimet përkatëse funksionale të AMA-s, në përfundim të vitit financiar, mbahet në llogaritë e AMA-s, përfshihet në planin e shpenzimeve të vitit pasardhës dhe mbahet parasysh në rishikimin e pagesave përkatëse vjetore për</w:t>
      </w:r>
      <w:r>
        <w:rPr>
          <w:spacing w:val="-11"/>
          <w:sz w:val="22"/>
        </w:rPr>
        <w:t> </w:t>
      </w:r>
      <w:r>
        <w:rPr>
          <w:sz w:val="22"/>
        </w:rPr>
        <w:t>licencë.</w:t>
      </w:r>
    </w:p>
    <w:p>
      <w:pPr>
        <w:pStyle w:val="ListParagraph"/>
        <w:numPr>
          <w:ilvl w:val="0"/>
          <w:numId w:val="50"/>
        </w:numPr>
        <w:tabs>
          <w:tab w:pos="1061" w:val="left" w:leader="none"/>
        </w:tabs>
        <w:spacing w:line="252" w:lineRule="exact" w:before="0" w:after="0"/>
        <w:ind w:left="1060" w:right="0" w:hanging="222"/>
        <w:jc w:val="both"/>
        <w:rPr>
          <w:sz w:val="22"/>
        </w:rPr>
      </w:pPr>
      <w:r>
        <w:rPr>
          <w:sz w:val="22"/>
        </w:rPr>
        <w:t>AMA bën rishikimin periodik të këtyre pagesave për të reflektuar koston e vet</w:t>
      </w:r>
      <w:r>
        <w:rPr>
          <w:spacing w:val="-20"/>
          <w:sz w:val="22"/>
        </w:rPr>
        <w:t> </w:t>
      </w:r>
      <w:r>
        <w:rPr>
          <w:sz w:val="22"/>
        </w:rPr>
        <w:t>administrative.</w:t>
      </w:r>
    </w:p>
    <w:p>
      <w:pPr>
        <w:pStyle w:val="ListParagraph"/>
        <w:numPr>
          <w:ilvl w:val="0"/>
          <w:numId w:val="50"/>
        </w:numPr>
        <w:tabs>
          <w:tab w:pos="1061" w:val="left" w:leader="none"/>
        </w:tabs>
        <w:spacing w:line="252" w:lineRule="exact" w:before="0" w:after="0"/>
        <w:ind w:left="1060" w:right="0" w:hanging="222"/>
        <w:jc w:val="both"/>
        <w:rPr>
          <w:sz w:val="22"/>
        </w:rPr>
      </w:pPr>
      <w:r>
        <w:rPr>
          <w:sz w:val="22"/>
        </w:rPr>
        <w:t>Vendimi për caktimin e pagesave botohet në Fletoren</w:t>
      </w:r>
      <w:r>
        <w:rPr>
          <w:spacing w:val="-1"/>
          <w:sz w:val="22"/>
        </w:rPr>
        <w:t> </w:t>
      </w:r>
      <w:r>
        <w:rPr>
          <w:sz w:val="22"/>
        </w:rPr>
        <w:t>Zyrtare.</w:t>
      </w:r>
    </w:p>
    <w:p>
      <w:pPr>
        <w:pStyle w:val="BodyText"/>
        <w:ind w:left="0" w:firstLine="0"/>
      </w:pPr>
    </w:p>
    <w:p>
      <w:pPr>
        <w:pStyle w:val="BodyText"/>
        <w:ind w:left="146" w:right="146" w:firstLine="0"/>
        <w:jc w:val="center"/>
      </w:pPr>
      <w:r>
        <w:rPr/>
        <w:t>Neni 26</w:t>
      </w:r>
    </w:p>
    <w:p>
      <w:pPr>
        <w:pStyle w:val="Heading1"/>
        <w:spacing w:before="6"/>
        <w:ind w:right="145"/>
      </w:pPr>
      <w:r>
        <w:rPr/>
        <w:t>Llojet e pagesave</w:t>
      </w:r>
    </w:p>
    <w:p>
      <w:pPr>
        <w:pStyle w:val="BodyText"/>
        <w:spacing w:before="5"/>
        <w:ind w:left="0" w:firstLine="0"/>
        <w:rPr>
          <w:b/>
          <w:sz w:val="21"/>
        </w:rPr>
      </w:pPr>
    </w:p>
    <w:p>
      <w:pPr>
        <w:pStyle w:val="BodyText"/>
        <w:ind w:left="839" w:firstLine="0"/>
      </w:pPr>
      <w:r>
        <w:rPr/>
        <w:t>Llojet e pagesave janë:</w:t>
      </w:r>
    </w:p>
    <w:p>
      <w:pPr>
        <w:pStyle w:val="ListParagraph"/>
        <w:numPr>
          <w:ilvl w:val="0"/>
          <w:numId w:val="52"/>
        </w:numPr>
        <w:tabs>
          <w:tab w:pos="1068" w:val="left" w:leader="none"/>
        </w:tabs>
        <w:spacing w:line="252" w:lineRule="exact" w:before="1" w:after="0"/>
        <w:ind w:left="1067" w:right="0" w:hanging="229"/>
        <w:jc w:val="left"/>
        <w:rPr>
          <w:sz w:val="22"/>
        </w:rPr>
      </w:pPr>
      <w:r>
        <w:rPr>
          <w:sz w:val="22"/>
        </w:rPr>
        <w:t>pagesë për marrje licence dhe/ose</w:t>
      </w:r>
      <w:r>
        <w:rPr>
          <w:spacing w:val="-15"/>
          <w:sz w:val="22"/>
        </w:rPr>
        <w:t> </w:t>
      </w:r>
      <w:r>
        <w:rPr>
          <w:sz w:val="22"/>
        </w:rPr>
        <w:t>autorizimi;</w:t>
      </w:r>
    </w:p>
    <w:p>
      <w:pPr>
        <w:pStyle w:val="ListParagraph"/>
        <w:numPr>
          <w:ilvl w:val="0"/>
          <w:numId w:val="52"/>
        </w:numPr>
        <w:tabs>
          <w:tab w:pos="1080" w:val="left" w:leader="none"/>
        </w:tabs>
        <w:spacing w:line="252" w:lineRule="exact" w:before="0" w:after="0"/>
        <w:ind w:left="1079" w:right="0" w:hanging="241"/>
        <w:jc w:val="left"/>
        <w:rPr>
          <w:sz w:val="22"/>
        </w:rPr>
      </w:pPr>
      <w:r>
        <w:rPr>
          <w:sz w:val="22"/>
        </w:rPr>
        <w:t>pagesë vjetore për licencë dhe/ose</w:t>
      </w:r>
      <w:r>
        <w:rPr>
          <w:spacing w:val="-13"/>
          <w:sz w:val="22"/>
        </w:rPr>
        <w:t> </w:t>
      </w:r>
      <w:r>
        <w:rPr>
          <w:sz w:val="22"/>
        </w:rPr>
        <w:t>autorizim;</w:t>
      </w:r>
    </w:p>
    <w:p>
      <w:pPr>
        <w:pStyle w:val="ListParagraph"/>
        <w:numPr>
          <w:ilvl w:val="0"/>
          <w:numId w:val="52"/>
        </w:numPr>
        <w:tabs>
          <w:tab w:pos="1068" w:val="left" w:leader="none"/>
        </w:tabs>
        <w:spacing w:line="240" w:lineRule="auto" w:before="2" w:after="0"/>
        <w:ind w:left="1067" w:right="0" w:hanging="229"/>
        <w:jc w:val="left"/>
        <w:rPr>
          <w:sz w:val="22"/>
        </w:rPr>
      </w:pPr>
      <w:r>
        <w:rPr>
          <w:sz w:val="22"/>
        </w:rPr>
        <w:t>pagesë për përpunim aplikimi, dokumentacioni, ndryshime në licencë dhe/ose</w:t>
      </w:r>
      <w:r>
        <w:rPr>
          <w:spacing w:val="-17"/>
          <w:sz w:val="22"/>
        </w:rPr>
        <w:t> </w:t>
      </w:r>
      <w:r>
        <w:rPr>
          <w:sz w:val="22"/>
        </w:rPr>
        <w:t>autorizim.</w:t>
      </w:r>
    </w:p>
    <w:p>
      <w:pPr>
        <w:pStyle w:val="BodyText"/>
        <w:spacing w:before="9"/>
        <w:ind w:left="0" w:firstLine="0"/>
        <w:rPr>
          <w:sz w:val="21"/>
        </w:rPr>
      </w:pPr>
    </w:p>
    <w:p>
      <w:pPr>
        <w:pStyle w:val="BodyText"/>
        <w:ind w:left="146" w:right="146" w:firstLine="0"/>
        <w:jc w:val="center"/>
      </w:pPr>
      <w:r>
        <w:rPr/>
        <w:t>Neni 27</w:t>
      </w:r>
    </w:p>
    <w:p>
      <w:pPr>
        <w:pStyle w:val="Heading1"/>
        <w:spacing w:before="6"/>
        <w:ind w:right="145"/>
      </w:pPr>
      <w:r>
        <w:rPr/>
        <w:t>Administrimi i llogarive dhe kontrollit financiar</w:t>
      </w:r>
    </w:p>
    <w:p>
      <w:pPr>
        <w:pStyle w:val="BodyText"/>
        <w:spacing w:before="7"/>
        <w:ind w:left="0" w:firstLine="0"/>
        <w:rPr>
          <w:b/>
          <w:sz w:val="21"/>
        </w:rPr>
      </w:pPr>
    </w:p>
    <w:p>
      <w:pPr>
        <w:pStyle w:val="ListParagraph"/>
        <w:numPr>
          <w:ilvl w:val="0"/>
          <w:numId w:val="53"/>
        </w:numPr>
        <w:tabs>
          <w:tab w:pos="1073" w:val="left" w:leader="none"/>
        </w:tabs>
        <w:spacing w:line="240" w:lineRule="auto" w:before="0" w:after="0"/>
        <w:ind w:left="120" w:right="116" w:firstLine="720"/>
        <w:jc w:val="both"/>
        <w:rPr>
          <w:sz w:val="22"/>
        </w:rPr>
      </w:pPr>
      <w:r>
        <w:rPr>
          <w:sz w:val="22"/>
        </w:rPr>
        <w:t>AMA mban llogarinë e të ardhurave dhe shpenzimeve në përputhje me legjislacionin shqiptar të</w:t>
      </w:r>
      <w:r>
        <w:rPr>
          <w:spacing w:val="-1"/>
          <w:sz w:val="22"/>
        </w:rPr>
        <w:t> </w:t>
      </w:r>
      <w:r>
        <w:rPr>
          <w:sz w:val="22"/>
        </w:rPr>
        <w:t>kontabilitetit.</w:t>
      </w:r>
    </w:p>
    <w:p>
      <w:pPr>
        <w:pStyle w:val="ListParagraph"/>
        <w:numPr>
          <w:ilvl w:val="0"/>
          <w:numId w:val="53"/>
        </w:numPr>
        <w:tabs>
          <w:tab w:pos="1092" w:val="left" w:leader="none"/>
        </w:tabs>
        <w:spacing w:line="242" w:lineRule="auto" w:before="0" w:after="0"/>
        <w:ind w:left="120" w:right="115" w:firstLine="720"/>
        <w:jc w:val="both"/>
        <w:rPr>
          <w:sz w:val="22"/>
        </w:rPr>
      </w:pPr>
      <w:r>
        <w:rPr>
          <w:sz w:val="22"/>
        </w:rPr>
        <w:t>AMA publikon në faqen e saj zyrtare elektronike një pjesë ose të gjitha shpenzimet dhe të ardhurat.</w:t>
      </w:r>
    </w:p>
    <w:p>
      <w:pPr>
        <w:pStyle w:val="BodyText"/>
        <w:spacing w:line="247" w:lineRule="exact"/>
        <w:ind w:left="146" w:right="146" w:firstLine="0"/>
        <w:jc w:val="center"/>
      </w:pPr>
      <w:r>
        <w:rPr/>
        <w:t>Neni 28</w:t>
      </w:r>
    </w:p>
    <w:p>
      <w:pPr>
        <w:pStyle w:val="Heading1"/>
        <w:spacing w:before="6"/>
      </w:pPr>
      <w:r>
        <w:rPr/>
        <w:t>Raportimi</w:t>
      </w:r>
    </w:p>
    <w:p>
      <w:pPr>
        <w:pStyle w:val="BodyText"/>
        <w:spacing w:before="5"/>
        <w:ind w:left="0" w:firstLine="0"/>
        <w:rPr>
          <w:b/>
          <w:sz w:val="21"/>
        </w:rPr>
      </w:pPr>
    </w:p>
    <w:p>
      <w:pPr>
        <w:pStyle w:val="ListParagraph"/>
        <w:numPr>
          <w:ilvl w:val="0"/>
          <w:numId w:val="54"/>
        </w:numPr>
        <w:tabs>
          <w:tab w:pos="1073" w:val="left" w:leader="none"/>
        </w:tabs>
        <w:spacing w:line="240" w:lineRule="auto" w:before="0" w:after="0"/>
        <w:ind w:left="120" w:right="117" w:firstLine="720"/>
        <w:jc w:val="both"/>
        <w:rPr>
          <w:sz w:val="22"/>
        </w:rPr>
      </w:pPr>
      <w:r>
        <w:rPr>
          <w:sz w:val="22"/>
        </w:rPr>
        <w:t>AMA raporton në Kuvend, jo më vonë se data 31 mars i çdo viti, për mënyrën e përmbushjes së funksioneve dhe veprimtarive të veta për vitin paraardhës, përfshirë raportimin për realizimin e planit financiar.</w:t>
      </w:r>
    </w:p>
    <w:p>
      <w:pPr>
        <w:pStyle w:val="ListParagraph"/>
        <w:numPr>
          <w:ilvl w:val="0"/>
          <w:numId w:val="54"/>
        </w:numPr>
        <w:tabs>
          <w:tab w:pos="1095" w:val="left" w:leader="none"/>
        </w:tabs>
        <w:spacing w:line="240" w:lineRule="auto" w:before="1" w:after="0"/>
        <w:ind w:left="120" w:right="113" w:firstLine="719"/>
        <w:jc w:val="both"/>
        <w:rPr>
          <w:sz w:val="22"/>
        </w:rPr>
      </w:pPr>
      <w:r>
        <w:rPr>
          <w:sz w:val="22"/>
        </w:rPr>
        <w:t>Raporti vjetor duhet të përfshijë informacion mbi zhvillimin e transmetimeve në drejtim të personave me nevoja të veçanta shqisore dhe veçanërisht zhvillimin e arritur për qëllimet e përcaktuara në rregulloren e</w:t>
      </w:r>
      <w:r>
        <w:rPr>
          <w:spacing w:val="-3"/>
          <w:sz w:val="22"/>
        </w:rPr>
        <w:t> </w:t>
      </w:r>
      <w:r>
        <w:rPr>
          <w:sz w:val="22"/>
        </w:rPr>
        <w:t>transmetimit.</w:t>
      </w:r>
    </w:p>
    <w:p>
      <w:pPr>
        <w:pStyle w:val="ListParagraph"/>
        <w:numPr>
          <w:ilvl w:val="0"/>
          <w:numId w:val="54"/>
        </w:numPr>
        <w:tabs>
          <w:tab w:pos="1064" w:val="left" w:leader="none"/>
        </w:tabs>
        <w:spacing w:line="240" w:lineRule="auto" w:before="0" w:after="0"/>
        <w:ind w:left="120" w:right="116" w:firstLine="719"/>
        <w:jc w:val="both"/>
        <w:rPr>
          <w:sz w:val="22"/>
        </w:rPr>
      </w:pPr>
      <w:r>
        <w:rPr>
          <w:sz w:val="22"/>
        </w:rPr>
        <w:t>Raporti vjetor duhet të përfshijë të dhënat për pjesëmarrjen e anëtarëve të AMA-s në mbledhjet e vitit të kaluar.</w:t>
      </w:r>
    </w:p>
    <w:p>
      <w:pPr>
        <w:pStyle w:val="ListParagraph"/>
        <w:numPr>
          <w:ilvl w:val="0"/>
          <w:numId w:val="54"/>
        </w:numPr>
        <w:tabs>
          <w:tab w:pos="1069" w:val="left" w:leader="none"/>
        </w:tabs>
        <w:spacing w:line="240" w:lineRule="auto" w:before="0" w:after="0"/>
        <w:ind w:left="120" w:right="115" w:firstLine="720"/>
        <w:jc w:val="both"/>
        <w:rPr>
          <w:sz w:val="22"/>
        </w:rPr>
      </w:pPr>
      <w:r>
        <w:rPr>
          <w:sz w:val="22"/>
        </w:rPr>
        <w:t>AMA, përveç raportit vjetor, mund të paraqesë raporte në lidhje me funksionet e veta, në bazë të kërkesës së Komisionit Parlamentar për Edukimin dhe Mjetet e Informimit</w:t>
      </w:r>
      <w:r>
        <w:rPr>
          <w:spacing w:val="-8"/>
          <w:sz w:val="22"/>
        </w:rPr>
        <w:t> </w:t>
      </w:r>
      <w:r>
        <w:rPr>
          <w:sz w:val="22"/>
        </w:rPr>
        <w:t>Publik.</w:t>
      </w:r>
    </w:p>
    <w:p>
      <w:pPr>
        <w:pStyle w:val="BodyText"/>
        <w:spacing w:before="11"/>
        <w:ind w:left="0" w:firstLine="0"/>
        <w:rPr>
          <w:sz w:val="21"/>
        </w:rPr>
      </w:pPr>
    </w:p>
    <w:p>
      <w:pPr>
        <w:pStyle w:val="BodyText"/>
        <w:ind w:left="146" w:right="146" w:firstLine="0"/>
        <w:jc w:val="center"/>
      </w:pPr>
      <w:r>
        <w:rPr/>
        <w:t>Neni 29</w:t>
      </w:r>
    </w:p>
    <w:p>
      <w:pPr>
        <w:pStyle w:val="Heading1"/>
      </w:pPr>
      <w:r>
        <w:rPr/>
        <w:t>Vlerësimi i efekteve në tregun e transmetimeve</w:t>
      </w:r>
    </w:p>
    <w:p>
      <w:pPr>
        <w:spacing w:after="0"/>
        <w:sectPr>
          <w:pgSz w:w="12240" w:h="15840"/>
          <w:pgMar w:top="1360" w:bottom="280" w:left="1320" w:right="1320"/>
        </w:sectPr>
      </w:pPr>
    </w:p>
    <w:p>
      <w:pPr>
        <w:pStyle w:val="ListParagraph"/>
        <w:numPr>
          <w:ilvl w:val="0"/>
          <w:numId w:val="55"/>
        </w:numPr>
        <w:tabs>
          <w:tab w:pos="1064" w:val="left" w:leader="none"/>
        </w:tabs>
        <w:spacing w:line="240" w:lineRule="auto" w:before="94" w:after="0"/>
        <w:ind w:left="119" w:right="113" w:firstLine="720"/>
        <w:jc w:val="both"/>
        <w:rPr>
          <w:sz w:val="22"/>
        </w:rPr>
      </w:pPr>
      <w:r>
        <w:rPr>
          <w:sz w:val="22"/>
        </w:rPr>
        <w:t>AMA vlerëson rezultatet e zhvillimit në fushën e transmetimeve audio dhe/ose audiovizive dhe shqyrton masën në të cilën zhvillimi i transmetimeve</w:t>
      </w:r>
      <w:r>
        <w:rPr>
          <w:spacing w:val="-5"/>
          <w:sz w:val="22"/>
        </w:rPr>
        <w:t> </w:t>
      </w:r>
      <w:r>
        <w:rPr>
          <w:sz w:val="22"/>
        </w:rPr>
        <w:t>prek:</w:t>
      </w:r>
    </w:p>
    <w:p>
      <w:pPr>
        <w:pStyle w:val="BodyText"/>
        <w:spacing w:before="11"/>
        <w:ind w:left="0" w:firstLine="0"/>
        <w:rPr>
          <w:sz w:val="21"/>
        </w:rPr>
      </w:pPr>
    </w:p>
    <w:p>
      <w:pPr>
        <w:pStyle w:val="ListParagraph"/>
        <w:numPr>
          <w:ilvl w:val="0"/>
          <w:numId w:val="56"/>
        </w:numPr>
        <w:tabs>
          <w:tab w:pos="1078" w:val="left" w:leader="none"/>
        </w:tabs>
        <w:spacing w:line="240" w:lineRule="auto" w:before="0" w:after="0"/>
        <w:ind w:left="119" w:right="115" w:firstLine="720"/>
        <w:jc w:val="both"/>
        <w:rPr>
          <w:sz w:val="22"/>
        </w:rPr>
      </w:pPr>
      <w:r>
        <w:rPr>
          <w:sz w:val="22"/>
        </w:rPr>
        <w:t>cilësinë, shkallën e mbulimit me shërbime dhe llojet e tyre, si dhe mundësinë e zgjedhjes së shërbimeve nga shikuesit dhe</w:t>
      </w:r>
      <w:r>
        <w:rPr>
          <w:spacing w:val="-3"/>
          <w:sz w:val="22"/>
        </w:rPr>
        <w:t> </w:t>
      </w:r>
      <w:r>
        <w:rPr>
          <w:sz w:val="22"/>
        </w:rPr>
        <w:t>dëgjuesit;</w:t>
      </w:r>
    </w:p>
    <w:p>
      <w:pPr>
        <w:pStyle w:val="ListParagraph"/>
        <w:numPr>
          <w:ilvl w:val="0"/>
          <w:numId w:val="56"/>
        </w:numPr>
        <w:tabs>
          <w:tab w:pos="1135" w:val="left" w:leader="none"/>
        </w:tabs>
        <w:spacing w:line="240" w:lineRule="auto" w:before="0" w:after="0"/>
        <w:ind w:left="1134" w:right="0" w:hanging="296"/>
        <w:jc w:val="both"/>
        <w:rPr>
          <w:sz w:val="22"/>
        </w:rPr>
      </w:pPr>
      <w:r>
        <w:rPr>
          <w:sz w:val="22"/>
        </w:rPr>
        <w:t>shpërndarjen e shërbimeve në fushën e</w:t>
      </w:r>
      <w:r>
        <w:rPr>
          <w:spacing w:val="-7"/>
          <w:sz w:val="22"/>
        </w:rPr>
        <w:t> </w:t>
      </w:r>
      <w:r>
        <w:rPr>
          <w:sz w:val="22"/>
        </w:rPr>
        <w:t>transmetimeve;</w:t>
      </w:r>
    </w:p>
    <w:p>
      <w:pPr>
        <w:pStyle w:val="ListParagraph"/>
        <w:numPr>
          <w:ilvl w:val="0"/>
          <w:numId w:val="56"/>
        </w:numPr>
        <w:tabs>
          <w:tab w:pos="1068" w:val="left" w:leader="none"/>
        </w:tabs>
        <w:spacing w:line="240" w:lineRule="auto" w:before="2" w:after="0"/>
        <w:ind w:left="839" w:right="2162" w:firstLine="0"/>
        <w:jc w:val="both"/>
        <w:rPr>
          <w:sz w:val="22"/>
        </w:rPr>
      </w:pPr>
      <w:r>
        <w:rPr>
          <w:sz w:val="22"/>
        </w:rPr>
        <w:t>efektet e zhvillimeve teknologjike, risive dhe investimeve në këtë fushë; ç) tregjet e lidhura me</w:t>
      </w:r>
      <w:r>
        <w:rPr>
          <w:spacing w:val="-1"/>
          <w:sz w:val="22"/>
        </w:rPr>
        <w:t> </w:t>
      </w:r>
      <w:r>
        <w:rPr>
          <w:sz w:val="22"/>
        </w:rPr>
        <w:t>transmetimet;</w:t>
      </w:r>
    </w:p>
    <w:p>
      <w:pPr>
        <w:pStyle w:val="ListParagraph"/>
        <w:numPr>
          <w:ilvl w:val="0"/>
          <w:numId w:val="56"/>
        </w:numPr>
        <w:tabs>
          <w:tab w:pos="1080" w:val="left" w:leader="none"/>
        </w:tabs>
        <w:spacing w:line="251" w:lineRule="exact" w:before="0" w:after="0"/>
        <w:ind w:left="1079" w:right="0" w:hanging="241"/>
        <w:jc w:val="both"/>
        <w:rPr>
          <w:sz w:val="22"/>
        </w:rPr>
      </w:pPr>
      <w:r>
        <w:rPr>
          <w:sz w:val="22"/>
        </w:rPr>
        <w:t>çështje të tjera që AMA i vlerëson të arsyeshme për këtë</w:t>
      </w:r>
      <w:r>
        <w:rPr>
          <w:spacing w:val="-18"/>
          <w:sz w:val="22"/>
        </w:rPr>
        <w:t> </w:t>
      </w:r>
      <w:r>
        <w:rPr>
          <w:sz w:val="22"/>
        </w:rPr>
        <w:t>qëllim.</w:t>
      </w:r>
    </w:p>
    <w:p>
      <w:pPr>
        <w:pStyle w:val="ListParagraph"/>
        <w:numPr>
          <w:ilvl w:val="0"/>
          <w:numId w:val="55"/>
        </w:numPr>
        <w:tabs>
          <w:tab w:pos="1135" w:val="left" w:leader="none"/>
        </w:tabs>
        <w:spacing w:line="240" w:lineRule="auto" w:before="1" w:after="0"/>
        <w:ind w:left="119" w:right="110" w:firstLine="720"/>
        <w:jc w:val="both"/>
        <w:rPr>
          <w:sz w:val="22"/>
        </w:rPr>
      </w:pPr>
      <w:r>
        <w:rPr>
          <w:sz w:val="22"/>
        </w:rPr>
        <w:t>AMA analizon periodikisht efektet e ndryshme në tregun e transmetimeve, me qëllim ushtrimin sa më të përshtatshëm të funksioneve të veta rregullatore. Për këtë qëllim AMA mund të bashkëpunojë me institucionet përkatëse publike dhe me ofruesit e shërbimeve</w:t>
      </w:r>
      <w:r>
        <w:rPr>
          <w:spacing w:val="-8"/>
          <w:sz w:val="22"/>
        </w:rPr>
        <w:t> </w:t>
      </w:r>
      <w:r>
        <w:rPr>
          <w:sz w:val="22"/>
        </w:rPr>
        <w:t>mediatike.</w:t>
      </w:r>
    </w:p>
    <w:p>
      <w:pPr>
        <w:pStyle w:val="BodyText"/>
        <w:spacing w:line="252" w:lineRule="exact" w:before="185"/>
        <w:ind w:left="146" w:right="146" w:firstLine="0"/>
        <w:jc w:val="center"/>
      </w:pPr>
      <w:r>
        <w:rPr/>
        <w:t>KREU III</w:t>
      </w:r>
    </w:p>
    <w:p>
      <w:pPr>
        <w:pStyle w:val="BodyText"/>
        <w:spacing w:line="252" w:lineRule="exact"/>
        <w:ind w:left="146" w:right="147" w:firstLine="0"/>
        <w:jc w:val="center"/>
      </w:pPr>
      <w:r>
        <w:rPr/>
        <w:t>KUSHTET DHE DETYRIMET PËR SHËRBIMET E TRANSMETIMIT</w:t>
      </w:r>
    </w:p>
    <w:p>
      <w:pPr>
        <w:pStyle w:val="BodyText"/>
        <w:spacing w:before="184"/>
        <w:ind w:left="146" w:right="146" w:firstLine="0"/>
        <w:jc w:val="center"/>
      </w:pPr>
      <w:r>
        <w:rPr/>
        <w:t>Neni 30</w:t>
      </w:r>
    </w:p>
    <w:p>
      <w:pPr>
        <w:pStyle w:val="Heading1"/>
        <w:spacing w:before="6"/>
        <w:ind w:left="2049" w:right="2047"/>
      </w:pPr>
      <w:r>
        <w:rPr/>
        <w:t>Ofruesit e shërbimeve mediatike audio dhe/ose audiovizive në juridiksionin e Republikës së Shqipërisë</w:t>
      </w:r>
    </w:p>
    <w:p>
      <w:pPr>
        <w:pStyle w:val="ListParagraph"/>
        <w:numPr>
          <w:ilvl w:val="0"/>
          <w:numId w:val="57"/>
        </w:numPr>
        <w:tabs>
          <w:tab w:pos="1078" w:val="left" w:leader="none"/>
        </w:tabs>
        <w:spacing w:line="240" w:lineRule="auto" w:before="202" w:after="0"/>
        <w:ind w:left="119" w:right="115" w:firstLine="720"/>
        <w:jc w:val="both"/>
        <w:rPr>
          <w:sz w:val="22"/>
        </w:rPr>
      </w:pPr>
      <w:r>
        <w:rPr>
          <w:sz w:val="22"/>
        </w:rPr>
        <w:t>Ofruesi i shërbimit mediatik audio dhe/ose audioviziv është në juridiksionin e Republikës së Shqipërisë kur zyra apo struktura drejtuese e tij është në territorin e Republikës së Shqipërisë dhe vendimmarrja editoriale për shërbimet audio dhe/ose audiovizive realizohet brenda këtij</w:t>
      </w:r>
      <w:r>
        <w:rPr>
          <w:spacing w:val="-11"/>
          <w:sz w:val="22"/>
        </w:rPr>
        <w:t> </w:t>
      </w:r>
      <w:r>
        <w:rPr>
          <w:sz w:val="22"/>
        </w:rPr>
        <w:t>territori.</w:t>
      </w:r>
    </w:p>
    <w:p>
      <w:pPr>
        <w:pStyle w:val="ListParagraph"/>
        <w:numPr>
          <w:ilvl w:val="0"/>
          <w:numId w:val="57"/>
        </w:numPr>
        <w:tabs>
          <w:tab w:pos="1116" w:val="left" w:leader="none"/>
        </w:tabs>
        <w:spacing w:line="240" w:lineRule="auto" w:before="0" w:after="0"/>
        <w:ind w:left="119" w:right="112" w:firstLine="720"/>
        <w:jc w:val="both"/>
        <w:rPr>
          <w:sz w:val="22"/>
        </w:rPr>
      </w:pPr>
      <w:r>
        <w:rPr>
          <w:sz w:val="22"/>
        </w:rPr>
        <w:t>Kur zyra apo struktura drejtuese e tij është në territorin e Republikën e Shqipërisë, por vendimmarrja editoriale për shërbimet audio dhe/ose audiovizive realizohet në një vend të Bashkimit Europian, prezumohet se ofruesi i shërbimeve mediatike është në juridiksionin e Republikës së Shqipërisë, me kusht që pjesa më e madhe e personelit të angazhuar në aktivitetet e shërbimeve audio dhe/ose audiovizive veprojnë në</w:t>
      </w:r>
      <w:r>
        <w:rPr>
          <w:spacing w:val="-1"/>
          <w:sz w:val="22"/>
        </w:rPr>
        <w:t> </w:t>
      </w:r>
      <w:r>
        <w:rPr>
          <w:sz w:val="22"/>
        </w:rPr>
        <w:t>Shqipëri.</w:t>
      </w:r>
    </w:p>
    <w:p>
      <w:pPr>
        <w:pStyle w:val="ListParagraph"/>
        <w:numPr>
          <w:ilvl w:val="0"/>
          <w:numId w:val="57"/>
        </w:numPr>
        <w:tabs>
          <w:tab w:pos="1090" w:val="left" w:leader="none"/>
        </w:tabs>
        <w:spacing w:line="240" w:lineRule="auto" w:before="0" w:after="0"/>
        <w:ind w:left="119" w:right="115" w:firstLine="720"/>
        <w:jc w:val="both"/>
        <w:rPr>
          <w:sz w:val="22"/>
        </w:rPr>
      </w:pPr>
      <w:r>
        <w:rPr>
          <w:sz w:val="22"/>
        </w:rPr>
        <w:t>Kur një pjesë e konsiderueshme e personelit të angazhuar në aktivitetet e shërbimeve audio dhe/ose audiovizive vepron në Republikën e Shqipërisë dhe në një vend të BE-së, ofruesi i shërbimit mediatik prezumohet se është i vendosur në Republikën e Shqipërisë, nëse selia e tij qendrore është në Republikën e</w:t>
      </w:r>
      <w:r>
        <w:rPr>
          <w:spacing w:val="-1"/>
          <w:sz w:val="22"/>
        </w:rPr>
        <w:t> </w:t>
      </w:r>
      <w:r>
        <w:rPr>
          <w:sz w:val="22"/>
        </w:rPr>
        <w:t>Shqipërisë.</w:t>
      </w:r>
    </w:p>
    <w:p>
      <w:pPr>
        <w:pStyle w:val="ListParagraph"/>
        <w:numPr>
          <w:ilvl w:val="0"/>
          <w:numId w:val="57"/>
        </w:numPr>
        <w:tabs>
          <w:tab w:pos="1090" w:val="left" w:leader="none"/>
        </w:tabs>
        <w:spacing w:line="240" w:lineRule="auto" w:before="0" w:after="0"/>
        <w:ind w:left="119" w:right="115" w:firstLine="720"/>
        <w:jc w:val="both"/>
        <w:rPr>
          <w:sz w:val="22"/>
        </w:rPr>
      </w:pPr>
      <w:r>
        <w:rPr>
          <w:sz w:val="22"/>
        </w:rPr>
        <w:t>Kur një pjesë e konsiderueshme e personelit të angazhuar në aktivitetet e shërbimeve audio dhe/ose audiovizive nuk vepron as në Republikën e Shqipërisë dhe as në një shtet anëtar të BE-së, ofruesi i shërbimit mediatik prezumohet se është i vendosur në Republikën e Shqipërisë, nëse aktiviteti i tij ka filluar për herë të parë në këtë vend, në përputhje me legjislacionin shqiptar, me kusht që ai të mbajë lidhje të qëndrueshme dhe efektive me ekonominë</w:t>
      </w:r>
      <w:r>
        <w:rPr>
          <w:spacing w:val="-5"/>
          <w:sz w:val="22"/>
        </w:rPr>
        <w:t> </w:t>
      </w:r>
      <w:r>
        <w:rPr>
          <w:sz w:val="22"/>
        </w:rPr>
        <w:t>shqiptare.</w:t>
      </w:r>
    </w:p>
    <w:p>
      <w:pPr>
        <w:pStyle w:val="ListParagraph"/>
        <w:numPr>
          <w:ilvl w:val="0"/>
          <w:numId w:val="57"/>
        </w:numPr>
        <w:tabs>
          <w:tab w:pos="1066" w:val="left" w:leader="none"/>
        </w:tabs>
        <w:spacing w:line="240" w:lineRule="auto" w:before="0" w:after="0"/>
        <w:ind w:left="119" w:right="113" w:firstLine="720"/>
        <w:jc w:val="both"/>
        <w:rPr>
          <w:sz w:val="22"/>
        </w:rPr>
      </w:pPr>
      <w:r>
        <w:rPr>
          <w:sz w:val="22"/>
        </w:rPr>
        <w:t>Dispozitat e këtij ligji zbatohen edhe për ato shërbime mediatike audio dhe/ose audiovizive që, pavarësisht se nuk përfshihen në pikat 1 e 2 të këtij</w:t>
      </w:r>
      <w:r>
        <w:rPr>
          <w:spacing w:val="-6"/>
          <w:sz w:val="22"/>
        </w:rPr>
        <w:t> </w:t>
      </w:r>
      <w:r>
        <w:rPr>
          <w:sz w:val="22"/>
        </w:rPr>
        <w:t>neni:</w:t>
      </w:r>
    </w:p>
    <w:p>
      <w:pPr>
        <w:pStyle w:val="ListParagraph"/>
        <w:numPr>
          <w:ilvl w:val="0"/>
          <w:numId w:val="58"/>
        </w:numPr>
        <w:tabs>
          <w:tab w:pos="1069" w:val="left" w:leader="none"/>
        </w:tabs>
        <w:spacing w:line="251" w:lineRule="exact" w:before="0" w:after="0"/>
        <w:ind w:left="1068" w:right="0" w:hanging="229"/>
        <w:jc w:val="both"/>
        <w:rPr>
          <w:sz w:val="22"/>
        </w:rPr>
      </w:pPr>
      <w:r>
        <w:rPr>
          <w:sz w:val="22"/>
        </w:rPr>
        <w:t>përdorin një lidhje satelitore nga territori i Republikës së</w:t>
      </w:r>
      <w:r>
        <w:rPr>
          <w:spacing w:val="-7"/>
          <w:sz w:val="22"/>
        </w:rPr>
        <w:t> </w:t>
      </w:r>
      <w:r>
        <w:rPr>
          <w:sz w:val="22"/>
        </w:rPr>
        <w:t>Shqipërisë;</w:t>
      </w:r>
    </w:p>
    <w:p>
      <w:pPr>
        <w:pStyle w:val="ListParagraph"/>
        <w:numPr>
          <w:ilvl w:val="0"/>
          <w:numId w:val="58"/>
        </w:numPr>
        <w:tabs>
          <w:tab w:pos="1080" w:val="left" w:leader="none"/>
        </w:tabs>
        <w:spacing w:line="240" w:lineRule="auto" w:before="1" w:after="0"/>
        <w:ind w:left="119" w:right="116" w:firstLine="720"/>
        <w:jc w:val="both"/>
        <w:rPr>
          <w:sz w:val="22"/>
        </w:rPr>
      </w:pPr>
      <w:r>
        <w:rPr>
          <w:sz w:val="22"/>
        </w:rPr>
        <w:t>nuk përdorin një lidhje satelitore nga territori i Republikës së Shqipërisë, por përdorin burime e hapësira të transmetimeve satelitore që i përkasin Republikës së</w:t>
      </w:r>
      <w:r>
        <w:rPr>
          <w:spacing w:val="-4"/>
          <w:sz w:val="22"/>
        </w:rPr>
        <w:t> </w:t>
      </w:r>
      <w:r>
        <w:rPr>
          <w:sz w:val="22"/>
        </w:rPr>
        <w:t>Shqipërisë.</w:t>
      </w:r>
    </w:p>
    <w:p>
      <w:pPr>
        <w:pStyle w:val="ListParagraph"/>
        <w:numPr>
          <w:ilvl w:val="0"/>
          <w:numId w:val="57"/>
        </w:numPr>
        <w:tabs>
          <w:tab w:pos="1116" w:val="left" w:leader="none"/>
        </w:tabs>
        <w:spacing w:line="240" w:lineRule="auto" w:before="0" w:after="0"/>
        <w:ind w:left="119" w:right="114" w:firstLine="720"/>
        <w:jc w:val="both"/>
        <w:rPr>
          <w:sz w:val="22"/>
        </w:rPr>
      </w:pPr>
      <w:r>
        <w:rPr>
          <w:sz w:val="22"/>
        </w:rPr>
        <w:t>Kur një ofrues i shërbimit mediatik ka selinë qendrore në Republikën e Shqipërisë, por vendimet për shërbimet mediatike audio dhe/ose audiovizive merren në një vend të tretë, ose anasjelltas, ofruesi prezumohet se është i vendosur në Republikën e Shqipërisë, me kusht që pjesa më e madhe e krahut të punës të përfshirë në aktivitetet e shërbimeve mediatike audio dhe/ose audiovizive punon në Republikën e</w:t>
      </w:r>
      <w:r>
        <w:rPr>
          <w:spacing w:val="-1"/>
          <w:sz w:val="22"/>
        </w:rPr>
        <w:t> </w:t>
      </w:r>
      <w:r>
        <w:rPr>
          <w:sz w:val="22"/>
        </w:rPr>
        <w:t>Shqipërisë.</w:t>
      </w:r>
    </w:p>
    <w:p>
      <w:pPr>
        <w:pStyle w:val="ListParagraph"/>
        <w:numPr>
          <w:ilvl w:val="0"/>
          <w:numId w:val="57"/>
        </w:numPr>
        <w:tabs>
          <w:tab w:pos="1076" w:val="left" w:leader="none"/>
        </w:tabs>
        <w:spacing w:line="240" w:lineRule="auto" w:before="0" w:after="0"/>
        <w:ind w:left="119" w:right="115" w:firstLine="720"/>
        <w:jc w:val="both"/>
        <w:rPr>
          <w:sz w:val="22"/>
        </w:rPr>
      </w:pPr>
      <w:r>
        <w:rPr>
          <w:sz w:val="22"/>
        </w:rPr>
        <w:t>Nëse juridiksioni nuk mund të përcaktohet sipas pikave 2 deri në 6 të këtij neni, vendi anëtar kompetent do të jetë ai në të cilin ndodhet OSHMA-ja, sipas kuptimit të neneve 49 dhe 50 të Marrëveshjes së Stabilizim-Asociimit ndërmjet Republikës së Shqipërisë dhe Bashkimit Europian dhe shteteve të tij anëtare.</w:t>
      </w:r>
    </w:p>
    <w:p>
      <w:pPr>
        <w:spacing w:after="0" w:line="240" w:lineRule="auto"/>
        <w:jc w:val="both"/>
        <w:rPr>
          <w:sz w:val="22"/>
        </w:rPr>
        <w:sectPr>
          <w:pgSz w:w="12240" w:h="15840"/>
          <w:pgMar w:top="1500" w:bottom="280" w:left="1320" w:right="1320"/>
        </w:sectPr>
      </w:pPr>
    </w:p>
    <w:p>
      <w:pPr>
        <w:pStyle w:val="BodyText"/>
        <w:spacing w:before="74"/>
        <w:ind w:left="119" w:right="114"/>
        <w:jc w:val="both"/>
      </w:pPr>
      <w:r>
        <w:rPr/>
        <w:t>Në datën e aderimit të Republikës së Shqipërisë në Bashkimin Europian, çështja e juridiksionit, sipas pikës 6 të këtij neni, do të zgjidhet sipas neneve 49 deri 55 të Traktatit për Funksionimin e Bashkimit Europian.</w:t>
      </w:r>
    </w:p>
    <w:p>
      <w:pPr>
        <w:pStyle w:val="BodyText"/>
        <w:spacing w:before="160"/>
        <w:ind w:left="146" w:right="146" w:firstLine="0"/>
        <w:jc w:val="center"/>
      </w:pPr>
      <w:r>
        <w:rPr/>
        <w:t>Neni 31</w:t>
      </w:r>
    </w:p>
    <w:p>
      <w:pPr>
        <w:pStyle w:val="Heading1"/>
        <w:spacing w:before="6"/>
        <w:ind w:right="144"/>
      </w:pPr>
      <w:r>
        <w:rPr/>
        <w:t>Llojet e ofruesve të shërbimeve mediatike audio dhe/ose audiovizive</w:t>
      </w:r>
    </w:p>
    <w:p>
      <w:pPr>
        <w:pStyle w:val="ListParagraph"/>
        <w:numPr>
          <w:ilvl w:val="0"/>
          <w:numId w:val="59"/>
        </w:numPr>
        <w:tabs>
          <w:tab w:pos="1080" w:val="left" w:leader="none"/>
        </w:tabs>
        <w:spacing w:line="240" w:lineRule="auto" w:before="201" w:after="0"/>
        <w:ind w:left="119" w:right="114" w:firstLine="720"/>
        <w:jc w:val="left"/>
        <w:rPr>
          <w:sz w:val="22"/>
        </w:rPr>
      </w:pPr>
      <w:r>
        <w:rPr>
          <w:sz w:val="22"/>
        </w:rPr>
        <w:t>OSHMA-të klasifikohen sipas formës së pronësisë mbi kapitalin e qëllimin e veprimtarisë, si dhe mënyrës së shpërndarjes së sinjalit e mbulimit përkatës të</w:t>
      </w:r>
      <w:r>
        <w:rPr>
          <w:spacing w:val="-5"/>
          <w:sz w:val="22"/>
        </w:rPr>
        <w:t> </w:t>
      </w:r>
      <w:r>
        <w:rPr>
          <w:sz w:val="22"/>
        </w:rPr>
        <w:t>territorit.</w:t>
      </w:r>
    </w:p>
    <w:p>
      <w:pPr>
        <w:pStyle w:val="ListParagraph"/>
        <w:numPr>
          <w:ilvl w:val="0"/>
          <w:numId w:val="59"/>
        </w:numPr>
        <w:tabs>
          <w:tab w:pos="1061" w:val="left" w:leader="none"/>
        </w:tabs>
        <w:spacing w:line="240" w:lineRule="auto" w:before="0" w:after="0"/>
        <w:ind w:left="1060" w:right="0" w:hanging="221"/>
        <w:jc w:val="left"/>
        <w:rPr>
          <w:sz w:val="22"/>
        </w:rPr>
      </w:pPr>
      <w:r>
        <w:rPr>
          <w:sz w:val="22"/>
        </w:rPr>
        <w:t>OSHMA-të mund të jenë:</w:t>
      </w:r>
    </w:p>
    <w:p>
      <w:pPr>
        <w:pStyle w:val="ListParagraph"/>
        <w:numPr>
          <w:ilvl w:val="0"/>
          <w:numId w:val="60"/>
        </w:numPr>
        <w:tabs>
          <w:tab w:pos="1076" w:val="left" w:leader="none"/>
        </w:tabs>
        <w:spacing w:line="240" w:lineRule="auto" w:before="1" w:after="0"/>
        <w:ind w:left="119" w:right="113" w:firstLine="720"/>
        <w:jc w:val="left"/>
        <w:rPr>
          <w:sz w:val="22"/>
        </w:rPr>
      </w:pPr>
      <w:r>
        <w:rPr>
          <w:sz w:val="22"/>
        </w:rPr>
        <w:t>sipas formës së pronësisë mbi kapitalin dhe qëllimin e veprimtarisë, shërbime publike, private, tregtare ose</w:t>
      </w:r>
      <w:r>
        <w:rPr>
          <w:spacing w:val="-3"/>
          <w:sz w:val="22"/>
        </w:rPr>
        <w:t> </w:t>
      </w:r>
      <w:r>
        <w:rPr>
          <w:sz w:val="22"/>
        </w:rPr>
        <w:t>jotregtare;</w:t>
      </w:r>
    </w:p>
    <w:p>
      <w:pPr>
        <w:pStyle w:val="ListParagraph"/>
        <w:numPr>
          <w:ilvl w:val="0"/>
          <w:numId w:val="60"/>
        </w:numPr>
        <w:tabs>
          <w:tab w:pos="1095" w:val="left" w:leader="none"/>
        </w:tabs>
        <w:spacing w:line="242" w:lineRule="auto" w:before="0" w:after="0"/>
        <w:ind w:left="119" w:right="115" w:firstLine="720"/>
        <w:jc w:val="left"/>
        <w:rPr>
          <w:sz w:val="22"/>
        </w:rPr>
      </w:pPr>
      <w:r>
        <w:rPr>
          <w:sz w:val="22"/>
        </w:rPr>
        <w:t>sipas mënyrës së shpërndarjes, tokësore, satelitore, me kabllo, TV në internet, ose në ndonjë forme</w:t>
      </w:r>
      <w:r>
        <w:rPr>
          <w:spacing w:val="-1"/>
          <w:sz w:val="22"/>
        </w:rPr>
        <w:t> </w:t>
      </w:r>
      <w:r>
        <w:rPr>
          <w:sz w:val="22"/>
        </w:rPr>
        <w:t>tjetër;</w:t>
      </w:r>
    </w:p>
    <w:p>
      <w:pPr>
        <w:pStyle w:val="ListParagraph"/>
        <w:numPr>
          <w:ilvl w:val="0"/>
          <w:numId w:val="60"/>
        </w:numPr>
        <w:tabs>
          <w:tab w:pos="1069" w:val="left" w:leader="none"/>
        </w:tabs>
        <w:spacing w:line="248" w:lineRule="exact" w:before="0" w:after="0"/>
        <w:ind w:left="1068" w:right="0" w:hanging="230"/>
        <w:jc w:val="left"/>
        <w:rPr>
          <w:sz w:val="22"/>
        </w:rPr>
      </w:pPr>
      <w:r>
        <w:rPr>
          <w:sz w:val="22"/>
        </w:rPr>
        <w:t>sipas mbulimit të territorit, kombëtarë, rajonalë, lokalë ose</w:t>
      </w:r>
      <w:r>
        <w:rPr>
          <w:spacing w:val="-9"/>
          <w:sz w:val="22"/>
        </w:rPr>
        <w:t> </w:t>
      </w:r>
      <w:r>
        <w:rPr>
          <w:sz w:val="22"/>
        </w:rPr>
        <w:t>ndërkufitarë.</w:t>
      </w:r>
    </w:p>
    <w:p>
      <w:pPr>
        <w:pStyle w:val="BodyText"/>
        <w:spacing w:before="10"/>
        <w:ind w:left="0" w:firstLine="0"/>
        <w:rPr>
          <w:sz w:val="21"/>
        </w:rPr>
      </w:pPr>
    </w:p>
    <w:p>
      <w:pPr>
        <w:pStyle w:val="BodyText"/>
        <w:ind w:left="146" w:right="146" w:firstLine="0"/>
        <w:jc w:val="center"/>
      </w:pPr>
      <w:r>
        <w:rPr/>
        <w:t>Neni 32</w:t>
      </w:r>
    </w:p>
    <w:p>
      <w:pPr>
        <w:pStyle w:val="Heading1"/>
        <w:ind w:right="144"/>
      </w:pPr>
      <w:r>
        <w:rPr/>
        <w:t>Rregulla të përgjithshme për ofruesit e shërbimeve mediatike audio dhe/ose audiovizive</w:t>
      </w:r>
    </w:p>
    <w:p>
      <w:pPr>
        <w:pStyle w:val="ListParagraph"/>
        <w:numPr>
          <w:ilvl w:val="0"/>
          <w:numId w:val="61"/>
        </w:numPr>
        <w:tabs>
          <w:tab w:pos="1061" w:val="left" w:leader="none"/>
        </w:tabs>
        <w:spacing w:line="252" w:lineRule="exact" w:before="203" w:after="0"/>
        <w:ind w:left="1060" w:right="0" w:hanging="221"/>
        <w:jc w:val="left"/>
        <w:rPr>
          <w:sz w:val="22"/>
        </w:rPr>
      </w:pPr>
      <w:r>
        <w:rPr>
          <w:sz w:val="22"/>
        </w:rPr>
        <w:t>OSHMA-të sigurojnë që marrësi i shërbimit të informohet</w:t>
      </w:r>
      <w:r>
        <w:rPr>
          <w:spacing w:val="-6"/>
          <w:sz w:val="22"/>
        </w:rPr>
        <w:t> </w:t>
      </w:r>
      <w:r>
        <w:rPr>
          <w:sz w:val="22"/>
        </w:rPr>
        <w:t>për:</w:t>
      </w:r>
    </w:p>
    <w:p>
      <w:pPr>
        <w:pStyle w:val="ListParagraph"/>
        <w:numPr>
          <w:ilvl w:val="0"/>
          <w:numId w:val="62"/>
        </w:numPr>
        <w:tabs>
          <w:tab w:pos="1069" w:val="left" w:leader="none"/>
        </w:tabs>
        <w:spacing w:line="252" w:lineRule="exact" w:before="0" w:after="0"/>
        <w:ind w:left="1068" w:right="0" w:hanging="229"/>
        <w:jc w:val="left"/>
        <w:rPr>
          <w:sz w:val="22"/>
        </w:rPr>
      </w:pPr>
      <w:r>
        <w:rPr>
          <w:sz w:val="22"/>
        </w:rPr>
        <w:t>emrin e ofruesit të shërbimit</w:t>
      </w:r>
      <w:r>
        <w:rPr>
          <w:spacing w:val="-6"/>
          <w:sz w:val="22"/>
        </w:rPr>
        <w:t> </w:t>
      </w:r>
      <w:r>
        <w:rPr>
          <w:sz w:val="22"/>
        </w:rPr>
        <w:t>mediatik;</w:t>
      </w:r>
    </w:p>
    <w:p>
      <w:pPr>
        <w:pStyle w:val="ListParagraph"/>
        <w:numPr>
          <w:ilvl w:val="0"/>
          <w:numId w:val="62"/>
        </w:numPr>
        <w:tabs>
          <w:tab w:pos="1080" w:val="left" w:leader="none"/>
        </w:tabs>
        <w:spacing w:line="252" w:lineRule="exact" w:before="2" w:after="0"/>
        <w:ind w:left="1080" w:right="0" w:hanging="240"/>
        <w:jc w:val="left"/>
        <w:rPr>
          <w:sz w:val="22"/>
        </w:rPr>
      </w:pPr>
      <w:r>
        <w:rPr>
          <w:sz w:val="22"/>
        </w:rPr>
        <w:t>adresën e qendrës së</w:t>
      </w:r>
      <w:r>
        <w:rPr>
          <w:spacing w:val="-3"/>
          <w:sz w:val="22"/>
        </w:rPr>
        <w:t> </w:t>
      </w:r>
      <w:r>
        <w:rPr>
          <w:sz w:val="22"/>
        </w:rPr>
        <w:t>tij;</w:t>
      </w:r>
    </w:p>
    <w:p>
      <w:pPr>
        <w:pStyle w:val="ListParagraph"/>
        <w:numPr>
          <w:ilvl w:val="0"/>
          <w:numId w:val="62"/>
        </w:numPr>
        <w:tabs>
          <w:tab w:pos="1069" w:val="left" w:leader="none"/>
        </w:tabs>
        <w:spacing w:line="252" w:lineRule="exact" w:before="0" w:after="0"/>
        <w:ind w:left="1068" w:right="0" w:hanging="229"/>
        <w:jc w:val="left"/>
        <w:rPr>
          <w:sz w:val="22"/>
        </w:rPr>
      </w:pPr>
      <w:r>
        <w:rPr>
          <w:sz w:val="22"/>
        </w:rPr>
        <w:t>detajet e kontaktit, përfshirë adresën elektronike ose faqen e vet</w:t>
      </w:r>
      <w:r>
        <w:rPr>
          <w:spacing w:val="-9"/>
          <w:sz w:val="22"/>
        </w:rPr>
        <w:t> </w:t>
      </w:r>
      <w:r>
        <w:rPr>
          <w:sz w:val="22"/>
        </w:rPr>
        <w:t>elektronike;</w:t>
      </w:r>
    </w:p>
    <w:p>
      <w:pPr>
        <w:pStyle w:val="BodyText"/>
        <w:spacing w:line="252" w:lineRule="exact" w:before="1"/>
        <w:ind w:left="840" w:firstLine="0"/>
      </w:pPr>
      <w:r>
        <w:rPr/>
        <w:t>ç) kur është e mundur organet rregullatore ose mbikëqyrëse të ofruesve të shërbimit mediatik.</w:t>
      </w:r>
    </w:p>
    <w:p>
      <w:pPr>
        <w:pStyle w:val="ListParagraph"/>
        <w:numPr>
          <w:ilvl w:val="0"/>
          <w:numId w:val="61"/>
        </w:numPr>
        <w:tabs>
          <w:tab w:pos="1112" w:val="left" w:leader="none"/>
        </w:tabs>
        <w:spacing w:line="240" w:lineRule="auto" w:before="0" w:after="0"/>
        <w:ind w:left="119" w:right="115" w:firstLine="720"/>
        <w:jc w:val="both"/>
        <w:rPr>
          <w:sz w:val="22"/>
        </w:rPr>
      </w:pPr>
      <w:r>
        <w:rPr>
          <w:sz w:val="22"/>
        </w:rPr>
        <w:t>OSHMA-të i bëjnë lehtësisht të arritshme në mënyrë të drejtpërdrejtë dhe të përhershme marrësit të shërbimit shenjën</w:t>
      </w:r>
      <w:r>
        <w:rPr>
          <w:spacing w:val="1"/>
          <w:sz w:val="22"/>
        </w:rPr>
        <w:t> </w:t>
      </w:r>
      <w:r>
        <w:rPr>
          <w:sz w:val="22"/>
        </w:rPr>
        <w:t>identifikuese.</w:t>
      </w:r>
    </w:p>
    <w:p>
      <w:pPr>
        <w:pStyle w:val="ListParagraph"/>
        <w:numPr>
          <w:ilvl w:val="0"/>
          <w:numId w:val="61"/>
        </w:numPr>
        <w:tabs>
          <w:tab w:pos="1064" w:val="left" w:leader="none"/>
        </w:tabs>
        <w:spacing w:line="240" w:lineRule="auto" w:before="0" w:after="0"/>
        <w:ind w:left="119" w:right="117" w:firstLine="720"/>
        <w:jc w:val="both"/>
        <w:rPr>
          <w:sz w:val="22"/>
        </w:rPr>
      </w:pPr>
      <w:r>
        <w:rPr>
          <w:sz w:val="22"/>
        </w:rPr>
        <w:t>Ofruesit e shërbimit të transmetimit audio e bëjnë lehtësisht të arritshme në intervalet kohore të përcaktuara nga AMA emrin e ofruesit të shërbimit</w:t>
      </w:r>
      <w:r>
        <w:rPr>
          <w:spacing w:val="-1"/>
          <w:sz w:val="22"/>
        </w:rPr>
        <w:t> </w:t>
      </w:r>
      <w:r>
        <w:rPr>
          <w:sz w:val="22"/>
        </w:rPr>
        <w:t>audio.</w:t>
      </w:r>
    </w:p>
    <w:p>
      <w:pPr>
        <w:pStyle w:val="ListParagraph"/>
        <w:numPr>
          <w:ilvl w:val="0"/>
          <w:numId w:val="61"/>
        </w:numPr>
        <w:tabs>
          <w:tab w:pos="1078" w:val="left" w:leader="none"/>
        </w:tabs>
        <w:spacing w:line="240" w:lineRule="auto" w:before="0" w:after="0"/>
        <w:ind w:left="119" w:right="114" w:firstLine="720"/>
        <w:jc w:val="both"/>
        <w:rPr>
          <w:sz w:val="22"/>
        </w:rPr>
      </w:pPr>
      <w:r>
        <w:rPr>
          <w:sz w:val="22"/>
        </w:rPr>
        <w:t>OSHMA-të nuk transmetojnë programe me përmbajtje që të nxisin urrejtjen mbi baza racore, gjinie, fetare, etnike, kombëtare dhe çdo forme tjetër</w:t>
      </w:r>
      <w:r>
        <w:rPr>
          <w:spacing w:val="-10"/>
          <w:sz w:val="22"/>
        </w:rPr>
        <w:t> </w:t>
      </w:r>
      <w:r>
        <w:rPr>
          <w:sz w:val="22"/>
        </w:rPr>
        <w:t>diskriminimi.</w:t>
      </w:r>
    </w:p>
    <w:p>
      <w:pPr>
        <w:pStyle w:val="ListParagraph"/>
        <w:numPr>
          <w:ilvl w:val="0"/>
          <w:numId w:val="61"/>
        </w:numPr>
        <w:tabs>
          <w:tab w:pos="1102" w:val="left" w:leader="none"/>
        </w:tabs>
        <w:spacing w:line="240" w:lineRule="auto" w:before="1" w:after="0"/>
        <w:ind w:left="119" w:right="113" w:firstLine="720"/>
        <w:jc w:val="both"/>
        <w:rPr>
          <w:sz w:val="22"/>
        </w:rPr>
      </w:pPr>
      <w:r>
        <w:rPr>
          <w:sz w:val="22"/>
        </w:rPr>
        <w:t>Shërbimet e transmetimeve audiovizive marrin parasysh nevojat e personave me nevoja të veçanta</w:t>
      </w:r>
      <w:r>
        <w:rPr>
          <w:spacing w:val="-2"/>
          <w:sz w:val="22"/>
        </w:rPr>
        <w:t> </w:t>
      </w:r>
      <w:r>
        <w:rPr>
          <w:sz w:val="22"/>
        </w:rPr>
        <w:t>shqisore.</w:t>
      </w:r>
    </w:p>
    <w:p>
      <w:pPr>
        <w:pStyle w:val="ListParagraph"/>
        <w:numPr>
          <w:ilvl w:val="0"/>
          <w:numId w:val="61"/>
        </w:numPr>
        <w:tabs>
          <w:tab w:pos="1090" w:val="left" w:leader="none"/>
        </w:tabs>
        <w:spacing w:line="240" w:lineRule="auto" w:before="0" w:after="0"/>
        <w:ind w:left="119" w:right="114" w:firstLine="720"/>
        <w:jc w:val="both"/>
        <w:rPr>
          <w:sz w:val="22"/>
        </w:rPr>
      </w:pPr>
      <w:r>
        <w:rPr>
          <w:sz w:val="22"/>
        </w:rPr>
        <w:t>OSHMA-të duhet të transmetojnë programet, përfshirë veprat kinematografike, në përputhje me kushtet dhe afatet për të cilat kanë nënshkruar marrëveshje me mbajtësit e të drejtave të këtyre veprave.</w:t>
      </w:r>
    </w:p>
    <w:p>
      <w:pPr>
        <w:pStyle w:val="BodyText"/>
        <w:spacing w:before="67"/>
        <w:ind w:left="146" w:right="144" w:firstLine="0"/>
        <w:jc w:val="center"/>
      </w:pPr>
      <w:r>
        <w:rPr/>
        <w:t>Neni  33</w:t>
      </w:r>
    </w:p>
    <w:p>
      <w:pPr>
        <w:pStyle w:val="Heading1"/>
        <w:spacing w:before="7"/>
      </w:pPr>
      <w:r>
        <w:rPr/>
        <w:t>Detyrimet e OSHMA-ve</w:t>
      </w:r>
    </w:p>
    <w:p>
      <w:pPr>
        <w:pStyle w:val="BodyText"/>
        <w:spacing w:before="6"/>
        <w:ind w:left="0" w:firstLine="0"/>
        <w:rPr>
          <w:b/>
          <w:sz w:val="21"/>
        </w:rPr>
      </w:pPr>
    </w:p>
    <w:p>
      <w:pPr>
        <w:pStyle w:val="ListParagraph"/>
        <w:numPr>
          <w:ilvl w:val="0"/>
          <w:numId w:val="63"/>
        </w:numPr>
        <w:tabs>
          <w:tab w:pos="1061" w:val="left" w:leader="none"/>
        </w:tabs>
        <w:spacing w:line="252" w:lineRule="exact" w:before="1" w:after="0"/>
        <w:ind w:left="1060" w:right="0" w:hanging="221"/>
        <w:jc w:val="both"/>
        <w:rPr>
          <w:sz w:val="22"/>
        </w:rPr>
      </w:pPr>
      <w:r>
        <w:rPr>
          <w:sz w:val="22"/>
        </w:rPr>
        <w:t>Ofruesi i shërbimit mediatik audioviziv</w:t>
      </w:r>
      <w:r>
        <w:rPr>
          <w:spacing w:val="-7"/>
          <w:sz w:val="22"/>
        </w:rPr>
        <w:t> </w:t>
      </w:r>
      <w:r>
        <w:rPr>
          <w:sz w:val="22"/>
        </w:rPr>
        <w:t>duhet:</w:t>
      </w:r>
    </w:p>
    <w:p>
      <w:pPr>
        <w:pStyle w:val="ListParagraph"/>
        <w:numPr>
          <w:ilvl w:val="0"/>
          <w:numId w:val="64"/>
        </w:numPr>
        <w:tabs>
          <w:tab w:pos="1093" w:val="left" w:leader="none"/>
        </w:tabs>
        <w:spacing w:line="240" w:lineRule="auto" w:before="0" w:after="0"/>
        <w:ind w:left="120" w:right="112" w:firstLine="720"/>
        <w:jc w:val="both"/>
        <w:rPr>
          <w:sz w:val="22"/>
        </w:rPr>
      </w:pPr>
      <w:r>
        <w:rPr>
          <w:sz w:val="22"/>
        </w:rPr>
        <w:t>të njoftojë dhe të paraqesë lajmet e transmetuara në një mënyrë të vërtetë, të paanshme dhe objektive;</w:t>
      </w:r>
    </w:p>
    <w:p>
      <w:pPr>
        <w:pStyle w:val="ListParagraph"/>
        <w:numPr>
          <w:ilvl w:val="0"/>
          <w:numId w:val="64"/>
        </w:numPr>
        <w:tabs>
          <w:tab w:pos="1107" w:val="left" w:leader="none"/>
        </w:tabs>
        <w:spacing w:line="240" w:lineRule="auto" w:before="0" w:after="0"/>
        <w:ind w:left="120" w:right="112" w:firstLine="720"/>
        <w:jc w:val="both"/>
        <w:rPr>
          <w:sz w:val="22"/>
        </w:rPr>
      </w:pPr>
      <w:r>
        <w:rPr>
          <w:sz w:val="22"/>
        </w:rPr>
        <w:t>të sigurojë që trajtimi i ngjarjeve, përfshirë çështjet, që janë tema të debatit publik, të jetë i drejtë për gjitha subjektet e interesuara në këto çështje dhe të paraqitet në mënyrë të vërtetë dhe të paanshme;</w:t>
      </w:r>
    </w:p>
    <w:p>
      <w:pPr>
        <w:pStyle w:val="ListParagraph"/>
        <w:numPr>
          <w:ilvl w:val="0"/>
          <w:numId w:val="64"/>
        </w:numPr>
        <w:tabs>
          <w:tab w:pos="1069" w:val="left" w:leader="none"/>
        </w:tabs>
        <w:spacing w:line="240" w:lineRule="auto" w:before="0" w:after="0"/>
        <w:ind w:left="840" w:right="1528" w:firstLine="0"/>
        <w:jc w:val="both"/>
        <w:rPr>
          <w:sz w:val="22"/>
        </w:rPr>
      </w:pPr>
      <w:r>
        <w:rPr>
          <w:sz w:val="22"/>
        </w:rPr>
        <w:t>t’i kushtojë hapësirën e nevojshme në transmetim çështjeve të aktualitetit lokal; ç) të mos cenojë dinjitetin dhe të drejtat themelore të</w:t>
      </w:r>
      <w:r>
        <w:rPr>
          <w:spacing w:val="-9"/>
          <w:sz w:val="22"/>
        </w:rPr>
        <w:t> </w:t>
      </w:r>
      <w:r>
        <w:rPr>
          <w:sz w:val="22"/>
        </w:rPr>
        <w:t>njeriut;</w:t>
      </w:r>
    </w:p>
    <w:p>
      <w:pPr>
        <w:pStyle w:val="ListParagraph"/>
        <w:numPr>
          <w:ilvl w:val="0"/>
          <w:numId w:val="64"/>
        </w:numPr>
        <w:tabs>
          <w:tab w:pos="1081" w:val="left" w:leader="none"/>
        </w:tabs>
        <w:spacing w:line="240" w:lineRule="auto" w:before="0" w:after="0"/>
        <w:ind w:left="120" w:right="113" w:firstLine="720"/>
        <w:jc w:val="both"/>
        <w:rPr>
          <w:sz w:val="22"/>
        </w:rPr>
      </w:pPr>
      <w:r>
        <w:rPr>
          <w:sz w:val="22"/>
        </w:rPr>
        <w:t>të respektojë rregullat e etikës dhe moralit publik dhe të mos transmetojë programe që mund të nxisin vepra</w:t>
      </w:r>
      <w:r>
        <w:rPr>
          <w:spacing w:val="-2"/>
          <w:sz w:val="22"/>
        </w:rPr>
        <w:t> </w:t>
      </w:r>
      <w:r>
        <w:rPr>
          <w:sz w:val="22"/>
        </w:rPr>
        <w:t>penale;</w:t>
      </w:r>
    </w:p>
    <w:p>
      <w:pPr>
        <w:pStyle w:val="BodyText"/>
        <w:ind w:right="114" w:firstLine="552"/>
        <w:jc w:val="both"/>
      </w:pPr>
      <w:r>
        <w:rPr/>
        <w:t>dh) të mos cenojë të drejtën e fshehtësisë së jetës private të individit në çdo program të transmetuar nga OSHMA-të dhe mjetet e përdorura për të realizuar këto programe;</w:t>
      </w:r>
    </w:p>
    <w:p>
      <w:pPr>
        <w:pStyle w:val="ListParagraph"/>
        <w:numPr>
          <w:ilvl w:val="0"/>
          <w:numId w:val="64"/>
        </w:numPr>
        <w:tabs>
          <w:tab w:pos="1124" w:val="left" w:leader="none"/>
        </w:tabs>
        <w:spacing w:line="251" w:lineRule="exact" w:before="0" w:after="0"/>
        <w:ind w:left="1123" w:right="0" w:hanging="285"/>
        <w:jc w:val="both"/>
        <w:rPr>
          <w:sz w:val="22"/>
        </w:rPr>
      </w:pPr>
      <w:r>
        <w:rPr>
          <w:sz w:val="22"/>
        </w:rPr>
        <w:t>të mos transmetojë programe pornografike pa siguruar mbrojtjen e të miturve</w:t>
      </w:r>
      <w:r>
        <w:rPr>
          <w:spacing w:val="41"/>
          <w:sz w:val="22"/>
        </w:rPr>
        <w:t> </w:t>
      </w:r>
      <w:r>
        <w:rPr>
          <w:sz w:val="22"/>
        </w:rPr>
        <w:t>nëpërmjet</w:t>
      </w:r>
    </w:p>
    <w:p>
      <w:pPr>
        <w:spacing w:after="0" w:line="251" w:lineRule="exact"/>
        <w:jc w:val="both"/>
        <w:rPr>
          <w:sz w:val="22"/>
        </w:rPr>
        <w:sectPr>
          <w:pgSz w:w="12240" w:h="15840"/>
          <w:pgMar w:top="1360" w:bottom="280" w:left="1320" w:right="1320"/>
        </w:sectPr>
      </w:pPr>
    </w:p>
    <w:p>
      <w:pPr>
        <w:pStyle w:val="BodyText"/>
        <w:spacing w:line="252" w:lineRule="exact" w:before="74"/>
        <w:ind w:firstLine="0"/>
        <w:jc w:val="both"/>
      </w:pPr>
      <w:r>
        <w:rPr/>
        <w:t>pajisjeve të aksesit të kushtëzuar dhe kontrollit prindëror;</w:t>
      </w:r>
    </w:p>
    <w:p>
      <w:pPr>
        <w:pStyle w:val="BodyText"/>
        <w:ind w:right="115"/>
        <w:jc w:val="both"/>
      </w:pPr>
      <w:r>
        <w:rPr/>
        <w:t>ë) të respektojë të drejtat e autorit, në përputhje me legjislacionin në fuqi për të drejtën e autorit dhe të drejtat e tjera ë lidhura me të;</w:t>
      </w:r>
    </w:p>
    <w:p>
      <w:pPr>
        <w:pStyle w:val="ListParagraph"/>
        <w:numPr>
          <w:ilvl w:val="0"/>
          <w:numId w:val="64"/>
        </w:numPr>
        <w:tabs>
          <w:tab w:pos="1042" w:val="left" w:leader="none"/>
        </w:tabs>
        <w:spacing w:line="240" w:lineRule="auto" w:before="0" w:after="0"/>
        <w:ind w:left="1041" w:right="0" w:hanging="202"/>
        <w:jc w:val="both"/>
        <w:rPr>
          <w:sz w:val="22"/>
        </w:rPr>
      </w:pPr>
      <w:r>
        <w:rPr>
          <w:sz w:val="22"/>
        </w:rPr>
        <w:t>të sigurojë mbrojtjen e të drejtave të</w:t>
      </w:r>
      <w:r>
        <w:rPr>
          <w:spacing w:val="-7"/>
          <w:sz w:val="22"/>
        </w:rPr>
        <w:t> </w:t>
      </w:r>
      <w:r>
        <w:rPr>
          <w:sz w:val="22"/>
        </w:rPr>
        <w:t>konsumatorit;</w:t>
      </w:r>
    </w:p>
    <w:p>
      <w:pPr>
        <w:pStyle w:val="ListParagraph"/>
        <w:numPr>
          <w:ilvl w:val="0"/>
          <w:numId w:val="64"/>
        </w:numPr>
        <w:tabs>
          <w:tab w:pos="1078" w:val="left" w:leader="none"/>
        </w:tabs>
        <w:spacing w:line="252" w:lineRule="exact" w:before="1" w:after="0"/>
        <w:ind w:left="1077" w:right="0" w:hanging="238"/>
        <w:jc w:val="both"/>
        <w:rPr>
          <w:sz w:val="22"/>
        </w:rPr>
      </w:pPr>
      <w:r>
        <w:rPr>
          <w:sz w:val="22"/>
        </w:rPr>
        <w:t>të paraqesë bilancin vjetor pranë AMA-s jo më vonë se data 30 prill e çdo</w:t>
      </w:r>
      <w:r>
        <w:rPr>
          <w:spacing w:val="-9"/>
          <w:sz w:val="22"/>
        </w:rPr>
        <w:t> </w:t>
      </w:r>
      <w:r>
        <w:rPr>
          <w:sz w:val="22"/>
        </w:rPr>
        <w:t>viti.</w:t>
      </w:r>
    </w:p>
    <w:p>
      <w:pPr>
        <w:pStyle w:val="ListParagraph"/>
        <w:numPr>
          <w:ilvl w:val="0"/>
          <w:numId w:val="63"/>
        </w:numPr>
        <w:tabs>
          <w:tab w:pos="1083" w:val="left" w:leader="none"/>
        </w:tabs>
        <w:spacing w:line="240" w:lineRule="auto" w:before="0" w:after="0"/>
        <w:ind w:left="119" w:right="115" w:firstLine="720"/>
        <w:jc w:val="both"/>
        <w:rPr>
          <w:sz w:val="22"/>
        </w:rPr>
      </w:pPr>
      <w:r>
        <w:rPr>
          <w:sz w:val="22"/>
        </w:rPr>
        <w:t>Përcaktimet e shkronjave “a” dhe “b” të pikës 1 të këtij neni nuk e ndalojnë OSHMA-në të transmetojë veprimtaritë e forcave politike. OSHMA-ja, gjatë kohës së këtij transmetimi, nuk duhet të shfaqë anshmëri politike.</w:t>
      </w:r>
    </w:p>
    <w:p>
      <w:pPr>
        <w:pStyle w:val="BodyText"/>
        <w:ind w:left="0" w:firstLine="0"/>
      </w:pPr>
    </w:p>
    <w:p>
      <w:pPr>
        <w:pStyle w:val="BodyText"/>
        <w:ind w:left="146" w:right="146" w:firstLine="0"/>
        <w:jc w:val="center"/>
      </w:pPr>
      <w:r>
        <w:rPr/>
        <w:t>Neni 34</w:t>
      </w:r>
    </w:p>
    <w:p>
      <w:pPr>
        <w:pStyle w:val="Heading1"/>
        <w:ind w:right="147"/>
      </w:pPr>
      <w:r>
        <w:rPr/>
        <w:t>Informacionet që transmetohen pa shpërblim</w:t>
      </w:r>
    </w:p>
    <w:p>
      <w:pPr>
        <w:pStyle w:val="BodyText"/>
        <w:spacing w:before="7"/>
        <w:ind w:left="0" w:firstLine="0"/>
        <w:rPr>
          <w:b/>
          <w:sz w:val="21"/>
        </w:rPr>
      </w:pPr>
    </w:p>
    <w:p>
      <w:pPr>
        <w:pStyle w:val="ListParagraph"/>
        <w:numPr>
          <w:ilvl w:val="0"/>
          <w:numId w:val="65"/>
        </w:numPr>
        <w:tabs>
          <w:tab w:pos="1109" w:val="left" w:leader="none"/>
        </w:tabs>
        <w:spacing w:line="240" w:lineRule="auto" w:before="0" w:after="0"/>
        <w:ind w:left="119" w:right="116" w:firstLine="720"/>
        <w:jc w:val="both"/>
        <w:rPr>
          <w:sz w:val="22"/>
        </w:rPr>
      </w:pPr>
      <w:r>
        <w:rPr>
          <w:sz w:val="22"/>
        </w:rPr>
        <w:t>AMA përcakton me rregullore mesazhet me interes të lartë për publikun e gjerë, të cilat OSHMA-të detyrohen t’i transmetojnë pa</w:t>
      </w:r>
      <w:r>
        <w:rPr>
          <w:spacing w:val="-5"/>
          <w:sz w:val="22"/>
        </w:rPr>
        <w:t> </w:t>
      </w:r>
      <w:r>
        <w:rPr>
          <w:sz w:val="22"/>
        </w:rPr>
        <w:t>shpërblim.</w:t>
      </w:r>
    </w:p>
    <w:p>
      <w:pPr>
        <w:pStyle w:val="ListParagraph"/>
        <w:numPr>
          <w:ilvl w:val="0"/>
          <w:numId w:val="65"/>
        </w:numPr>
        <w:tabs>
          <w:tab w:pos="1128" w:val="left" w:leader="none"/>
        </w:tabs>
        <w:spacing w:line="240" w:lineRule="auto" w:before="0" w:after="0"/>
        <w:ind w:left="119" w:right="114" w:firstLine="720"/>
        <w:jc w:val="both"/>
        <w:rPr>
          <w:sz w:val="22"/>
        </w:rPr>
      </w:pPr>
      <w:r>
        <w:rPr>
          <w:sz w:val="22"/>
        </w:rPr>
        <w:t>Organet e pushtetit dhe të administratës shtetërore vendore kanë të drejtë t’u kërkojnë OSHMA-ve të transmetojnë pa shpërblim komunikata të shkurtra, që paraqesin interes të veçantë për publikun e zonave ku ato transmetojnë dhe që kanë të bëjnë me mbrojtjen e shëndetit, fatkeqësitë natyrore dhe njerëzore, rendin publik dhe sigurinë</w:t>
      </w:r>
      <w:r>
        <w:rPr>
          <w:spacing w:val="-4"/>
          <w:sz w:val="22"/>
        </w:rPr>
        <w:t> </w:t>
      </w:r>
      <w:r>
        <w:rPr>
          <w:sz w:val="22"/>
        </w:rPr>
        <w:t>kombëtare.</w:t>
      </w:r>
    </w:p>
    <w:p>
      <w:pPr>
        <w:pStyle w:val="ListParagraph"/>
        <w:numPr>
          <w:ilvl w:val="0"/>
          <w:numId w:val="65"/>
        </w:numPr>
        <w:tabs>
          <w:tab w:pos="1076" w:val="left" w:leader="none"/>
        </w:tabs>
        <w:spacing w:line="240" w:lineRule="auto" w:before="0" w:after="0"/>
        <w:ind w:left="119" w:right="115" w:firstLine="720"/>
        <w:jc w:val="both"/>
        <w:rPr>
          <w:sz w:val="22"/>
        </w:rPr>
      </w:pPr>
      <w:r>
        <w:rPr>
          <w:sz w:val="22"/>
        </w:rPr>
        <w:t>Ofruesit e shërbimeve mediatike audiovizive nuk mbajnë përgjegjësi për përmbajtjen e këtyre mesazheve.</w:t>
      </w:r>
    </w:p>
    <w:p>
      <w:pPr>
        <w:pStyle w:val="BodyText"/>
        <w:ind w:left="0" w:firstLine="0"/>
      </w:pPr>
    </w:p>
    <w:p>
      <w:pPr>
        <w:pStyle w:val="BodyText"/>
        <w:ind w:left="146" w:right="146" w:firstLine="0"/>
        <w:jc w:val="center"/>
      </w:pPr>
      <w:r>
        <w:rPr/>
        <w:t>Neni 35</w:t>
      </w:r>
    </w:p>
    <w:p>
      <w:pPr>
        <w:pStyle w:val="Heading1"/>
      </w:pPr>
      <w:r>
        <w:rPr/>
        <w:t>Promovimi i veprave europiane</w:t>
      </w:r>
    </w:p>
    <w:p>
      <w:pPr>
        <w:pStyle w:val="BodyText"/>
        <w:spacing w:before="7"/>
        <w:ind w:left="0" w:firstLine="0"/>
        <w:rPr>
          <w:b/>
          <w:sz w:val="21"/>
        </w:rPr>
      </w:pPr>
    </w:p>
    <w:p>
      <w:pPr>
        <w:pStyle w:val="ListParagraph"/>
        <w:numPr>
          <w:ilvl w:val="0"/>
          <w:numId w:val="66"/>
        </w:numPr>
        <w:tabs>
          <w:tab w:pos="1088" w:val="left" w:leader="none"/>
        </w:tabs>
        <w:spacing w:line="240" w:lineRule="auto" w:before="0" w:after="0"/>
        <w:ind w:left="120" w:right="113" w:firstLine="720"/>
        <w:jc w:val="both"/>
        <w:rPr>
          <w:sz w:val="22"/>
        </w:rPr>
      </w:pPr>
      <w:r>
        <w:rPr>
          <w:sz w:val="22"/>
        </w:rPr>
        <w:t>OSHMA-të u rezervojnë veprave europiane, shumicën e kohës së tyre të transmetimit, duke përjashtuar kohën e caktuar për lajmet, ngjarjet sportive, lojërat, reklamat, shërbimet e teletekstit dhe të shitjeve të drejtpërdrejta në</w:t>
      </w:r>
      <w:r>
        <w:rPr>
          <w:spacing w:val="-3"/>
          <w:sz w:val="22"/>
        </w:rPr>
        <w:t> </w:t>
      </w:r>
      <w:r>
        <w:rPr>
          <w:sz w:val="22"/>
        </w:rPr>
        <w:t>televizion.</w:t>
      </w:r>
    </w:p>
    <w:p>
      <w:pPr>
        <w:pStyle w:val="ListParagraph"/>
        <w:numPr>
          <w:ilvl w:val="0"/>
          <w:numId w:val="66"/>
        </w:numPr>
        <w:tabs>
          <w:tab w:pos="1088" w:val="left" w:leader="none"/>
        </w:tabs>
        <w:spacing w:line="240" w:lineRule="auto" w:before="0" w:after="0"/>
        <w:ind w:left="119" w:right="113" w:firstLine="720"/>
        <w:jc w:val="both"/>
        <w:rPr>
          <w:sz w:val="22"/>
        </w:rPr>
      </w:pPr>
      <w:r>
        <w:rPr>
          <w:sz w:val="22"/>
        </w:rPr>
        <w:t>Kjo kohë, sipas pikës 1 të këtij neni, arrihet në mënyrë graduale duke marrë në konsideratë përgjegjësitë informuese, edukuese, kulturore dhe zbavitëse që ka OSHMA-ja ndaj</w:t>
      </w:r>
      <w:r>
        <w:rPr>
          <w:spacing w:val="-7"/>
          <w:sz w:val="22"/>
        </w:rPr>
        <w:t> </w:t>
      </w:r>
      <w:r>
        <w:rPr>
          <w:sz w:val="22"/>
        </w:rPr>
        <w:t>publikut.</w:t>
      </w:r>
    </w:p>
    <w:p>
      <w:pPr>
        <w:pStyle w:val="ListParagraph"/>
        <w:numPr>
          <w:ilvl w:val="0"/>
          <w:numId w:val="66"/>
        </w:numPr>
        <w:tabs>
          <w:tab w:pos="1109" w:val="left" w:leader="none"/>
        </w:tabs>
        <w:spacing w:line="240" w:lineRule="auto" w:before="0" w:after="0"/>
        <w:ind w:left="119" w:right="114" w:firstLine="720"/>
        <w:jc w:val="both"/>
        <w:rPr>
          <w:sz w:val="22"/>
        </w:rPr>
      </w:pPr>
      <w:r>
        <w:rPr>
          <w:sz w:val="22"/>
        </w:rPr>
        <w:t>Pikat 1 dhe 2 të këtij neni nuk zbatohen për transmetimet televizive, të cilët i drejtohen audiencës lokale dhe që nuk janë pjesë e rrjetit</w:t>
      </w:r>
      <w:r>
        <w:rPr>
          <w:spacing w:val="-7"/>
          <w:sz w:val="22"/>
        </w:rPr>
        <w:t> </w:t>
      </w:r>
      <w:r>
        <w:rPr>
          <w:sz w:val="22"/>
        </w:rPr>
        <w:t>kombëtar.</w:t>
      </w:r>
    </w:p>
    <w:p>
      <w:pPr>
        <w:pStyle w:val="BodyText"/>
        <w:spacing w:before="10"/>
        <w:ind w:left="0" w:firstLine="0"/>
        <w:rPr>
          <w:sz w:val="21"/>
        </w:rPr>
      </w:pPr>
    </w:p>
    <w:p>
      <w:pPr>
        <w:pStyle w:val="BodyText"/>
        <w:spacing w:before="1"/>
        <w:ind w:left="146" w:right="146" w:firstLine="0"/>
        <w:jc w:val="center"/>
      </w:pPr>
      <w:r>
        <w:rPr/>
        <w:t>Neni 36</w:t>
      </w:r>
    </w:p>
    <w:p>
      <w:pPr>
        <w:pStyle w:val="Heading1"/>
        <w:spacing w:before="3"/>
      </w:pPr>
      <w:r>
        <w:rPr/>
        <w:t>Promovimi i punëve të pavarura</w:t>
      </w:r>
    </w:p>
    <w:p>
      <w:pPr>
        <w:pStyle w:val="BodyText"/>
        <w:spacing w:before="7"/>
        <w:ind w:left="0" w:firstLine="0"/>
        <w:rPr>
          <w:b/>
          <w:sz w:val="21"/>
        </w:rPr>
      </w:pPr>
    </w:p>
    <w:p>
      <w:pPr>
        <w:pStyle w:val="ListParagraph"/>
        <w:numPr>
          <w:ilvl w:val="0"/>
          <w:numId w:val="67"/>
        </w:numPr>
        <w:tabs>
          <w:tab w:pos="1061" w:val="left" w:leader="none"/>
        </w:tabs>
        <w:spacing w:line="240" w:lineRule="auto" w:before="0" w:after="0"/>
        <w:ind w:left="1060" w:right="0" w:hanging="221"/>
        <w:jc w:val="both"/>
        <w:rPr>
          <w:sz w:val="22"/>
        </w:rPr>
      </w:pPr>
      <w:r>
        <w:rPr>
          <w:sz w:val="22"/>
        </w:rPr>
        <w:t>OSHMA-të rezervojnë për promovimin e punëve të</w:t>
      </w:r>
      <w:r>
        <w:rPr>
          <w:spacing w:val="-3"/>
          <w:sz w:val="22"/>
        </w:rPr>
        <w:t> </w:t>
      </w:r>
      <w:r>
        <w:rPr>
          <w:sz w:val="22"/>
        </w:rPr>
        <w:t>pavarura:</w:t>
      </w:r>
    </w:p>
    <w:p>
      <w:pPr>
        <w:pStyle w:val="ListParagraph"/>
        <w:numPr>
          <w:ilvl w:val="0"/>
          <w:numId w:val="68"/>
        </w:numPr>
        <w:tabs>
          <w:tab w:pos="1093" w:val="left" w:leader="none"/>
        </w:tabs>
        <w:spacing w:line="240" w:lineRule="auto" w:before="2" w:after="0"/>
        <w:ind w:left="119" w:right="113" w:firstLine="720"/>
        <w:jc w:val="both"/>
        <w:rPr>
          <w:sz w:val="22"/>
        </w:rPr>
      </w:pPr>
      <w:r>
        <w:rPr>
          <w:sz w:val="22"/>
        </w:rPr>
        <w:t>të paktën 10 për qind të kohës së tyre të transmetimit, duke përjashtuar kohën e caktuar për lajmet, ngjarjet sportive, lojërat, reklamat, shërbimet e teletekstit dhe të shitjeve të drejtpërdrejta në televizion;</w:t>
      </w:r>
    </w:p>
    <w:p>
      <w:pPr>
        <w:pStyle w:val="ListParagraph"/>
        <w:numPr>
          <w:ilvl w:val="0"/>
          <w:numId w:val="68"/>
        </w:numPr>
        <w:tabs>
          <w:tab w:pos="1097" w:val="left" w:leader="none"/>
        </w:tabs>
        <w:spacing w:line="240" w:lineRule="auto" w:before="0" w:after="0"/>
        <w:ind w:left="119" w:right="115" w:firstLine="720"/>
        <w:jc w:val="both"/>
        <w:rPr>
          <w:sz w:val="22"/>
        </w:rPr>
      </w:pPr>
      <w:r>
        <w:rPr>
          <w:sz w:val="22"/>
        </w:rPr>
        <w:t>të paktën 10 për qind të buxhetit të tyre të programimit, për punë shqiptare dhe europiane, të krijuara nga prodhues që janë të pavarur nga</w:t>
      </w:r>
      <w:r>
        <w:rPr>
          <w:spacing w:val="-5"/>
          <w:sz w:val="22"/>
        </w:rPr>
        <w:t> </w:t>
      </w:r>
      <w:r>
        <w:rPr>
          <w:sz w:val="22"/>
        </w:rPr>
        <w:t>transmetuesit.</w:t>
      </w:r>
    </w:p>
    <w:p>
      <w:pPr>
        <w:pStyle w:val="ListParagraph"/>
        <w:numPr>
          <w:ilvl w:val="0"/>
          <w:numId w:val="67"/>
        </w:numPr>
        <w:tabs>
          <w:tab w:pos="1061" w:val="left" w:leader="none"/>
        </w:tabs>
        <w:spacing w:line="252" w:lineRule="exact" w:before="0" w:after="0"/>
        <w:ind w:left="1060" w:right="0" w:hanging="222"/>
        <w:jc w:val="both"/>
        <w:rPr>
          <w:sz w:val="22"/>
        </w:rPr>
      </w:pPr>
      <w:r>
        <w:rPr>
          <w:sz w:val="22"/>
        </w:rPr>
        <w:t>OSHMA-të e arrijnë përqindjen, sipas pikës 1 të këtij neni, në mënyrë</w:t>
      </w:r>
      <w:r>
        <w:rPr>
          <w:spacing w:val="-13"/>
          <w:sz w:val="22"/>
        </w:rPr>
        <w:t> </w:t>
      </w:r>
      <w:r>
        <w:rPr>
          <w:sz w:val="22"/>
        </w:rPr>
        <w:t>progresive:</w:t>
      </w:r>
    </w:p>
    <w:p>
      <w:pPr>
        <w:pStyle w:val="ListParagraph"/>
        <w:numPr>
          <w:ilvl w:val="0"/>
          <w:numId w:val="69"/>
        </w:numPr>
        <w:tabs>
          <w:tab w:pos="1085" w:val="left" w:leader="none"/>
        </w:tabs>
        <w:spacing w:line="240" w:lineRule="auto" w:before="0" w:after="0"/>
        <w:ind w:left="119" w:right="115" w:firstLine="720"/>
        <w:jc w:val="left"/>
        <w:rPr>
          <w:sz w:val="22"/>
        </w:rPr>
      </w:pPr>
      <w:r>
        <w:rPr>
          <w:sz w:val="22"/>
        </w:rPr>
        <w:t>duke marrë në konsideratë përgjegjësitë informuese, edukuese, kulturore dhe zbavitëse që ata kanë ndaj publikut që i shikon;</w:t>
      </w:r>
      <w:r>
        <w:rPr>
          <w:spacing w:val="3"/>
          <w:sz w:val="22"/>
        </w:rPr>
        <w:t> </w:t>
      </w:r>
      <w:r>
        <w:rPr>
          <w:sz w:val="22"/>
        </w:rPr>
        <w:t>dhe</w:t>
      </w:r>
    </w:p>
    <w:p>
      <w:pPr>
        <w:pStyle w:val="ListParagraph"/>
        <w:numPr>
          <w:ilvl w:val="0"/>
          <w:numId w:val="69"/>
        </w:numPr>
        <w:tabs>
          <w:tab w:pos="1083" w:val="left" w:leader="none"/>
        </w:tabs>
        <w:spacing w:line="240" w:lineRule="auto" w:before="0" w:after="0"/>
        <w:ind w:left="119" w:right="114" w:firstLine="720"/>
        <w:jc w:val="left"/>
        <w:rPr>
          <w:sz w:val="22"/>
        </w:rPr>
      </w:pPr>
      <w:r>
        <w:rPr>
          <w:sz w:val="22"/>
        </w:rPr>
        <w:t>duke përcaktuar një përqindje të përshtatshme për punët europiane të kohëve të fundit, që do të thotë punët e transmetuara brenda 5 viteve nga prodhimi i</w:t>
      </w:r>
      <w:r>
        <w:rPr>
          <w:spacing w:val="-4"/>
          <w:sz w:val="22"/>
        </w:rPr>
        <w:t> </w:t>
      </w:r>
      <w:r>
        <w:rPr>
          <w:sz w:val="22"/>
        </w:rPr>
        <w:t>tyre.</w:t>
      </w:r>
    </w:p>
    <w:p>
      <w:pPr>
        <w:pStyle w:val="ListParagraph"/>
        <w:numPr>
          <w:ilvl w:val="0"/>
          <w:numId w:val="67"/>
        </w:numPr>
        <w:tabs>
          <w:tab w:pos="1080" w:val="left" w:leader="none"/>
        </w:tabs>
        <w:spacing w:line="240" w:lineRule="auto" w:before="0" w:after="0"/>
        <w:ind w:left="119" w:right="114" w:firstLine="720"/>
        <w:jc w:val="left"/>
        <w:rPr>
          <w:sz w:val="22"/>
        </w:rPr>
      </w:pPr>
      <w:r>
        <w:rPr>
          <w:sz w:val="22"/>
        </w:rPr>
        <w:t>Ky nen nuk zbatohet për transmetimet televizive, të cilat i drejtohen audiencës lokale dhe që nuk janë pjesë e rrjetit</w:t>
      </w:r>
      <w:r>
        <w:rPr>
          <w:spacing w:val="-8"/>
          <w:sz w:val="22"/>
        </w:rPr>
        <w:t> </w:t>
      </w:r>
      <w:r>
        <w:rPr>
          <w:sz w:val="22"/>
        </w:rPr>
        <w:t>kombëtar.</w:t>
      </w:r>
    </w:p>
    <w:p>
      <w:pPr>
        <w:pStyle w:val="BodyText"/>
        <w:ind w:left="146" w:right="146" w:firstLine="0"/>
        <w:jc w:val="center"/>
      </w:pPr>
      <w:r>
        <w:rPr/>
        <w:t>Neni 37</w:t>
      </w:r>
    </w:p>
    <w:p>
      <w:pPr>
        <w:pStyle w:val="Heading1"/>
      </w:pPr>
      <w:r>
        <w:rPr/>
        <w:t>Regjistrimi i transmetimeve</w:t>
      </w:r>
    </w:p>
    <w:p>
      <w:pPr>
        <w:spacing w:after="0"/>
        <w:sectPr>
          <w:pgSz w:w="12240" w:h="15840"/>
          <w:pgMar w:top="1360" w:bottom="280" w:left="1320" w:right="1320"/>
        </w:sectPr>
      </w:pPr>
    </w:p>
    <w:p>
      <w:pPr>
        <w:pStyle w:val="ListParagraph"/>
        <w:numPr>
          <w:ilvl w:val="0"/>
          <w:numId w:val="70"/>
        </w:numPr>
        <w:tabs>
          <w:tab w:pos="1083" w:val="left" w:leader="none"/>
        </w:tabs>
        <w:spacing w:line="240" w:lineRule="auto" w:before="74" w:after="0"/>
        <w:ind w:left="119" w:right="114" w:firstLine="720"/>
        <w:jc w:val="both"/>
        <w:rPr>
          <w:sz w:val="22"/>
        </w:rPr>
      </w:pPr>
      <w:r>
        <w:rPr>
          <w:sz w:val="22"/>
        </w:rPr>
        <w:t>OSHMA-ja, me mjetet e pajisjet e veta dhe në një mënyrë të përcaktuar për këtë qëllim nga AMA, duhet të mbajë katalogun e programeve dhe të regjistrojë çdo transmetim apo program të ofruar prej tij, në përputhje me licencën.</w:t>
      </w:r>
    </w:p>
    <w:p>
      <w:pPr>
        <w:pStyle w:val="ListParagraph"/>
        <w:numPr>
          <w:ilvl w:val="0"/>
          <w:numId w:val="70"/>
        </w:numPr>
        <w:tabs>
          <w:tab w:pos="1064" w:val="left" w:leader="none"/>
        </w:tabs>
        <w:spacing w:line="240" w:lineRule="auto" w:before="0" w:after="0"/>
        <w:ind w:left="119" w:right="115" w:firstLine="720"/>
        <w:jc w:val="both"/>
        <w:rPr>
          <w:sz w:val="22"/>
        </w:rPr>
      </w:pPr>
      <w:r>
        <w:rPr>
          <w:sz w:val="22"/>
        </w:rPr>
        <w:t>Regjistrimet e bëra në përputhje me pikën 1 të këtij neni duhet të ruhen nga OSHMA-ja për një periudhë</w:t>
      </w:r>
      <w:r>
        <w:rPr>
          <w:spacing w:val="-2"/>
          <w:sz w:val="22"/>
        </w:rPr>
        <w:t> </w:t>
      </w:r>
      <w:r>
        <w:rPr>
          <w:sz w:val="22"/>
        </w:rPr>
        <w:t>3-mujore.</w:t>
      </w:r>
    </w:p>
    <w:p>
      <w:pPr>
        <w:pStyle w:val="ListParagraph"/>
        <w:numPr>
          <w:ilvl w:val="0"/>
          <w:numId w:val="70"/>
        </w:numPr>
        <w:tabs>
          <w:tab w:pos="1080" w:val="left" w:leader="none"/>
        </w:tabs>
        <w:spacing w:line="240" w:lineRule="auto" w:before="0" w:after="0"/>
        <w:ind w:left="119" w:right="114" w:firstLine="720"/>
        <w:jc w:val="both"/>
        <w:rPr>
          <w:sz w:val="22"/>
        </w:rPr>
      </w:pPr>
      <w:r>
        <w:rPr>
          <w:sz w:val="22"/>
        </w:rPr>
        <w:t>Në rastet e shqyrtimit të një ankese, sipas përcaktimeve të nenit 52 të këtij ligji, regjistrimi i transmetimit, me të cilin lidhet ankesa, si dhe regjistrimi, që vlerësohet se ka lidhje me të, duhet t’i paraqitet nga OSHMA-ja Këshillit të Ankesave, në bazë të kërkesës së këtij të fundit, brenda një periudhe të caktuar prej</w:t>
      </w:r>
      <w:r>
        <w:rPr>
          <w:spacing w:val="1"/>
          <w:sz w:val="22"/>
        </w:rPr>
        <w:t> </w:t>
      </w:r>
      <w:r>
        <w:rPr>
          <w:sz w:val="22"/>
        </w:rPr>
        <w:t>tij.</w:t>
      </w:r>
    </w:p>
    <w:p>
      <w:pPr>
        <w:pStyle w:val="ListParagraph"/>
        <w:numPr>
          <w:ilvl w:val="0"/>
          <w:numId w:val="70"/>
        </w:numPr>
        <w:tabs>
          <w:tab w:pos="1078" w:val="left" w:leader="none"/>
        </w:tabs>
        <w:spacing w:line="240" w:lineRule="auto" w:before="0" w:after="0"/>
        <w:ind w:left="119" w:right="113" w:firstLine="719"/>
        <w:jc w:val="both"/>
        <w:rPr>
          <w:sz w:val="22"/>
        </w:rPr>
      </w:pPr>
      <w:r>
        <w:rPr>
          <w:sz w:val="22"/>
        </w:rPr>
        <w:t>Mbajtja e regjistrimeve, në përputhje me pikën 1 të këtij neni, nuk duhet të shkelë kërkesat e ligjit për të drejtën e autorit dhe të drejtat e tjera të lidhura me të, për arkivat dhe për mbrojtjen e të dhënave personale.</w:t>
      </w:r>
    </w:p>
    <w:p>
      <w:pPr>
        <w:pStyle w:val="BodyText"/>
        <w:spacing w:before="9"/>
        <w:ind w:left="0" w:firstLine="0"/>
        <w:rPr>
          <w:sz w:val="21"/>
        </w:rPr>
      </w:pPr>
    </w:p>
    <w:p>
      <w:pPr>
        <w:pStyle w:val="BodyText"/>
        <w:spacing w:before="1"/>
        <w:ind w:left="142" w:right="147" w:firstLine="0"/>
        <w:jc w:val="center"/>
      </w:pPr>
      <w:r>
        <w:rPr/>
        <w:t>KREU IV</w:t>
      </w:r>
    </w:p>
    <w:p>
      <w:pPr>
        <w:pStyle w:val="BodyText"/>
        <w:spacing w:before="1"/>
        <w:ind w:left="1108" w:right="1108" w:firstLine="0"/>
        <w:jc w:val="center"/>
      </w:pPr>
      <w:r>
        <w:rPr/>
        <w:t>KOMUNIKIMET AUDIO DHE/OSE AUDIOVIZIVE ME NATYRË TREGTARE DHE REKLAMAT</w:t>
      </w:r>
    </w:p>
    <w:p>
      <w:pPr>
        <w:pStyle w:val="BodyText"/>
        <w:spacing w:before="11"/>
        <w:ind w:left="0" w:firstLine="0"/>
        <w:rPr>
          <w:sz w:val="21"/>
        </w:rPr>
      </w:pPr>
    </w:p>
    <w:p>
      <w:pPr>
        <w:pStyle w:val="BodyText"/>
        <w:ind w:left="146" w:right="144" w:firstLine="0"/>
        <w:jc w:val="center"/>
      </w:pPr>
      <w:r>
        <w:rPr/>
        <w:t>Neni  38</w:t>
      </w:r>
    </w:p>
    <w:p>
      <w:pPr>
        <w:pStyle w:val="Heading1"/>
        <w:ind w:right="144"/>
      </w:pPr>
      <w:r>
        <w:rPr/>
        <w:t>Format e reklamave</w:t>
      </w:r>
    </w:p>
    <w:p>
      <w:pPr>
        <w:pStyle w:val="BodyText"/>
        <w:spacing w:before="7"/>
        <w:ind w:left="0" w:firstLine="0"/>
        <w:rPr>
          <w:b/>
          <w:sz w:val="21"/>
        </w:rPr>
      </w:pPr>
    </w:p>
    <w:p>
      <w:pPr>
        <w:pStyle w:val="ListParagraph"/>
        <w:numPr>
          <w:ilvl w:val="0"/>
          <w:numId w:val="71"/>
        </w:numPr>
        <w:tabs>
          <w:tab w:pos="1131" w:val="left" w:leader="none"/>
        </w:tabs>
        <w:spacing w:line="240" w:lineRule="auto" w:before="0" w:after="0"/>
        <w:ind w:left="119" w:right="118" w:firstLine="720"/>
        <w:jc w:val="left"/>
        <w:rPr>
          <w:sz w:val="22"/>
        </w:rPr>
      </w:pPr>
      <w:r>
        <w:rPr>
          <w:sz w:val="22"/>
        </w:rPr>
        <w:t>Në programet audio dhe/ose audiovizive të OSHMA-ve mund të ndërfuten këto forma reklamash:</w:t>
      </w:r>
    </w:p>
    <w:p>
      <w:pPr>
        <w:pStyle w:val="ListParagraph"/>
        <w:numPr>
          <w:ilvl w:val="0"/>
          <w:numId w:val="72"/>
        </w:numPr>
        <w:tabs>
          <w:tab w:pos="1069" w:val="left" w:leader="none"/>
        </w:tabs>
        <w:spacing w:line="252" w:lineRule="exact" w:before="0" w:after="0"/>
        <w:ind w:left="1068" w:right="0" w:hanging="230"/>
        <w:jc w:val="left"/>
        <w:rPr>
          <w:sz w:val="22"/>
        </w:rPr>
      </w:pPr>
      <w:r>
        <w:rPr>
          <w:sz w:val="22"/>
        </w:rPr>
        <w:t>reklamë e</w:t>
      </w:r>
      <w:r>
        <w:rPr>
          <w:spacing w:val="-1"/>
          <w:sz w:val="22"/>
        </w:rPr>
        <w:t> </w:t>
      </w:r>
      <w:r>
        <w:rPr>
          <w:sz w:val="22"/>
        </w:rPr>
        <w:t>zakonshme;</w:t>
      </w:r>
    </w:p>
    <w:p>
      <w:pPr>
        <w:pStyle w:val="ListParagraph"/>
        <w:numPr>
          <w:ilvl w:val="0"/>
          <w:numId w:val="72"/>
        </w:numPr>
        <w:tabs>
          <w:tab w:pos="1080" w:val="left" w:leader="none"/>
        </w:tabs>
        <w:spacing w:line="252" w:lineRule="exact" w:before="0" w:after="0"/>
        <w:ind w:left="1080" w:right="0" w:hanging="241"/>
        <w:jc w:val="left"/>
        <w:rPr>
          <w:sz w:val="22"/>
        </w:rPr>
      </w:pPr>
      <w:r>
        <w:rPr>
          <w:sz w:val="22"/>
        </w:rPr>
        <w:t>reklamë e</w:t>
      </w:r>
      <w:r>
        <w:rPr>
          <w:spacing w:val="-1"/>
          <w:sz w:val="22"/>
        </w:rPr>
        <w:t> </w:t>
      </w:r>
      <w:r>
        <w:rPr>
          <w:sz w:val="22"/>
        </w:rPr>
        <w:t>zgjeruar;</w:t>
      </w:r>
    </w:p>
    <w:p>
      <w:pPr>
        <w:pStyle w:val="ListParagraph"/>
        <w:numPr>
          <w:ilvl w:val="0"/>
          <w:numId w:val="72"/>
        </w:numPr>
        <w:tabs>
          <w:tab w:pos="1069" w:val="left" w:leader="none"/>
        </w:tabs>
        <w:spacing w:line="240" w:lineRule="auto" w:before="1" w:after="0"/>
        <w:ind w:left="839" w:right="6197" w:firstLine="0"/>
        <w:jc w:val="left"/>
        <w:rPr>
          <w:sz w:val="22"/>
        </w:rPr>
      </w:pPr>
      <w:r>
        <w:rPr>
          <w:sz w:val="22"/>
        </w:rPr>
        <w:t>reklama në ekran të</w:t>
      </w:r>
      <w:r>
        <w:rPr>
          <w:spacing w:val="-9"/>
          <w:sz w:val="22"/>
        </w:rPr>
        <w:t> </w:t>
      </w:r>
      <w:r>
        <w:rPr>
          <w:sz w:val="22"/>
        </w:rPr>
        <w:t>ndarë; ç) reklamë e fshehtë;</w:t>
      </w:r>
    </w:p>
    <w:p>
      <w:pPr>
        <w:pStyle w:val="ListParagraph"/>
        <w:numPr>
          <w:ilvl w:val="0"/>
          <w:numId w:val="72"/>
        </w:numPr>
        <w:tabs>
          <w:tab w:pos="1080" w:val="left" w:leader="none"/>
        </w:tabs>
        <w:spacing w:line="240" w:lineRule="auto" w:before="1" w:after="0"/>
        <w:ind w:left="839" w:right="6519" w:firstLine="0"/>
        <w:jc w:val="left"/>
        <w:rPr>
          <w:sz w:val="22"/>
        </w:rPr>
      </w:pPr>
      <w:r>
        <w:rPr>
          <w:sz w:val="22"/>
        </w:rPr>
        <w:t>reklamë ndërvepruese; dh) reklamë</w:t>
      </w:r>
      <w:r>
        <w:rPr>
          <w:spacing w:val="-1"/>
          <w:sz w:val="22"/>
        </w:rPr>
        <w:t> </w:t>
      </w:r>
      <w:r>
        <w:rPr>
          <w:sz w:val="22"/>
        </w:rPr>
        <w:t>virtuale;</w:t>
      </w:r>
    </w:p>
    <w:p>
      <w:pPr>
        <w:pStyle w:val="ListParagraph"/>
        <w:numPr>
          <w:ilvl w:val="0"/>
          <w:numId w:val="71"/>
        </w:numPr>
        <w:tabs>
          <w:tab w:pos="1061" w:val="left" w:leader="none"/>
        </w:tabs>
        <w:spacing w:line="251" w:lineRule="exact" w:before="0" w:after="0"/>
        <w:ind w:left="1060" w:right="0" w:hanging="222"/>
        <w:jc w:val="left"/>
        <w:rPr>
          <w:sz w:val="22"/>
        </w:rPr>
      </w:pPr>
      <w:r>
        <w:rPr>
          <w:sz w:val="22"/>
        </w:rPr>
        <w:t>Reklama e zgjeruar duhet të përmbushë kushtet e</w:t>
      </w:r>
      <w:r>
        <w:rPr>
          <w:spacing w:val="-2"/>
          <w:sz w:val="22"/>
        </w:rPr>
        <w:t> </w:t>
      </w:r>
      <w:r>
        <w:rPr>
          <w:sz w:val="22"/>
        </w:rPr>
        <w:t>mëposhtme:</w:t>
      </w:r>
    </w:p>
    <w:p>
      <w:pPr>
        <w:pStyle w:val="ListParagraph"/>
        <w:numPr>
          <w:ilvl w:val="0"/>
          <w:numId w:val="73"/>
        </w:numPr>
        <w:tabs>
          <w:tab w:pos="1069" w:val="left" w:leader="none"/>
        </w:tabs>
        <w:spacing w:line="240" w:lineRule="auto" w:before="1" w:after="0"/>
        <w:ind w:left="1068" w:right="0" w:hanging="230"/>
        <w:jc w:val="left"/>
        <w:rPr>
          <w:sz w:val="22"/>
        </w:rPr>
      </w:pPr>
      <w:r>
        <w:rPr>
          <w:sz w:val="22"/>
        </w:rPr>
        <w:t>të identifikohet si i tillë përgjatë gjithë kohës së transmetimit të</w:t>
      </w:r>
      <w:r>
        <w:rPr>
          <w:spacing w:val="-12"/>
          <w:sz w:val="22"/>
        </w:rPr>
        <w:t> </w:t>
      </w:r>
      <w:r>
        <w:rPr>
          <w:sz w:val="22"/>
        </w:rPr>
        <w:t>saj;</w:t>
      </w:r>
    </w:p>
    <w:p>
      <w:pPr>
        <w:pStyle w:val="ListParagraph"/>
        <w:numPr>
          <w:ilvl w:val="0"/>
          <w:numId w:val="73"/>
        </w:numPr>
        <w:tabs>
          <w:tab w:pos="1080" w:val="left" w:leader="none"/>
        </w:tabs>
        <w:spacing w:line="240" w:lineRule="auto" w:before="1" w:after="0"/>
        <w:ind w:left="1080" w:right="0" w:hanging="241"/>
        <w:jc w:val="left"/>
        <w:rPr>
          <w:sz w:val="22"/>
        </w:rPr>
      </w:pPr>
      <w:r>
        <w:rPr>
          <w:sz w:val="22"/>
        </w:rPr>
        <w:t>nuk mund të transmetohet prej orës 19 </w:t>
      </w:r>
      <w:r>
        <w:rPr>
          <w:sz w:val="22"/>
          <w:vertAlign w:val="superscript"/>
        </w:rPr>
        <w:t>00</w:t>
      </w:r>
      <w:r>
        <w:rPr>
          <w:sz w:val="22"/>
          <w:vertAlign w:val="baseline"/>
        </w:rPr>
        <w:t> deri në orën 23</w:t>
      </w:r>
      <w:r>
        <w:rPr>
          <w:spacing w:val="-5"/>
          <w:sz w:val="22"/>
          <w:vertAlign w:val="baseline"/>
        </w:rPr>
        <w:t> </w:t>
      </w:r>
      <w:r>
        <w:rPr>
          <w:sz w:val="22"/>
          <w:vertAlign w:val="superscript"/>
        </w:rPr>
        <w:t>00</w:t>
      </w:r>
      <w:r>
        <w:rPr>
          <w:sz w:val="22"/>
          <w:vertAlign w:val="baseline"/>
        </w:rPr>
        <w:t>.</w:t>
      </w:r>
    </w:p>
    <w:p>
      <w:pPr>
        <w:pStyle w:val="ListParagraph"/>
        <w:numPr>
          <w:ilvl w:val="0"/>
          <w:numId w:val="71"/>
        </w:numPr>
        <w:tabs>
          <w:tab w:pos="1061" w:val="left" w:leader="none"/>
        </w:tabs>
        <w:spacing w:line="252" w:lineRule="exact" w:before="1" w:after="0"/>
        <w:ind w:left="1060" w:right="0" w:hanging="222"/>
        <w:jc w:val="left"/>
        <w:rPr>
          <w:sz w:val="22"/>
        </w:rPr>
      </w:pPr>
      <w:r>
        <w:rPr>
          <w:sz w:val="22"/>
        </w:rPr>
        <w:t>Reklama në ekran të ndarë duhet të përmbushë kushtet e</w:t>
      </w:r>
      <w:r>
        <w:rPr>
          <w:spacing w:val="-9"/>
          <w:sz w:val="22"/>
        </w:rPr>
        <w:t> </w:t>
      </w:r>
      <w:r>
        <w:rPr>
          <w:sz w:val="22"/>
        </w:rPr>
        <w:t>mëposhtme:</w:t>
      </w:r>
    </w:p>
    <w:p>
      <w:pPr>
        <w:pStyle w:val="ListParagraph"/>
        <w:numPr>
          <w:ilvl w:val="0"/>
          <w:numId w:val="74"/>
        </w:numPr>
        <w:tabs>
          <w:tab w:pos="1069" w:val="left" w:leader="none"/>
        </w:tabs>
        <w:spacing w:line="252" w:lineRule="exact" w:before="0" w:after="0"/>
        <w:ind w:left="1068" w:right="0" w:hanging="230"/>
        <w:jc w:val="left"/>
        <w:rPr>
          <w:sz w:val="22"/>
        </w:rPr>
      </w:pPr>
      <w:r>
        <w:rPr>
          <w:sz w:val="22"/>
        </w:rPr>
        <w:t>nuk mund të mbulojë më shumë se një të tretën e hapësirës së</w:t>
      </w:r>
      <w:r>
        <w:rPr>
          <w:spacing w:val="-12"/>
          <w:sz w:val="22"/>
        </w:rPr>
        <w:t> </w:t>
      </w:r>
      <w:r>
        <w:rPr>
          <w:sz w:val="22"/>
        </w:rPr>
        <w:t>ekranit;</w:t>
      </w:r>
    </w:p>
    <w:p>
      <w:pPr>
        <w:pStyle w:val="ListParagraph"/>
        <w:numPr>
          <w:ilvl w:val="0"/>
          <w:numId w:val="74"/>
        </w:numPr>
        <w:tabs>
          <w:tab w:pos="1080" w:val="left" w:leader="none"/>
        </w:tabs>
        <w:spacing w:line="252" w:lineRule="exact" w:before="0" w:after="0"/>
        <w:ind w:left="1079" w:right="0" w:hanging="241"/>
        <w:jc w:val="left"/>
        <w:rPr>
          <w:sz w:val="22"/>
        </w:rPr>
      </w:pPr>
      <w:r>
        <w:rPr>
          <w:sz w:val="22"/>
        </w:rPr>
        <w:t>hapësira e saj nuk duhet të</w:t>
      </w:r>
      <w:r>
        <w:rPr>
          <w:spacing w:val="-7"/>
          <w:sz w:val="22"/>
        </w:rPr>
        <w:t> </w:t>
      </w:r>
      <w:r>
        <w:rPr>
          <w:sz w:val="22"/>
        </w:rPr>
        <w:t>ndryshojë.</w:t>
      </w:r>
    </w:p>
    <w:p>
      <w:pPr>
        <w:pStyle w:val="ListParagraph"/>
        <w:numPr>
          <w:ilvl w:val="0"/>
          <w:numId w:val="74"/>
        </w:numPr>
        <w:tabs>
          <w:tab w:pos="1069" w:val="left" w:leader="none"/>
        </w:tabs>
        <w:spacing w:line="252" w:lineRule="exact" w:before="1" w:after="0"/>
        <w:ind w:left="1068" w:right="0" w:hanging="230"/>
        <w:jc w:val="left"/>
        <w:rPr>
          <w:sz w:val="22"/>
        </w:rPr>
      </w:pPr>
      <w:r>
        <w:rPr>
          <w:sz w:val="22"/>
        </w:rPr>
        <w:t>duhet të jetë lehtësisht e identifikueshme si e tillë dhe qartësisht e ndarë në</w:t>
      </w:r>
      <w:r>
        <w:rPr>
          <w:spacing w:val="-14"/>
          <w:sz w:val="22"/>
        </w:rPr>
        <w:t> </w:t>
      </w:r>
      <w:r>
        <w:rPr>
          <w:sz w:val="22"/>
        </w:rPr>
        <w:t>ekran;</w:t>
      </w:r>
    </w:p>
    <w:p>
      <w:pPr>
        <w:pStyle w:val="BodyText"/>
        <w:ind w:left="119" w:right="114"/>
        <w:jc w:val="both"/>
      </w:pPr>
      <w:r>
        <w:rPr/>
        <w:t>ç) OSHMA-të mund të ndërfusin reklama në ekran të ndarë në transmetimet e prodhuara nga prodhues të pavarur ose prodhues të tjerë, vetëm në bazë të lejes përkatëse të mbajtësve të të drejtave të këtyre prodhimeve;</w:t>
      </w:r>
    </w:p>
    <w:p>
      <w:pPr>
        <w:pStyle w:val="ListParagraph"/>
        <w:numPr>
          <w:ilvl w:val="0"/>
          <w:numId w:val="74"/>
        </w:numPr>
        <w:tabs>
          <w:tab w:pos="1080" w:val="left" w:leader="none"/>
        </w:tabs>
        <w:spacing w:line="252" w:lineRule="exact" w:before="0" w:after="0"/>
        <w:ind w:left="1079" w:right="0" w:hanging="241"/>
        <w:jc w:val="both"/>
        <w:rPr>
          <w:sz w:val="22"/>
        </w:rPr>
      </w:pPr>
      <w:r>
        <w:rPr>
          <w:sz w:val="22"/>
        </w:rPr>
        <w:t>llogaritet në kohën e përgjithshme të transmetimit të</w:t>
      </w:r>
      <w:r>
        <w:rPr>
          <w:spacing w:val="-9"/>
          <w:sz w:val="22"/>
        </w:rPr>
        <w:t> </w:t>
      </w:r>
      <w:r>
        <w:rPr>
          <w:sz w:val="22"/>
        </w:rPr>
        <w:t>reklamave.</w:t>
      </w:r>
    </w:p>
    <w:p>
      <w:pPr>
        <w:pStyle w:val="ListParagraph"/>
        <w:numPr>
          <w:ilvl w:val="0"/>
          <w:numId w:val="71"/>
        </w:numPr>
        <w:tabs>
          <w:tab w:pos="1061" w:val="left" w:leader="none"/>
        </w:tabs>
        <w:spacing w:line="252" w:lineRule="exact" w:before="1" w:after="0"/>
        <w:ind w:left="1060" w:right="0" w:hanging="222"/>
        <w:jc w:val="both"/>
        <w:rPr>
          <w:sz w:val="22"/>
        </w:rPr>
      </w:pPr>
      <w:r>
        <w:rPr>
          <w:sz w:val="22"/>
        </w:rPr>
        <w:t>Ndërfutja e reklamave virtuale duhet të përmbushë kushtet e</w:t>
      </w:r>
      <w:r>
        <w:rPr>
          <w:spacing w:val="-6"/>
          <w:sz w:val="22"/>
        </w:rPr>
        <w:t> </w:t>
      </w:r>
      <w:r>
        <w:rPr>
          <w:sz w:val="22"/>
        </w:rPr>
        <w:t>mëposhtme:</w:t>
      </w:r>
    </w:p>
    <w:p>
      <w:pPr>
        <w:pStyle w:val="ListParagraph"/>
        <w:numPr>
          <w:ilvl w:val="0"/>
          <w:numId w:val="75"/>
        </w:numPr>
        <w:tabs>
          <w:tab w:pos="1095" w:val="left" w:leader="none"/>
        </w:tabs>
        <w:spacing w:line="240" w:lineRule="auto" w:before="0" w:after="0"/>
        <w:ind w:left="119" w:right="114" w:firstLine="720"/>
        <w:jc w:val="left"/>
        <w:rPr>
          <w:sz w:val="22"/>
        </w:rPr>
      </w:pPr>
      <w:r>
        <w:rPr>
          <w:sz w:val="22"/>
        </w:rPr>
        <w:t>OSHMA-ja duhet të informojë për qenien e reklamave virtuale në transmetimin përkatës në fillim dhe në fund të këtij</w:t>
      </w:r>
      <w:r>
        <w:rPr>
          <w:spacing w:val="-4"/>
          <w:sz w:val="22"/>
        </w:rPr>
        <w:t> </w:t>
      </w:r>
      <w:r>
        <w:rPr>
          <w:sz w:val="22"/>
        </w:rPr>
        <w:t>transmetimi;</w:t>
      </w:r>
    </w:p>
    <w:p>
      <w:pPr>
        <w:pStyle w:val="ListParagraph"/>
        <w:numPr>
          <w:ilvl w:val="0"/>
          <w:numId w:val="75"/>
        </w:numPr>
        <w:tabs>
          <w:tab w:pos="1107" w:val="left" w:leader="none"/>
        </w:tabs>
        <w:spacing w:line="240" w:lineRule="auto" w:before="0" w:after="0"/>
        <w:ind w:left="120" w:right="114" w:firstLine="719"/>
        <w:jc w:val="left"/>
        <w:rPr>
          <w:sz w:val="22"/>
        </w:rPr>
      </w:pPr>
      <w:r>
        <w:rPr>
          <w:sz w:val="22"/>
        </w:rPr>
        <w:t>OSHMA-ja nuk mund të ndërfusë reklama virtuale pa miratimin paraprak të organizuesit të ngjarjes, prodhuesit të programit ose autorit të</w:t>
      </w:r>
      <w:r>
        <w:rPr>
          <w:spacing w:val="-8"/>
          <w:sz w:val="22"/>
        </w:rPr>
        <w:t> </w:t>
      </w:r>
      <w:r>
        <w:rPr>
          <w:sz w:val="22"/>
        </w:rPr>
        <w:t>tij;</w:t>
      </w:r>
    </w:p>
    <w:p>
      <w:pPr>
        <w:pStyle w:val="ListParagraph"/>
        <w:numPr>
          <w:ilvl w:val="0"/>
          <w:numId w:val="75"/>
        </w:numPr>
        <w:tabs>
          <w:tab w:pos="1133" w:val="left" w:leader="none"/>
        </w:tabs>
        <w:spacing w:line="240" w:lineRule="auto" w:before="0" w:after="0"/>
        <w:ind w:left="120" w:right="115" w:firstLine="720"/>
        <w:jc w:val="left"/>
        <w:rPr>
          <w:sz w:val="22"/>
        </w:rPr>
      </w:pPr>
      <w:r>
        <w:rPr>
          <w:sz w:val="22"/>
        </w:rPr>
        <w:t>organizuesi i ngjarjes nuk mund të ndërfusë reklama virtuale pa miratimin paraprak të OSHMA-së, i cili ka marrë të drejtën e transmetimit të</w:t>
      </w:r>
      <w:r>
        <w:rPr>
          <w:spacing w:val="-6"/>
          <w:sz w:val="22"/>
        </w:rPr>
        <w:t> </w:t>
      </w:r>
      <w:r>
        <w:rPr>
          <w:sz w:val="22"/>
        </w:rPr>
        <w:t>ngjarjes;</w:t>
      </w:r>
    </w:p>
    <w:p>
      <w:pPr>
        <w:pStyle w:val="BodyText"/>
        <w:spacing w:line="252" w:lineRule="exact" w:before="1"/>
        <w:ind w:left="840" w:firstLine="0"/>
      </w:pPr>
      <w:r>
        <w:rPr/>
        <w:t>ç) reklamat virtuale nuk mund të vendosen ose të shfaqen duke përdorur persona fizikë;</w:t>
      </w:r>
    </w:p>
    <w:p>
      <w:pPr>
        <w:pStyle w:val="ListParagraph"/>
        <w:numPr>
          <w:ilvl w:val="0"/>
          <w:numId w:val="75"/>
        </w:numPr>
        <w:tabs>
          <w:tab w:pos="1097" w:val="left" w:leader="none"/>
        </w:tabs>
        <w:spacing w:line="240" w:lineRule="auto" w:before="0" w:after="0"/>
        <w:ind w:left="120" w:right="115" w:firstLine="720"/>
        <w:jc w:val="both"/>
        <w:rPr>
          <w:sz w:val="22"/>
        </w:rPr>
      </w:pPr>
      <w:r>
        <w:rPr>
          <w:sz w:val="22"/>
        </w:rPr>
        <w:t>reklamat virtuale mund të vendosen vetëm në hapësira që përdoren normalisht për reklamim. Gjatë ndeshjeve sportive, reklamat virtuale mund të vendosen edhe në pjesën e fushës së lojës jashtë kohës që zhvillohet loja në këtë</w:t>
      </w:r>
      <w:r>
        <w:rPr>
          <w:spacing w:val="-5"/>
          <w:sz w:val="22"/>
        </w:rPr>
        <w:t> </w:t>
      </w:r>
      <w:r>
        <w:rPr>
          <w:sz w:val="22"/>
        </w:rPr>
        <w:t>fushë.</w:t>
      </w:r>
    </w:p>
    <w:p>
      <w:pPr>
        <w:pStyle w:val="ListParagraph"/>
        <w:numPr>
          <w:ilvl w:val="0"/>
          <w:numId w:val="71"/>
        </w:numPr>
        <w:tabs>
          <w:tab w:pos="1069" w:val="left" w:leader="none"/>
        </w:tabs>
        <w:spacing w:line="252" w:lineRule="exact" w:before="0" w:after="0"/>
        <w:ind w:left="1068" w:right="0" w:hanging="229"/>
        <w:jc w:val="both"/>
        <w:rPr>
          <w:sz w:val="22"/>
        </w:rPr>
      </w:pPr>
      <w:r>
        <w:rPr>
          <w:sz w:val="22"/>
        </w:rPr>
        <w:t>Përdorimi i përmbajtjes së reklamës ndërvepruese duhet të paraprihet nga një paralajmërim,</w:t>
      </w:r>
      <w:r>
        <w:rPr>
          <w:spacing w:val="52"/>
          <w:sz w:val="22"/>
        </w:rPr>
        <w:t> </w:t>
      </w:r>
      <w:r>
        <w:rPr>
          <w:sz w:val="22"/>
        </w:rPr>
        <w:t>që</w:t>
      </w:r>
    </w:p>
    <w:p>
      <w:pPr>
        <w:spacing w:after="0" w:line="252" w:lineRule="exact"/>
        <w:jc w:val="both"/>
        <w:rPr>
          <w:sz w:val="22"/>
        </w:rPr>
        <w:sectPr>
          <w:pgSz w:w="12240" w:h="15840"/>
          <w:pgMar w:top="1360" w:bottom="280" w:left="1320" w:right="1320"/>
        </w:sectPr>
      </w:pPr>
    </w:p>
    <w:p>
      <w:pPr>
        <w:pStyle w:val="BodyText"/>
        <w:spacing w:before="74"/>
        <w:ind w:right="114" w:firstLine="0"/>
        <w:jc w:val="both"/>
      </w:pPr>
      <w:r>
        <w:rPr/>
        <w:t>duhet të shfaqet në ekran dhe të njoftojë përdoruesin se po del nga transmetimi për të hyrë në reklamën ndërvepruese. Kufizimet, lidhur me sasinë dhe kohëzgjatjen e reklamave, nuk zbatohen për reklamat ndërvepruese.</w:t>
      </w:r>
    </w:p>
    <w:p>
      <w:pPr>
        <w:pStyle w:val="ListParagraph"/>
        <w:numPr>
          <w:ilvl w:val="0"/>
          <w:numId w:val="71"/>
        </w:numPr>
        <w:tabs>
          <w:tab w:pos="1064" w:val="left" w:leader="none"/>
        </w:tabs>
        <w:spacing w:line="240" w:lineRule="auto" w:before="0" w:after="0"/>
        <w:ind w:left="120" w:right="113" w:firstLine="720"/>
        <w:jc w:val="both"/>
        <w:rPr>
          <w:sz w:val="22"/>
        </w:rPr>
      </w:pPr>
      <w:r>
        <w:rPr>
          <w:sz w:val="22"/>
        </w:rPr>
        <w:t>Dritaret e shitjeve të drejtpërdrejta zgjasin minimalisht 15 minuta. Nuk mund të ketë më shumë se 8 dritare shitjesh të drejtpërdrejta në ditë. Kohëzgjatja e përgjithshme e transmetimit të tyre nuk mund të jetë më shumë se 3 orë në ditë. Këto dritare shitjesh të drejtpërdrejta duhet të dallohen nga përmbajtja e pjesës tjetër të transmetimit si të tilla nëpërmjet mënyrave të përshtatshme zanore e</w:t>
      </w:r>
      <w:r>
        <w:rPr>
          <w:spacing w:val="-13"/>
          <w:sz w:val="22"/>
        </w:rPr>
        <w:t> </w:t>
      </w:r>
      <w:r>
        <w:rPr>
          <w:sz w:val="22"/>
        </w:rPr>
        <w:t>pamore.</w:t>
      </w:r>
    </w:p>
    <w:p>
      <w:pPr>
        <w:pStyle w:val="ListParagraph"/>
        <w:numPr>
          <w:ilvl w:val="0"/>
          <w:numId w:val="71"/>
        </w:numPr>
        <w:tabs>
          <w:tab w:pos="1078" w:val="left" w:leader="none"/>
        </w:tabs>
        <w:spacing w:line="240" w:lineRule="auto" w:before="0" w:after="0"/>
        <w:ind w:left="119" w:right="114" w:firstLine="720"/>
        <w:jc w:val="both"/>
        <w:rPr>
          <w:sz w:val="22"/>
        </w:rPr>
      </w:pPr>
      <w:r>
        <w:rPr>
          <w:sz w:val="22"/>
        </w:rPr>
        <w:t>Rregullat e përcaktuara në pikën 2 të këtij neni nuk zbatohen për programet, që transmetojnë tërësisht shitje të drejtpërdrejta. Në këto programe ndërfutja e reklamave i nënshtrohet rregullave të përgjithshme për këtë qëllim të përcaktuara në këtë</w:t>
      </w:r>
      <w:r>
        <w:rPr>
          <w:spacing w:val="-6"/>
          <w:sz w:val="22"/>
        </w:rPr>
        <w:t> </w:t>
      </w:r>
      <w:r>
        <w:rPr>
          <w:sz w:val="22"/>
        </w:rPr>
        <w:t>ligj.</w:t>
      </w:r>
    </w:p>
    <w:p>
      <w:pPr>
        <w:pStyle w:val="BodyText"/>
        <w:spacing w:before="9"/>
        <w:ind w:left="0" w:firstLine="0"/>
        <w:rPr>
          <w:sz w:val="21"/>
        </w:rPr>
      </w:pPr>
    </w:p>
    <w:p>
      <w:pPr>
        <w:pStyle w:val="BodyText"/>
        <w:ind w:left="146" w:right="146" w:firstLine="0"/>
        <w:jc w:val="center"/>
      </w:pPr>
      <w:r>
        <w:rPr/>
        <w:t>Neni 39</w:t>
      </w:r>
    </w:p>
    <w:p>
      <w:pPr>
        <w:pStyle w:val="Heading1"/>
        <w:spacing w:line="250" w:lineRule="exact" w:before="6"/>
        <w:ind w:right="144"/>
      </w:pPr>
      <w:r>
        <w:rPr/>
        <w:t>Reklama politike</w:t>
      </w:r>
    </w:p>
    <w:p>
      <w:pPr>
        <w:spacing w:line="250" w:lineRule="exact" w:before="0"/>
        <w:ind w:left="146" w:right="146" w:firstLine="0"/>
        <w:jc w:val="center"/>
        <w:rPr>
          <w:i/>
          <w:sz w:val="22"/>
        </w:rPr>
      </w:pPr>
      <w:r>
        <w:rPr>
          <w:i/>
          <w:sz w:val="22"/>
        </w:rPr>
        <w:t>(ndryshuar pika 3 me ligjin nr. 91/2017, datë 22.5.2017)</w:t>
      </w:r>
    </w:p>
    <w:p>
      <w:pPr>
        <w:pStyle w:val="BodyText"/>
        <w:spacing w:before="1"/>
        <w:ind w:left="0" w:firstLine="0"/>
        <w:rPr>
          <w:i/>
        </w:rPr>
      </w:pPr>
    </w:p>
    <w:p>
      <w:pPr>
        <w:pStyle w:val="ListParagraph"/>
        <w:numPr>
          <w:ilvl w:val="0"/>
          <w:numId w:val="76"/>
        </w:numPr>
        <w:tabs>
          <w:tab w:pos="1062" w:val="left" w:leader="none"/>
        </w:tabs>
        <w:spacing w:line="240" w:lineRule="auto" w:before="0" w:after="0"/>
        <w:ind w:left="1061" w:right="0" w:hanging="222"/>
        <w:jc w:val="left"/>
        <w:rPr>
          <w:sz w:val="22"/>
        </w:rPr>
      </w:pPr>
      <w:r>
        <w:rPr>
          <w:sz w:val="22"/>
        </w:rPr>
        <w:t>Reklama konsiderohet politike në rastet</w:t>
      </w:r>
      <w:r>
        <w:rPr>
          <w:spacing w:val="-1"/>
          <w:sz w:val="22"/>
        </w:rPr>
        <w:t> </w:t>
      </w:r>
      <w:r>
        <w:rPr>
          <w:sz w:val="22"/>
        </w:rPr>
        <w:t>kur:</w:t>
      </w:r>
    </w:p>
    <w:p>
      <w:pPr>
        <w:pStyle w:val="ListParagraph"/>
        <w:numPr>
          <w:ilvl w:val="0"/>
          <w:numId w:val="77"/>
        </w:numPr>
        <w:tabs>
          <w:tab w:pos="1098" w:val="left" w:leader="none"/>
        </w:tabs>
        <w:spacing w:line="240" w:lineRule="auto" w:before="1" w:after="0"/>
        <w:ind w:left="120" w:right="117" w:firstLine="720"/>
        <w:jc w:val="left"/>
        <w:rPr>
          <w:sz w:val="22"/>
        </w:rPr>
      </w:pPr>
      <w:r>
        <w:rPr>
          <w:sz w:val="22"/>
        </w:rPr>
        <w:t>përkrah interesat e partive politike, grupeve politike ose udhëheqësve politikë, në kërkim të qëllimeve</w:t>
      </w:r>
      <w:r>
        <w:rPr>
          <w:spacing w:val="-1"/>
          <w:sz w:val="22"/>
        </w:rPr>
        <w:t> </w:t>
      </w:r>
      <w:r>
        <w:rPr>
          <w:sz w:val="22"/>
        </w:rPr>
        <w:t>politike;</w:t>
      </w:r>
    </w:p>
    <w:p>
      <w:pPr>
        <w:pStyle w:val="ListParagraph"/>
        <w:numPr>
          <w:ilvl w:val="0"/>
          <w:numId w:val="77"/>
        </w:numPr>
        <w:tabs>
          <w:tab w:pos="1081" w:val="left" w:leader="none"/>
        </w:tabs>
        <w:spacing w:line="251" w:lineRule="exact" w:before="0" w:after="0"/>
        <w:ind w:left="1080" w:right="0" w:hanging="241"/>
        <w:jc w:val="left"/>
        <w:rPr>
          <w:sz w:val="22"/>
        </w:rPr>
      </w:pPr>
      <w:r>
        <w:rPr>
          <w:sz w:val="22"/>
        </w:rPr>
        <w:t>ndikon mbi një ndryshim</w:t>
      </w:r>
      <w:r>
        <w:rPr>
          <w:spacing w:val="-4"/>
          <w:sz w:val="22"/>
        </w:rPr>
        <w:t> </w:t>
      </w:r>
      <w:r>
        <w:rPr>
          <w:sz w:val="22"/>
        </w:rPr>
        <w:t>ligjor;</w:t>
      </w:r>
    </w:p>
    <w:p>
      <w:pPr>
        <w:pStyle w:val="ListParagraph"/>
        <w:numPr>
          <w:ilvl w:val="0"/>
          <w:numId w:val="77"/>
        </w:numPr>
        <w:tabs>
          <w:tab w:pos="1069" w:val="left" w:leader="none"/>
        </w:tabs>
        <w:spacing w:line="252" w:lineRule="exact" w:before="2" w:after="0"/>
        <w:ind w:left="1068" w:right="0" w:hanging="229"/>
        <w:jc w:val="left"/>
        <w:rPr>
          <w:sz w:val="22"/>
        </w:rPr>
      </w:pPr>
      <w:r>
        <w:rPr>
          <w:sz w:val="22"/>
        </w:rPr>
        <w:t>ndikon mbi një vendim politik ose</w:t>
      </w:r>
      <w:r>
        <w:rPr>
          <w:spacing w:val="-9"/>
          <w:sz w:val="22"/>
        </w:rPr>
        <w:t> </w:t>
      </w:r>
      <w:r>
        <w:rPr>
          <w:sz w:val="22"/>
        </w:rPr>
        <w:t>administrativ;</w:t>
      </w:r>
    </w:p>
    <w:p>
      <w:pPr>
        <w:pStyle w:val="BodyText"/>
        <w:spacing w:line="252" w:lineRule="exact"/>
        <w:ind w:left="840" w:firstLine="0"/>
      </w:pPr>
      <w:r>
        <w:rPr/>
        <w:t>ç) ndikon mbi një formim të opinionit të publikut, në lidhje me çështje politike të diskutueshme.</w:t>
      </w:r>
    </w:p>
    <w:p>
      <w:pPr>
        <w:pStyle w:val="ListParagraph"/>
        <w:numPr>
          <w:ilvl w:val="0"/>
          <w:numId w:val="76"/>
        </w:numPr>
        <w:tabs>
          <w:tab w:pos="1062" w:val="left" w:leader="none"/>
        </w:tabs>
        <w:spacing w:line="252" w:lineRule="exact" w:before="1" w:after="0"/>
        <w:ind w:left="1061" w:right="0" w:hanging="222"/>
        <w:jc w:val="left"/>
        <w:rPr>
          <w:sz w:val="22"/>
        </w:rPr>
      </w:pPr>
      <w:r>
        <w:rPr>
          <w:sz w:val="22"/>
        </w:rPr>
        <w:t>Reklama konsiderohet politike në rastet kur porositësit e saj janë:</w:t>
      </w:r>
    </w:p>
    <w:p>
      <w:pPr>
        <w:pStyle w:val="ListParagraph"/>
        <w:numPr>
          <w:ilvl w:val="0"/>
          <w:numId w:val="78"/>
        </w:numPr>
        <w:tabs>
          <w:tab w:pos="1069" w:val="left" w:leader="none"/>
        </w:tabs>
        <w:spacing w:line="252" w:lineRule="exact" w:before="0" w:after="0"/>
        <w:ind w:left="1068" w:right="0" w:hanging="229"/>
        <w:jc w:val="left"/>
        <w:rPr>
          <w:sz w:val="22"/>
        </w:rPr>
      </w:pPr>
      <w:r>
        <w:rPr>
          <w:sz w:val="22"/>
        </w:rPr>
        <w:t>partitë politike dhe</w:t>
      </w:r>
      <w:r>
        <w:rPr>
          <w:spacing w:val="-3"/>
          <w:sz w:val="22"/>
        </w:rPr>
        <w:t> </w:t>
      </w:r>
      <w:r>
        <w:rPr>
          <w:sz w:val="22"/>
        </w:rPr>
        <w:t>institucionet;</w:t>
      </w:r>
    </w:p>
    <w:p>
      <w:pPr>
        <w:pStyle w:val="ListParagraph"/>
        <w:numPr>
          <w:ilvl w:val="0"/>
          <w:numId w:val="78"/>
        </w:numPr>
        <w:tabs>
          <w:tab w:pos="1081" w:val="left" w:leader="none"/>
        </w:tabs>
        <w:spacing w:line="252" w:lineRule="exact" w:before="0" w:after="0"/>
        <w:ind w:left="1080" w:right="0" w:hanging="241"/>
        <w:jc w:val="left"/>
        <w:rPr>
          <w:sz w:val="22"/>
        </w:rPr>
      </w:pPr>
      <w:r>
        <w:rPr>
          <w:sz w:val="22"/>
        </w:rPr>
        <w:t>organizatat që synojnë të përkrahin dhe ndërmarrin veprimtari</w:t>
      </w:r>
      <w:r>
        <w:rPr>
          <w:spacing w:val="-8"/>
          <w:sz w:val="22"/>
        </w:rPr>
        <w:t> </w:t>
      </w:r>
      <w:r>
        <w:rPr>
          <w:sz w:val="22"/>
        </w:rPr>
        <w:t>politike;</w:t>
      </w:r>
    </w:p>
    <w:p>
      <w:pPr>
        <w:pStyle w:val="ListParagraph"/>
        <w:numPr>
          <w:ilvl w:val="0"/>
          <w:numId w:val="78"/>
        </w:numPr>
        <w:tabs>
          <w:tab w:pos="1091" w:val="left" w:leader="none"/>
        </w:tabs>
        <w:spacing w:line="240" w:lineRule="auto" w:before="1" w:after="0"/>
        <w:ind w:left="120" w:right="123" w:firstLine="720"/>
        <w:jc w:val="left"/>
        <w:rPr>
          <w:sz w:val="22"/>
        </w:rPr>
      </w:pPr>
      <w:r>
        <w:rPr>
          <w:sz w:val="22"/>
        </w:rPr>
        <w:t>organizatat, platformat dhe kolektivat të cilët përkrahin një ndryshim ligjor ose normativ </w:t>
      </w:r>
      <w:r>
        <w:rPr>
          <w:spacing w:val="-4"/>
          <w:sz w:val="22"/>
        </w:rPr>
        <w:t>me </w:t>
      </w:r>
      <w:r>
        <w:rPr>
          <w:sz w:val="22"/>
        </w:rPr>
        <w:t>qëllim që të mbrojnë objektivat e</w:t>
      </w:r>
      <w:r>
        <w:rPr>
          <w:spacing w:val="-6"/>
          <w:sz w:val="22"/>
        </w:rPr>
        <w:t> </w:t>
      </w:r>
      <w:r>
        <w:rPr>
          <w:sz w:val="22"/>
        </w:rPr>
        <w:t>tyre;</w:t>
      </w:r>
    </w:p>
    <w:p>
      <w:pPr>
        <w:pStyle w:val="BodyText"/>
        <w:spacing w:line="252" w:lineRule="exact" w:before="1"/>
        <w:ind w:left="840" w:firstLine="0"/>
      </w:pPr>
      <w:r>
        <w:rPr/>
        <w:t>ç) çdo person ose grup tjetër të cilët përkrahin një projekt të veçantë ose program politik.</w:t>
      </w:r>
    </w:p>
    <w:p>
      <w:pPr>
        <w:pStyle w:val="ListParagraph"/>
        <w:numPr>
          <w:ilvl w:val="0"/>
          <w:numId w:val="76"/>
        </w:numPr>
        <w:tabs>
          <w:tab w:pos="1071" w:val="left" w:leader="none"/>
        </w:tabs>
        <w:spacing w:line="240" w:lineRule="auto" w:before="0" w:after="0"/>
        <w:ind w:left="120" w:right="113" w:firstLine="720"/>
        <w:jc w:val="both"/>
        <w:rPr>
          <w:sz w:val="22"/>
        </w:rPr>
      </w:pPr>
      <w:r>
        <w:rPr>
          <w:sz w:val="22"/>
        </w:rPr>
        <w:t>Gjatë periudhës zgjedhore transmetimi i reklamave politike bëhet sipas dispozitave të ligjit nr. 10 019, datë 29.12.2008, “Kodi Zgjedhor i Republikës së Shqipërisë”, të ndryshuar, si dhe ligjit nr. 8580, datë 17.2.2000, “Për partitë politike”, të</w:t>
      </w:r>
      <w:r>
        <w:rPr>
          <w:spacing w:val="-6"/>
          <w:sz w:val="22"/>
        </w:rPr>
        <w:t> </w:t>
      </w:r>
      <w:r>
        <w:rPr>
          <w:sz w:val="22"/>
        </w:rPr>
        <w:t>ndryshuar.”</w:t>
      </w:r>
    </w:p>
    <w:p>
      <w:pPr>
        <w:pStyle w:val="BodyText"/>
        <w:spacing w:line="252" w:lineRule="exact"/>
        <w:ind w:left="146" w:right="145" w:firstLine="0"/>
        <w:jc w:val="center"/>
      </w:pPr>
      <w:r>
        <w:rPr/>
        <w:t>Neni 40</w:t>
      </w:r>
    </w:p>
    <w:p>
      <w:pPr>
        <w:pStyle w:val="Heading1"/>
        <w:spacing w:before="5"/>
        <w:ind w:right="144"/>
      </w:pPr>
      <w:r>
        <w:rPr/>
        <w:t>Reklama institucionale</w:t>
      </w:r>
    </w:p>
    <w:p>
      <w:pPr>
        <w:pStyle w:val="BodyText"/>
        <w:spacing w:before="5"/>
        <w:ind w:left="0" w:firstLine="0"/>
        <w:rPr>
          <w:b/>
          <w:sz w:val="21"/>
        </w:rPr>
      </w:pPr>
    </w:p>
    <w:p>
      <w:pPr>
        <w:pStyle w:val="ListParagraph"/>
        <w:numPr>
          <w:ilvl w:val="0"/>
          <w:numId w:val="79"/>
        </w:numPr>
        <w:tabs>
          <w:tab w:pos="1067" w:val="left" w:leader="none"/>
        </w:tabs>
        <w:spacing w:line="240" w:lineRule="auto" w:before="0" w:after="0"/>
        <w:ind w:left="120" w:right="113" w:firstLine="720"/>
        <w:jc w:val="left"/>
        <w:rPr>
          <w:sz w:val="22"/>
        </w:rPr>
      </w:pPr>
      <w:r>
        <w:rPr>
          <w:sz w:val="22"/>
        </w:rPr>
        <w:t>Reklama konsiderohet institucionale në rastet kur objekti i vetëm i kësaj reklame është ofrimi i informacionit mbi shërbimet e institucioneve publike.</w:t>
      </w:r>
    </w:p>
    <w:p>
      <w:pPr>
        <w:pStyle w:val="BodyText"/>
        <w:spacing w:before="2"/>
        <w:ind w:left="0" w:firstLine="0"/>
      </w:pPr>
    </w:p>
    <w:p>
      <w:pPr>
        <w:pStyle w:val="ListParagraph"/>
        <w:numPr>
          <w:ilvl w:val="0"/>
          <w:numId w:val="79"/>
        </w:numPr>
        <w:tabs>
          <w:tab w:pos="1098" w:val="left" w:leader="none"/>
        </w:tabs>
        <w:spacing w:line="240" w:lineRule="auto" w:before="0" w:after="0"/>
        <w:ind w:left="120" w:right="118" w:firstLine="720"/>
        <w:jc w:val="left"/>
        <w:rPr>
          <w:sz w:val="22"/>
        </w:rPr>
      </w:pPr>
      <w:r>
        <w:rPr>
          <w:sz w:val="22"/>
        </w:rPr>
        <w:t>Nxitja e drejtpërdrejtë ose jo e konfuzionit, në lidhje me identifikimin e institucioneve me tiparet e partive politike, nuk</w:t>
      </w:r>
      <w:r>
        <w:rPr>
          <w:spacing w:val="-3"/>
          <w:sz w:val="22"/>
        </w:rPr>
        <w:t> </w:t>
      </w:r>
      <w:r>
        <w:rPr>
          <w:sz w:val="22"/>
        </w:rPr>
        <w:t>lejohet.</w:t>
      </w:r>
    </w:p>
    <w:p>
      <w:pPr>
        <w:pStyle w:val="ListParagraph"/>
        <w:numPr>
          <w:ilvl w:val="0"/>
          <w:numId w:val="79"/>
        </w:numPr>
        <w:tabs>
          <w:tab w:pos="1096" w:val="left" w:leader="none"/>
        </w:tabs>
        <w:spacing w:line="242" w:lineRule="auto" w:before="0" w:after="0"/>
        <w:ind w:left="120" w:right="113" w:firstLine="720"/>
        <w:jc w:val="left"/>
        <w:rPr>
          <w:sz w:val="22"/>
        </w:rPr>
      </w:pPr>
      <w:r>
        <w:rPr>
          <w:sz w:val="22"/>
        </w:rPr>
        <w:t>Gjatë periudhës zgjedhore transmetimi i reklamave institucionale bëhet sipas dispozitave të ligjit nr. 10 019, datë 29.12.2008 “Kodi Zgjedhor i Republikës së Shqipërisë”, të</w:t>
      </w:r>
      <w:r>
        <w:rPr>
          <w:spacing w:val="-10"/>
          <w:sz w:val="22"/>
        </w:rPr>
        <w:t> </w:t>
      </w:r>
      <w:r>
        <w:rPr>
          <w:sz w:val="22"/>
        </w:rPr>
        <w:t>ndryshuar.</w:t>
      </w:r>
    </w:p>
    <w:p>
      <w:pPr>
        <w:pStyle w:val="BodyText"/>
        <w:spacing w:before="6"/>
        <w:ind w:left="0" w:firstLine="0"/>
        <w:rPr>
          <w:sz w:val="21"/>
        </w:rPr>
      </w:pPr>
    </w:p>
    <w:p>
      <w:pPr>
        <w:pStyle w:val="BodyText"/>
        <w:ind w:left="146" w:right="145" w:firstLine="0"/>
        <w:jc w:val="center"/>
      </w:pPr>
      <w:r>
        <w:rPr/>
        <w:t>Neni 41</w:t>
      </w:r>
    </w:p>
    <w:p>
      <w:pPr>
        <w:pStyle w:val="Heading1"/>
        <w:ind w:right="142"/>
      </w:pPr>
      <w:r>
        <w:rPr/>
        <w:t>Reklamat dhe shitjet e drejtpërdrejta</w:t>
      </w:r>
    </w:p>
    <w:p>
      <w:pPr>
        <w:pStyle w:val="BodyText"/>
        <w:spacing w:before="7"/>
        <w:ind w:left="0" w:firstLine="0"/>
        <w:rPr>
          <w:b/>
          <w:sz w:val="21"/>
        </w:rPr>
      </w:pPr>
    </w:p>
    <w:p>
      <w:pPr>
        <w:pStyle w:val="ListParagraph"/>
        <w:numPr>
          <w:ilvl w:val="0"/>
          <w:numId w:val="80"/>
        </w:numPr>
        <w:tabs>
          <w:tab w:pos="1113" w:val="left" w:leader="none"/>
        </w:tabs>
        <w:spacing w:line="240" w:lineRule="auto" w:before="0" w:after="0"/>
        <w:ind w:left="121" w:right="113" w:firstLine="720"/>
        <w:jc w:val="both"/>
        <w:rPr>
          <w:sz w:val="22"/>
        </w:rPr>
      </w:pPr>
      <w:r>
        <w:rPr>
          <w:sz w:val="22"/>
        </w:rPr>
        <w:t>Transmetimi i një i programi në një shërbim transmetimi mund të përfshijë ndërfutjen e reklamave dhe shitjeve të drejtpërdrejta. Kohëzgjatja e reklamave ose shitjeve të drejtpërdrejta nuk duhet të kalojë 12 minuta për një orë transmetim. Këtu nuk përfshihen njoftimet e OSHMA-së, në lidhje me programet e veta dhe produktet ndihmëse për këto programe, njoftimet për sponsorizimin dhe vendosjen e mallrave në</w:t>
      </w:r>
      <w:r>
        <w:rPr>
          <w:spacing w:val="-1"/>
          <w:sz w:val="22"/>
        </w:rPr>
        <w:t> </w:t>
      </w:r>
      <w:r>
        <w:rPr>
          <w:sz w:val="22"/>
        </w:rPr>
        <w:t>programe.</w:t>
      </w:r>
    </w:p>
    <w:p>
      <w:pPr>
        <w:pStyle w:val="ListParagraph"/>
        <w:numPr>
          <w:ilvl w:val="0"/>
          <w:numId w:val="80"/>
        </w:numPr>
        <w:tabs>
          <w:tab w:pos="1079" w:val="left" w:leader="none"/>
        </w:tabs>
        <w:spacing w:line="240" w:lineRule="auto" w:before="0" w:after="0"/>
        <w:ind w:left="121" w:right="113" w:firstLine="720"/>
        <w:jc w:val="both"/>
        <w:rPr>
          <w:sz w:val="22"/>
        </w:rPr>
      </w:pPr>
      <w:r>
        <w:rPr>
          <w:sz w:val="22"/>
        </w:rPr>
        <w:t>OSHMA-ja nuk lejohet të transmetojë reklama me qëllime politike ose që kanë lidhje me një konflikt gjyqësor.</w:t>
      </w:r>
    </w:p>
    <w:p>
      <w:pPr>
        <w:spacing w:after="0" w:line="240" w:lineRule="auto"/>
        <w:jc w:val="both"/>
        <w:rPr>
          <w:sz w:val="22"/>
        </w:rPr>
        <w:sectPr>
          <w:pgSz w:w="12240" w:h="15840"/>
          <w:pgMar w:top="1360" w:bottom="280" w:left="1320" w:right="1320"/>
        </w:sectPr>
      </w:pPr>
    </w:p>
    <w:p>
      <w:pPr>
        <w:pStyle w:val="ListParagraph"/>
        <w:numPr>
          <w:ilvl w:val="0"/>
          <w:numId w:val="80"/>
        </w:numPr>
        <w:tabs>
          <w:tab w:pos="1064" w:val="left" w:leader="none"/>
        </w:tabs>
        <w:spacing w:line="240" w:lineRule="auto" w:before="74" w:after="0"/>
        <w:ind w:left="119" w:right="114" w:firstLine="720"/>
        <w:jc w:val="both"/>
        <w:rPr>
          <w:sz w:val="22"/>
        </w:rPr>
      </w:pPr>
      <w:r>
        <w:rPr>
          <w:sz w:val="22"/>
        </w:rPr>
        <w:t>Ofruesi i shërbimit mediatik nuk duhet të transmetojë reklama që i drejtohen një besimi fetar të caktuar, ose që kanë për qëllim reklamimin e një besimi fetar apo anëtarësimin në një organizatë</w:t>
      </w:r>
      <w:r>
        <w:rPr>
          <w:spacing w:val="-21"/>
          <w:sz w:val="22"/>
        </w:rPr>
        <w:t> </w:t>
      </w:r>
      <w:r>
        <w:rPr>
          <w:sz w:val="22"/>
        </w:rPr>
        <w:t>fetare.</w:t>
      </w:r>
    </w:p>
    <w:p>
      <w:pPr>
        <w:pStyle w:val="ListParagraph"/>
        <w:numPr>
          <w:ilvl w:val="0"/>
          <w:numId w:val="80"/>
        </w:numPr>
        <w:tabs>
          <w:tab w:pos="1111" w:val="left" w:leader="none"/>
        </w:tabs>
        <w:spacing w:line="240" w:lineRule="auto" w:before="0" w:after="0"/>
        <w:ind w:left="119" w:right="115" w:firstLine="720"/>
        <w:jc w:val="both"/>
        <w:rPr>
          <w:sz w:val="22"/>
        </w:rPr>
      </w:pPr>
      <w:r>
        <w:rPr>
          <w:sz w:val="22"/>
        </w:rPr>
        <w:t>Përcaktimi në pikën 2 të këtij neni nuk e ndalon OSHMA-në të paraqesë veprimtaritë e subjekteve politike, nëse OSHMA-ja, gjatë kohës së këtij transmetimi, nuk shfaq ndonjë parapëlqim për ndonjë forcë të caktuar</w:t>
      </w:r>
      <w:r>
        <w:rPr>
          <w:spacing w:val="-6"/>
          <w:sz w:val="22"/>
        </w:rPr>
        <w:t> </w:t>
      </w:r>
      <w:r>
        <w:rPr>
          <w:sz w:val="22"/>
        </w:rPr>
        <w:t>politike.</w:t>
      </w:r>
    </w:p>
    <w:p>
      <w:pPr>
        <w:pStyle w:val="ListParagraph"/>
        <w:numPr>
          <w:ilvl w:val="0"/>
          <w:numId w:val="80"/>
        </w:numPr>
        <w:tabs>
          <w:tab w:pos="1075" w:val="left" w:leader="none"/>
        </w:tabs>
        <w:spacing w:line="240" w:lineRule="auto" w:before="0" w:after="0"/>
        <w:ind w:left="119" w:right="115" w:firstLine="720"/>
        <w:jc w:val="both"/>
        <w:rPr>
          <w:sz w:val="22"/>
        </w:rPr>
      </w:pPr>
      <w:r>
        <w:rPr>
          <w:sz w:val="22"/>
        </w:rPr>
        <w:t>Përcaktimi në pikën 3 të këtij neni nuk e ndalon OSHMA-në të njoftojë se një gazetë, revistë ose periodik fetar ka dalë në shitje apo në qarkullim, si dhe se do të zhvillohet një veprimtari ose ceremoni, që ka lidhje me një besim të</w:t>
      </w:r>
      <w:r>
        <w:rPr>
          <w:spacing w:val="-7"/>
          <w:sz w:val="22"/>
        </w:rPr>
        <w:t> </w:t>
      </w:r>
      <w:r>
        <w:rPr>
          <w:sz w:val="22"/>
        </w:rPr>
        <w:t>caktuar.</w:t>
      </w:r>
    </w:p>
    <w:p>
      <w:pPr>
        <w:pStyle w:val="ListParagraph"/>
        <w:numPr>
          <w:ilvl w:val="0"/>
          <w:numId w:val="80"/>
        </w:numPr>
        <w:tabs>
          <w:tab w:pos="1099" w:val="left" w:leader="none"/>
        </w:tabs>
        <w:spacing w:line="240" w:lineRule="auto" w:before="0" w:after="0"/>
        <w:ind w:left="119" w:right="114" w:firstLine="720"/>
        <w:jc w:val="both"/>
        <w:rPr>
          <w:sz w:val="22"/>
        </w:rPr>
      </w:pPr>
      <w:r>
        <w:rPr>
          <w:sz w:val="22"/>
        </w:rPr>
        <w:t>Përcaktimet në pikën 2 të këtij neni nuk zbatohen për reklamat e transmetuara në rastin e fushatës zgjedhore, sipas përcaktimit të Kodit</w:t>
      </w:r>
      <w:r>
        <w:rPr>
          <w:spacing w:val="-7"/>
          <w:sz w:val="22"/>
        </w:rPr>
        <w:t> </w:t>
      </w:r>
      <w:r>
        <w:rPr>
          <w:sz w:val="22"/>
        </w:rPr>
        <w:t>Zgjedhor.</w:t>
      </w:r>
    </w:p>
    <w:p>
      <w:pPr>
        <w:pStyle w:val="ListParagraph"/>
        <w:numPr>
          <w:ilvl w:val="0"/>
          <w:numId w:val="80"/>
        </w:numPr>
        <w:tabs>
          <w:tab w:pos="1063" w:val="left" w:leader="none"/>
        </w:tabs>
        <w:spacing w:line="240" w:lineRule="auto" w:before="0" w:after="0"/>
        <w:ind w:left="119" w:right="115" w:firstLine="720"/>
        <w:jc w:val="both"/>
        <w:rPr>
          <w:sz w:val="22"/>
        </w:rPr>
      </w:pPr>
      <w:r>
        <w:rPr>
          <w:sz w:val="22"/>
        </w:rPr>
        <w:t>Përcaktimi i reklamës, sipas këtij neni, përfshin transmetimin e programeve të sponsorizuara, si dhe programet e përgatitura për qëllime reklamuese apo nga një subjekt</w:t>
      </w:r>
      <w:r>
        <w:rPr>
          <w:spacing w:val="-5"/>
          <w:sz w:val="22"/>
        </w:rPr>
        <w:t> </w:t>
      </w:r>
      <w:r>
        <w:rPr>
          <w:sz w:val="22"/>
        </w:rPr>
        <w:t>reklamues.</w:t>
      </w:r>
    </w:p>
    <w:p>
      <w:pPr>
        <w:pStyle w:val="BodyText"/>
        <w:spacing w:before="9"/>
        <w:ind w:left="0" w:firstLine="0"/>
        <w:rPr>
          <w:sz w:val="21"/>
        </w:rPr>
      </w:pPr>
    </w:p>
    <w:p>
      <w:pPr>
        <w:pStyle w:val="BodyText"/>
        <w:spacing w:before="1"/>
        <w:ind w:left="146" w:right="146" w:firstLine="0"/>
        <w:jc w:val="center"/>
      </w:pPr>
      <w:r>
        <w:rPr/>
        <w:t>Neni 42</w:t>
      </w:r>
    </w:p>
    <w:p>
      <w:pPr>
        <w:pStyle w:val="Heading1"/>
        <w:spacing w:before="6"/>
      </w:pPr>
      <w:r>
        <w:rPr/>
        <w:t>Komunikimet me natyrë tregtare</w:t>
      </w:r>
    </w:p>
    <w:p>
      <w:pPr>
        <w:pStyle w:val="BodyText"/>
        <w:spacing w:before="7"/>
        <w:ind w:left="0" w:firstLine="0"/>
        <w:rPr>
          <w:b/>
          <w:sz w:val="21"/>
        </w:rPr>
      </w:pPr>
    </w:p>
    <w:p>
      <w:pPr>
        <w:pStyle w:val="ListParagraph"/>
        <w:numPr>
          <w:ilvl w:val="0"/>
          <w:numId w:val="81"/>
        </w:numPr>
        <w:tabs>
          <w:tab w:pos="1118" w:val="left" w:leader="none"/>
        </w:tabs>
        <w:spacing w:line="240" w:lineRule="auto" w:before="0" w:after="0"/>
        <w:ind w:left="119" w:right="114" w:firstLine="720"/>
        <w:jc w:val="left"/>
        <w:rPr>
          <w:sz w:val="22"/>
        </w:rPr>
      </w:pPr>
      <w:r>
        <w:rPr>
          <w:sz w:val="22"/>
        </w:rPr>
        <w:t>Komunikimet me natyrë tregtare në transmetimet audiovizive duhet të jenë qartësisht të dallueshme si të tilla. Komunikimet me natyrë tregtare të fshehura janë të</w:t>
      </w:r>
      <w:r>
        <w:rPr>
          <w:spacing w:val="-13"/>
          <w:sz w:val="22"/>
        </w:rPr>
        <w:t> </w:t>
      </w:r>
      <w:r>
        <w:rPr>
          <w:sz w:val="22"/>
        </w:rPr>
        <w:t>ndaluara.</w:t>
      </w:r>
    </w:p>
    <w:p>
      <w:pPr>
        <w:pStyle w:val="ListParagraph"/>
        <w:numPr>
          <w:ilvl w:val="0"/>
          <w:numId w:val="81"/>
        </w:numPr>
        <w:tabs>
          <w:tab w:pos="1061" w:val="left" w:leader="none"/>
        </w:tabs>
        <w:spacing w:line="242" w:lineRule="auto" w:before="0" w:after="0"/>
        <w:ind w:left="119" w:right="116" w:firstLine="720"/>
        <w:jc w:val="left"/>
        <w:rPr>
          <w:sz w:val="22"/>
        </w:rPr>
      </w:pPr>
      <w:r>
        <w:rPr>
          <w:sz w:val="22"/>
        </w:rPr>
        <w:t>Komunikimet me natyrë tregtare në transmetimet audiovizive nuk lejohet të përdorin mënyra të joshjes së shikuesve në mënyrë të pandërgjegjshme dhe teknika për sugjestionimin e</w:t>
      </w:r>
      <w:r>
        <w:rPr>
          <w:spacing w:val="-7"/>
          <w:sz w:val="22"/>
        </w:rPr>
        <w:t> </w:t>
      </w:r>
      <w:r>
        <w:rPr>
          <w:sz w:val="22"/>
        </w:rPr>
        <w:t>tyre.</w:t>
      </w:r>
    </w:p>
    <w:p>
      <w:pPr>
        <w:pStyle w:val="ListParagraph"/>
        <w:numPr>
          <w:ilvl w:val="0"/>
          <w:numId w:val="81"/>
        </w:numPr>
        <w:tabs>
          <w:tab w:pos="1061" w:val="left" w:leader="none"/>
        </w:tabs>
        <w:spacing w:line="248" w:lineRule="exact" w:before="0" w:after="0"/>
        <w:ind w:left="1060" w:right="0" w:hanging="222"/>
        <w:jc w:val="left"/>
        <w:rPr>
          <w:sz w:val="22"/>
        </w:rPr>
      </w:pPr>
      <w:r>
        <w:rPr>
          <w:sz w:val="22"/>
        </w:rPr>
        <w:t>Komunikimet me natyrë tregtare në transmetimet audiovizive nuk</w:t>
      </w:r>
      <w:r>
        <w:rPr>
          <w:spacing w:val="-5"/>
          <w:sz w:val="22"/>
        </w:rPr>
        <w:t> </w:t>
      </w:r>
      <w:r>
        <w:rPr>
          <w:sz w:val="22"/>
        </w:rPr>
        <w:t>lejohet:</w:t>
      </w:r>
    </w:p>
    <w:p>
      <w:pPr>
        <w:pStyle w:val="ListParagraph"/>
        <w:numPr>
          <w:ilvl w:val="0"/>
          <w:numId w:val="82"/>
        </w:numPr>
        <w:tabs>
          <w:tab w:pos="1068" w:val="left" w:leader="none"/>
        </w:tabs>
        <w:spacing w:line="252" w:lineRule="exact" w:before="0" w:after="0"/>
        <w:ind w:left="1067" w:right="0" w:hanging="229"/>
        <w:jc w:val="left"/>
        <w:rPr>
          <w:sz w:val="22"/>
        </w:rPr>
      </w:pPr>
      <w:r>
        <w:rPr>
          <w:sz w:val="22"/>
        </w:rPr>
        <w:t>të prekin dinjitetin</w:t>
      </w:r>
      <w:r>
        <w:rPr>
          <w:spacing w:val="-1"/>
          <w:sz w:val="22"/>
        </w:rPr>
        <w:t> </w:t>
      </w:r>
      <w:r>
        <w:rPr>
          <w:sz w:val="22"/>
        </w:rPr>
        <w:t>njerëzor;</w:t>
      </w:r>
    </w:p>
    <w:p>
      <w:pPr>
        <w:pStyle w:val="ListParagraph"/>
        <w:numPr>
          <w:ilvl w:val="0"/>
          <w:numId w:val="82"/>
        </w:numPr>
        <w:tabs>
          <w:tab w:pos="1080" w:val="left" w:leader="none"/>
        </w:tabs>
        <w:spacing w:line="240" w:lineRule="auto" w:before="0" w:after="0"/>
        <w:ind w:left="119" w:right="114" w:firstLine="720"/>
        <w:jc w:val="left"/>
        <w:rPr>
          <w:sz w:val="22"/>
        </w:rPr>
      </w:pPr>
      <w:r>
        <w:rPr>
          <w:sz w:val="22"/>
        </w:rPr>
        <w:t>të përfshijnë ose të mbështesin diskriminimin në bazë seksi, race ose origjine etnike, kombësie, moshe, besimi, feje, paaftësie ose orientimi</w:t>
      </w:r>
      <w:r>
        <w:rPr>
          <w:spacing w:val="54"/>
          <w:sz w:val="22"/>
        </w:rPr>
        <w:t> </w:t>
      </w:r>
      <w:r>
        <w:rPr>
          <w:sz w:val="22"/>
        </w:rPr>
        <w:t>seksual;</w:t>
      </w:r>
    </w:p>
    <w:p>
      <w:pPr>
        <w:pStyle w:val="ListParagraph"/>
        <w:numPr>
          <w:ilvl w:val="0"/>
          <w:numId w:val="82"/>
        </w:numPr>
        <w:tabs>
          <w:tab w:pos="1068" w:val="left" w:leader="none"/>
        </w:tabs>
        <w:spacing w:line="240" w:lineRule="auto" w:before="0" w:after="0"/>
        <w:ind w:left="839" w:right="1850" w:firstLine="0"/>
        <w:jc w:val="left"/>
        <w:rPr>
          <w:sz w:val="22"/>
        </w:rPr>
      </w:pPr>
      <w:r>
        <w:rPr>
          <w:sz w:val="22"/>
        </w:rPr>
        <w:t>të nxisin sjelljen e dëmshme për shëndetin dhe sigurinë fizike të individëve; ç) të nxisin sjelljen apo veprimet e dëmshme për mbrojtjen e</w:t>
      </w:r>
      <w:r>
        <w:rPr>
          <w:spacing w:val="-7"/>
          <w:sz w:val="22"/>
        </w:rPr>
        <w:t> </w:t>
      </w:r>
      <w:r>
        <w:rPr>
          <w:sz w:val="22"/>
        </w:rPr>
        <w:t>mjedisit.</w:t>
      </w:r>
    </w:p>
    <w:p>
      <w:pPr>
        <w:pStyle w:val="ListParagraph"/>
        <w:numPr>
          <w:ilvl w:val="0"/>
          <w:numId w:val="81"/>
        </w:numPr>
        <w:tabs>
          <w:tab w:pos="1080" w:val="left" w:leader="none"/>
        </w:tabs>
        <w:spacing w:line="240" w:lineRule="auto" w:before="0" w:after="0"/>
        <w:ind w:left="119" w:right="114" w:firstLine="720"/>
        <w:jc w:val="both"/>
        <w:rPr>
          <w:sz w:val="22"/>
        </w:rPr>
      </w:pPr>
      <w:r>
        <w:rPr>
          <w:sz w:val="22"/>
        </w:rPr>
        <w:t>Të gjitha format e komunikimeve me natyrë tregtare në transmetimet audiovizive për cigaret dhe produktet e tjera të duhanit janë të</w:t>
      </w:r>
      <w:r>
        <w:rPr>
          <w:spacing w:val="-9"/>
          <w:sz w:val="22"/>
        </w:rPr>
        <w:t> </w:t>
      </w:r>
      <w:r>
        <w:rPr>
          <w:sz w:val="22"/>
        </w:rPr>
        <w:t>ndaluara.</w:t>
      </w:r>
    </w:p>
    <w:p>
      <w:pPr>
        <w:pStyle w:val="ListParagraph"/>
        <w:numPr>
          <w:ilvl w:val="0"/>
          <w:numId w:val="81"/>
        </w:numPr>
        <w:tabs>
          <w:tab w:pos="1061" w:val="left" w:leader="none"/>
        </w:tabs>
        <w:spacing w:line="240" w:lineRule="auto" w:before="0" w:after="0"/>
        <w:ind w:left="119" w:right="115" w:firstLine="720"/>
        <w:jc w:val="both"/>
        <w:rPr>
          <w:sz w:val="22"/>
        </w:rPr>
      </w:pPr>
      <w:r>
        <w:rPr>
          <w:sz w:val="22"/>
        </w:rPr>
        <w:t>Komunikimet me natyrë tregtare në transmetimet audiovizive për pijet alkoolike nuk lejohet t’u drejtohen veçanërisht fëmijëve, duhet të shmangin ndjekjen e tyre nga të miturit dhe nuk duhet të nxisin përdorimin e tepruar të tyre për të</w:t>
      </w:r>
      <w:r>
        <w:rPr>
          <w:spacing w:val="-9"/>
          <w:sz w:val="22"/>
        </w:rPr>
        <w:t> </w:t>
      </w:r>
      <w:r>
        <w:rPr>
          <w:sz w:val="22"/>
        </w:rPr>
        <w:t>rriturit;</w:t>
      </w:r>
    </w:p>
    <w:p>
      <w:pPr>
        <w:pStyle w:val="ListParagraph"/>
        <w:numPr>
          <w:ilvl w:val="0"/>
          <w:numId w:val="81"/>
        </w:numPr>
        <w:tabs>
          <w:tab w:pos="1077" w:val="left" w:leader="none"/>
        </w:tabs>
        <w:spacing w:line="240" w:lineRule="auto" w:before="0" w:after="0"/>
        <w:ind w:left="119" w:right="114" w:firstLine="720"/>
        <w:jc w:val="both"/>
        <w:rPr>
          <w:sz w:val="22"/>
        </w:rPr>
      </w:pPr>
      <w:r>
        <w:rPr>
          <w:sz w:val="22"/>
        </w:rPr>
        <w:t>Komunikimet me natyrë tregtare në transmetimet audiovizive për produktet farmaceutike apo produktet dhe trajtimet mjekësore, që jepen vetëm me recetën e mjekut, janë të</w:t>
      </w:r>
      <w:r>
        <w:rPr>
          <w:spacing w:val="-13"/>
          <w:sz w:val="22"/>
        </w:rPr>
        <w:t> </w:t>
      </w:r>
      <w:r>
        <w:rPr>
          <w:sz w:val="22"/>
        </w:rPr>
        <w:t>ndaluara.</w:t>
      </w:r>
    </w:p>
    <w:p>
      <w:pPr>
        <w:pStyle w:val="ListParagraph"/>
        <w:numPr>
          <w:ilvl w:val="0"/>
          <w:numId w:val="81"/>
        </w:numPr>
        <w:tabs>
          <w:tab w:pos="1061" w:val="left" w:leader="none"/>
        </w:tabs>
        <w:spacing w:line="240" w:lineRule="auto" w:before="0" w:after="0"/>
        <w:ind w:left="119" w:right="113" w:firstLine="720"/>
        <w:jc w:val="both"/>
        <w:rPr>
          <w:sz w:val="22"/>
        </w:rPr>
      </w:pPr>
      <w:r>
        <w:rPr>
          <w:sz w:val="22"/>
        </w:rPr>
        <w:t>Komunikimet me natyrë tregtare në transmetimet audiovizive duhet të parandalojnë shkaktimin e dëmeve morale dhe fizike për të miturit, si dhe të mos i ekspozojnë ata në mënyrë abuzive në situata të rrezikshme për ta. Për këtë ato nuk duhet të nxisin apo të shtyjnë të miturit të blejnë apo të marrin prodhime ose shërbime, duke i nxitur drejtpërsëdrejti për të kërkuar nga prindërit ose të tjerë persona të afërm t’u marrin mallrat apo shërbimet e reklamuara, ose të shfrytëzojnë pozitën e fëmijëve në raport me prindërit, mësuesit ose persona të tjerë të afërm të</w:t>
      </w:r>
      <w:r>
        <w:rPr>
          <w:spacing w:val="-6"/>
          <w:sz w:val="22"/>
        </w:rPr>
        <w:t> </w:t>
      </w:r>
      <w:r>
        <w:rPr>
          <w:sz w:val="22"/>
        </w:rPr>
        <w:t>tyre.</w:t>
      </w:r>
    </w:p>
    <w:p>
      <w:pPr>
        <w:pStyle w:val="ListParagraph"/>
        <w:numPr>
          <w:ilvl w:val="0"/>
          <w:numId w:val="81"/>
        </w:numPr>
        <w:tabs>
          <w:tab w:pos="1075" w:val="left" w:leader="none"/>
        </w:tabs>
        <w:spacing w:line="240" w:lineRule="auto" w:before="0" w:after="0"/>
        <w:ind w:left="119" w:right="115" w:firstLine="720"/>
        <w:jc w:val="both"/>
        <w:rPr>
          <w:sz w:val="22"/>
        </w:rPr>
      </w:pPr>
      <w:r>
        <w:rPr>
          <w:sz w:val="22"/>
        </w:rPr>
        <w:t>Shërbimet e transmetimeve audiovizive duhet të hartojnë dhe zbatojnë kode sjelljeje në lidhje me komunikimet e papërshtatshme me natyrë tregtare në transmetimet e tyre, që shoqërojnë ose përfshihen në programet për të mitur, të ushqimeve dhe pijeve, që përmbajnë substanca të dëmshme ose të padobishme për shëndetin fizik të të miturve, veçanërisht ato me përmbajtje të lartë yndyre, acide yndyrore, kripe, sode e sheqeri, që janë tej normave të lejuara për një dietë ushqimore të shëndetshme për të miturit, sipas orientimeve të</w:t>
      </w:r>
      <w:r>
        <w:rPr>
          <w:spacing w:val="-4"/>
          <w:sz w:val="22"/>
        </w:rPr>
        <w:t> </w:t>
      </w:r>
      <w:r>
        <w:rPr>
          <w:sz w:val="22"/>
        </w:rPr>
        <w:t>AMA-s.</w:t>
      </w:r>
    </w:p>
    <w:p>
      <w:pPr>
        <w:pStyle w:val="BodyText"/>
        <w:spacing w:before="9"/>
        <w:ind w:left="0" w:firstLine="0"/>
        <w:rPr>
          <w:sz w:val="21"/>
        </w:rPr>
      </w:pPr>
    </w:p>
    <w:p>
      <w:pPr>
        <w:pStyle w:val="BodyText"/>
        <w:ind w:left="146" w:right="147" w:firstLine="0"/>
        <w:jc w:val="center"/>
      </w:pPr>
      <w:r>
        <w:rPr/>
        <w:t>Neni 43</w:t>
      </w:r>
    </w:p>
    <w:p>
      <w:pPr>
        <w:pStyle w:val="Heading1"/>
      </w:pPr>
      <w:r>
        <w:rPr/>
        <w:t>Kushtet për reklamat dhe shitjet e drejtpërdrejta</w:t>
      </w:r>
    </w:p>
    <w:p>
      <w:pPr>
        <w:pStyle w:val="BodyText"/>
        <w:spacing w:before="10"/>
        <w:ind w:left="0" w:firstLine="0"/>
        <w:rPr>
          <w:b/>
          <w:sz w:val="27"/>
        </w:rPr>
      </w:pPr>
    </w:p>
    <w:p>
      <w:pPr>
        <w:pStyle w:val="ListParagraph"/>
        <w:numPr>
          <w:ilvl w:val="0"/>
          <w:numId w:val="83"/>
        </w:numPr>
        <w:tabs>
          <w:tab w:pos="1071" w:val="left" w:leader="none"/>
        </w:tabs>
        <w:spacing w:line="240" w:lineRule="auto" w:before="0" w:after="0"/>
        <w:ind w:left="1070" w:right="0" w:hanging="231"/>
        <w:jc w:val="left"/>
        <w:rPr>
          <w:sz w:val="22"/>
        </w:rPr>
      </w:pPr>
      <w:r>
        <w:rPr>
          <w:sz w:val="22"/>
        </w:rPr>
        <w:t>Reklama</w:t>
      </w:r>
      <w:r>
        <w:rPr>
          <w:spacing w:val="8"/>
          <w:sz w:val="22"/>
        </w:rPr>
        <w:t> </w:t>
      </w:r>
      <w:r>
        <w:rPr>
          <w:sz w:val="22"/>
        </w:rPr>
        <w:t>dhe</w:t>
      </w:r>
      <w:r>
        <w:rPr>
          <w:spacing w:val="9"/>
          <w:sz w:val="22"/>
        </w:rPr>
        <w:t> </w:t>
      </w:r>
      <w:r>
        <w:rPr>
          <w:sz w:val="22"/>
        </w:rPr>
        <w:t>shitjet</w:t>
      </w:r>
      <w:r>
        <w:rPr>
          <w:spacing w:val="9"/>
          <w:sz w:val="22"/>
        </w:rPr>
        <w:t> </w:t>
      </w:r>
      <w:r>
        <w:rPr>
          <w:sz w:val="22"/>
        </w:rPr>
        <w:t>e</w:t>
      </w:r>
      <w:r>
        <w:rPr>
          <w:spacing w:val="9"/>
          <w:sz w:val="22"/>
        </w:rPr>
        <w:t> </w:t>
      </w:r>
      <w:r>
        <w:rPr>
          <w:sz w:val="22"/>
        </w:rPr>
        <w:t>drejtpërdrejta</w:t>
      </w:r>
      <w:r>
        <w:rPr>
          <w:spacing w:val="9"/>
          <w:sz w:val="22"/>
        </w:rPr>
        <w:t> </w:t>
      </w:r>
      <w:r>
        <w:rPr>
          <w:sz w:val="22"/>
        </w:rPr>
        <w:t>duhet</w:t>
      </w:r>
      <w:r>
        <w:rPr>
          <w:spacing w:val="9"/>
          <w:sz w:val="22"/>
        </w:rPr>
        <w:t> </w:t>
      </w:r>
      <w:r>
        <w:rPr>
          <w:sz w:val="22"/>
        </w:rPr>
        <w:t>të</w:t>
      </w:r>
      <w:r>
        <w:rPr>
          <w:spacing w:val="6"/>
          <w:sz w:val="22"/>
        </w:rPr>
        <w:t> </w:t>
      </w:r>
      <w:r>
        <w:rPr>
          <w:sz w:val="22"/>
        </w:rPr>
        <w:t>jenë</w:t>
      </w:r>
      <w:r>
        <w:rPr>
          <w:spacing w:val="9"/>
          <w:sz w:val="22"/>
        </w:rPr>
        <w:t> </w:t>
      </w:r>
      <w:r>
        <w:rPr>
          <w:sz w:val="22"/>
        </w:rPr>
        <w:t>të</w:t>
      </w:r>
      <w:r>
        <w:rPr>
          <w:spacing w:val="6"/>
          <w:sz w:val="22"/>
        </w:rPr>
        <w:t> </w:t>
      </w:r>
      <w:r>
        <w:rPr>
          <w:sz w:val="22"/>
        </w:rPr>
        <w:t>dallueshme</w:t>
      </w:r>
      <w:r>
        <w:rPr>
          <w:spacing w:val="9"/>
          <w:sz w:val="22"/>
        </w:rPr>
        <w:t> </w:t>
      </w:r>
      <w:r>
        <w:rPr>
          <w:sz w:val="22"/>
        </w:rPr>
        <w:t>dhe</w:t>
      </w:r>
      <w:r>
        <w:rPr>
          <w:spacing w:val="8"/>
          <w:sz w:val="22"/>
        </w:rPr>
        <w:t> </w:t>
      </w:r>
      <w:r>
        <w:rPr>
          <w:sz w:val="22"/>
        </w:rPr>
        <w:t>të</w:t>
      </w:r>
      <w:r>
        <w:rPr>
          <w:spacing w:val="9"/>
          <w:sz w:val="22"/>
        </w:rPr>
        <w:t> </w:t>
      </w:r>
      <w:r>
        <w:rPr>
          <w:sz w:val="22"/>
        </w:rPr>
        <w:t>veçanta</w:t>
      </w:r>
      <w:r>
        <w:rPr>
          <w:spacing w:val="6"/>
          <w:sz w:val="22"/>
        </w:rPr>
        <w:t> </w:t>
      </w:r>
      <w:r>
        <w:rPr>
          <w:sz w:val="22"/>
        </w:rPr>
        <w:t>nga</w:t>
      </w:r>
      <w:r>
        <w:rPr>
          <w:spacing w:val="9"/>
          <w:sz w:val="22"/>
        </w:rPr>
        <w:t> </w:t>
      </w:r>
      <w:r>
        <w:rPr>
          <w:sz w:val="22"/>
        </w:rPr>
        <w:t>përmbajtja</w:t>
      </w:r>
    </w:p>
    <w:p>
      <w:pPr>
        <w:spacing w:after="0" w:line="240" w:lineRule="auto"/>
        <w:jc w:val="left"/>
        <w:rPr>
          <w:sz w:val="22"/>
        </w:rPr>
        <w:sectPr>
          <w:pgSz w:w="12240" w:h="15840"/>
          <w:pgMar w:top="1360" w:bottom="280" w:left="1320" w:right="1320"/>
        </w:sectPr>
      </w:pPr>
    </w:p>
    <w:p>
      <w:pPr>
        <w:pStyle w:val="BodyText"/>
        <w:spacing w:before="74"/>
        <w:ind w:right="116" w:firstLine="0"/>
        <w:jc w:val="both"/>
      </w:pPr>
      <w:r>
        <w:rPr/>
        <w:t>tjetër që është nën përgjegjësinë editoriale dhe të veçohen nga pjesa tjetër e përmbajtjes së programit edhe kur mund të transmetohen njëkohësisht, nëpërmjet mënyrave pamore dhe/ose zanore dhe/ose ndarjes së hapësirës së tyre në ekran.</w:t>
      </w:r>
    </w:p>
    <w:p>
      <w:pPr>
        <w:pStyle w:val="ListParagraph"/>
        <w:numPr>
          <w:ilvl w:val="0"/>
          <w:numId w:val="83"/>
        </w:numPr>
        <w:tabs>
          <w:tab w:pos="1124" w:val="left" w:leader="none"/>
        </w:tabs>
        <w:spacing w:line="240" w:lineRule="auto" w:before="0" w:after="0"/>
        <w:ind w:left="120" w:right="112" w:firstLine="720"/>
        <w:jc w:val="both"/>
        <w:rPr>
          <w:sz w:val="22"/>
        </w:rPr>
      </w:pPr>
      <w:r>
        <w:rPr>
          <w:sz w:val="22"/>
        </w:rPr>
        <w:t>Spotet e reklamave dhe shitjeve të drejtpërdrejta të izoluara mund të lejohen vetëm në programet sportive.</w:t>
      </w:r>
    </w:p>
    <w:p>
      <w:pPr>
        <w:pStyle w:val="ListParagraph"/>
        <w:numPr>
          <w:ilvl w:val="0"/>
          <w:numId w:val="83"/>
        </w:numPr>
        <w:tabs>
          <w:tab w:pos="1090" w:val="left" w:leader="none"/>
        </w:tabs>
        <w:spacing w:line="240" w:lineRule="auto" w:before="0" w:after="0"/>
        <w:ind w:left="120" w:right="115" w:firstLine="720"/>
        <w:jc w:val="both"/>
        <w:rPr>
          <w:sz w:val="22"/>
        </w:rPr>
      </w:pPr>
      <w:r>
        <w:rPr>
          <w:sz w:val="22"/>
        </w:rPr>
        <w:t>Transmetimi i filmave, veprave kinematografike dhe programeve të reja mund të ndërpriten nga reklama ose shitje të drejtpërdrejta jo më shpesh se çdo 30 minuta. Këtu nuk përfshihen serialet dhe dokumentarët.</w:t>
      </w:r>
    </w:p>
    <w:p>
      <w:pPr>
        <w:pStyle w:val="ListParagraph"/>
        <w:numPr>
          <w:ilvl w:val="0"/>
          <w:numId w:val="83"/>
        </w:numPr>
        <w:tabs>
          <w:tab w:pos="1064" w:val="left" w:leader="none"/>
        </w:tabs>
        <w:spacing w:line="240" w:lineRule="auto" w:before="0" w:after="0"/>
        <w:ind w:left="120" w:right="113" w:firstLine="720"/>
        <w:jc w:val="both"/>
        <w:rPr>
          <w:sz w:val="22"/>
        </w:rPr>
      </w:pPr>
      <w:r>
        <w:rPr>
          <w:sz w:val="22"/>
        </w:rPr>
        <w:t>Transmetimi i programeve për të miturit mund të ndërpritet nga spote reklamash ose shitjesh të drejtpërdrejta jo më shpesh se çdo 30 minuta, nëse kohëzgjatja e programit është më shumë se 30</w:t>
      </w:r>
      <w:r>
        <w:rPr>
          <w:spacing w:val="-22"/>
          <w:sz w:val="22"/>
        </w:rPr>
        <w:t> </w:t>
      </w:r>
      <w:r>
        <w:rPr>
          <w:sz w:val="22"/>
        </w:rPr>
        <w:t>minuta.</w:t>
      </w:r>
    </w:p>
    <w:p>
      <w:pPr>
        <w:pStyle w:val="ListParagraph"/>
        <w:numPr>
          <w:ilvl w:val="0"/>
          <w:numId w:val="83"/>
        </w:numPr>
        <w:tabs>
          <w:tab w:pos="1088" w:val="left" w:leader="none"/>
        </w:tabs>
        <w:spacing w:line="240" w:lineRule="auto" w:before="0" w:after="0"/>
        <w:ind w:left="1087" w:right="0" w:hanging="249"/>
        <w:jc w:val="both"/>
        <w:rPr>
          <w:sz w:val="22"/>
        </w:rPr>
      </w:pPr>
      <w:r>
        <w:rPr>
          <w:sz w:val="22"/>
        </w:rPr>
        <w:t>Nuk</w:t>
      </w:r>
      <w:r>
        <w:rPr>
          <w:spacing w:val="22"/>
          <w:sz w:val="22"/>
        </w:rPr>
        <w:t> </w:t>
      </w:r>
      <w:r>
        <w:rPr>
          <w:sz w:val="22"/>
        </w:rPr>
        <w:t>lejohet</w:t>
      </w:r>
      <w:r>
        <w:rPr>
          <w:spacing w:val="26"/>
          <w:sz w:val="22"/>
        </w:rPr>
        <w:t> </w:t>
      </w:r>
      <w:r>
        <w:rPr>
          <w:sz w:val="22"/>
        </w:rPr>
        <w:t>ndërfutja</w:t>
      </w:r>
      <w:r>
        <w:rPr>
          <w:spacing w:val="26"/>
          <w:sz w:val="22"/>
        </w:rPr>
        <w:t> </w:t>
      </w:r>
      <w:r>
        <w:rPr>
          <w:sz w:val="22"/>
        </w:rPr>
        <w:t>e</w:t>
      </w:r>
      <w:r>
        <w:rPr>
          <w:spacing w:val="23"/>
          <w:sz w:val="22"/>
        </w:rPr>
        <w:t> </w:t>
      </w:r>
      <w:r>
        <w:rPr>
          <w:sz w:val="22"/>
        </w:rPr>
        <w:t>reklamave</w:t>
      </w:r>
      <w:r>
        <w:rPr>
          <w:spacing w:val="25"/>
          <w:sz w:val="22"/>
        </w:rPr>
        <w:t> </w:t>
      </w:r>
      <w:r>
        <w:rPr>
          <w:sz w:val="22"/>
        </w:rPr>
        <w:t>ose</w:t>
      </w:r>
      <w:r>
        <w:rPr>
          <w:spacing w:val="26"/>
          <w:sz w:val="22"/>
        </w:rPr>
        <w:t> </w:t>
      </w:r>
      <w:r>
        <w:rPr>
          <w:sz w:val="22"/>
        </w:rPr>
        <w:t>shitjeve</w:t>
      </w:r>
      <w:r>
        <w:rPr>
          <w:spacing w:val="25"/>
          <w:sz w:val="22"/>
        </w:rPr>
        <w:t> </w:t>
      </w:r>
      <w:r>
        <w:rPr>
          <w:sz w:val="22"/>
        </w:rPr>
        <w:t>të</w:t>
      </w:r>
      <w:r>
        <w:rPr>
          <w:spacing w:val="26"/>
          <w:sz w:val="22"/>
        </w:rPr>
        <w:t> </w:t>
      </w:r>
      <w:r>
        <w:rPr>
          <w:sz w:val="22"/>
        </w:rPr>
        <w:t>drejtpërdrejta</w:t>
      </w:r>
      <w:r>
        <w:rPr>
          <w:spacing w:val="26"/>
          <w:sz w:val="22"/>
        </w:rPr>
        <w:t> </w:t>
      </w:r>
      <w:r>
        <w:rPr>
          <w:sz w:val="22"/>
        </w:rPr>
        <w:t>gjatë</w:t>
      </w:r>
      <w:r>
        <w:rPr>
          <w:spacing w:val="25"/>
          <w:sz w:val="22"/>
        </w:rPr>
        <w:t> </w:t>
      </w:r>
      <w:r>
        <w:rPr>
          <w:sz w:val="22"/>
        </w:rPr>
        <w:t>programeve</w:t>
      </w:r>
      <w:r>
        <w:rPr>
          <w:spacing w:val="27"/>
          <w:sz w:val="22"/>
        </w:rPr>
        <w:t> </w:t>
      </w:r>
      <w:r>
        <w:rPr>
          <w:sz w:val="22"/>
        </w:rPr>
        <w:t>me</w:t>
      </w:r>
      <w:r>
        <w:rPr>
          <w:spacing w:val="26"/>
          <w:sz w:val="22"/>
        </w:rPr>
        <w:t> </w:t>
      </w:r>
      <w:r>
        <w:rPr>
          <w:sz w:val="22"/>
        </w:rPr>
        <w:t>natyrë</w:t>
      </w:r>
    </w:p>
    <w:p>
      <w:pPr>
        <w:pStyle w:val="BodyText"/>
        <w:spacing w:line="251" w:lineRule="exact"/>
        <w:ind w:left="119" w:firstLine="0"/>
      </w:pPr>
      <w:r>
        <w:rPr/>
        <w:t>fetare.</w:t>
      </w:r>
    </w:p>
    <w:p>
      <w:pPr>
        <w:pStyle w:val="ListParagraph"/>
        <w:numPr>
          <w:ilvl w:val="0"/>
          <w:numId w:val="83"/>
        </w:numPr>
        <w:tabs>
          <w:tab w:pos="1061" w:val="left" w:leader="none"/>
        </w:tabs>
        <w:spacing w:line="252" w:lineRule="exact" w:before="1" w:after="0"/>
        <w:ind w:left="1060" w:right="0" w:hanging="222"/>
        <w:jc w:val="left"/>
        <w:rPr>
          <w:sz w:val="22"/>
        </w:rPr>
      </w:pPr>
      <w:r>
        <w:rPr>
          <w:sz w:val="22"/>
        </w:rPr>
        <w:t>Ndalohen shitjet e drejtpërdrejta për barnat, produktet farmaceutike dhe shërbimet</w:t>
      </w:r>
      <w:r>
        <w:rPr>
          <w:spacing w:val="-19"/>
          <w:sz w:val="22"/>
        </w:rPr>
        <w:t> </w:t>
      </w:r>
      <w:r>
        <w:rPr>
          <w:sz w:val="22"/>
        </w:rPr>
        <w:t>mjekësore.</w:t>
      </w:r>
    </w:p>
    <w:p>
      <w:pPr>
        <w:pStyle w:val="ListParagraph"/>
        <w:numPr>
          <w:ilvl w:val="0"/>
          <w:numId w:val="83"/>
        </w:numPr>
        <w:tabs>
          <w:tab w:pos="1121" w:val="left" w:leader="none"/>
        </w:tabs>
        <w:spacing w:line="252" w:lineRule="exact" w:before="0" w:after="0"/>
        <w:ind w:left="1120" w:right="0" w:hanging="282"/>
        <w:jc w:val="left"/>
        <w:rPr>
          <w:sz w:val="22"/>
        </w:rPr>
      </w:pPr>
      <w:r>
        <w:rPr>
          <w:sz w:val="22"/>
        </w:rPr>
        <w:t>Reklamat dhe shitjet e drejtpërdrejta për pijet alkoolike duhet të përmbushin kërkesat</w:t>
      </w:r>
      <w:r>
        <w:rPr>
          <w:spacing w:val="30"/>
          <w:sz w:val="22"/>
        </w:rPr>
        <w:t> </w:t>
      </w:r>
      <w:r>
        <w:rPr>
          <w:sz w:val="22"/>
        </w:rPr>
        <w:t>e</w:t>
      </w:r>
    </w:p>
    <w:p>
      <w:pPr>
        <w:pStyle w:val="BodyText"/>
        <w:spacing w:line="252" w:lineRule="exact" w:before="1"/>
        <w:ind w:left="119" w:firstLine="0"/>
      </w:pPr>
      <w:r>
        <w:rPr/>
        <w:t>mëposhtme:</w:t>
      </w:r>
    </w:p>
    <w:p>
      <w:pPr>
        <w:pStyle w:val="ListParagraph"/>
        <w:numPr>
          <w:ilvl w:val="0"/>
          <w:numId w:val="84"/>
        </w:numPr>
        <w:tabs>
          <w:tab w:pos="1068" w:val="left" w:leader="none"/>
        </w:tabs>
        <w:spacing w:line="252" w:lineRule="exact" w:before="0" w:after="0"/>
        <w:ind w:left="1067" w:right="0" w:hanging="229"/>
        <w:jc w:val="left"/>
        <w:rPr>
          <w:sz w:val="22"/>
        </w:rPr>
      </w:pPr>
      <w:r>
        <w:rPr>
          <w:sz w:val="22"/>
        </w:rPr>
        <w:t>nuk duhet t’u drejtohen të miturve ose t’i paraqesin të miturit duke i konsumuar këto</w:t>
      </w:r>
      <w:r>
        <w:rPr>
          <w:spacing w:val="-17"/>
          <w:sz w:val="22"/>
        </w:rPr>
        <w:t> </w:t>
      </w:r>
      <w:r>
        <w:rPr>
          <w:sz w:val="22"/>
        </w:rPr>
        <w:t>pije;</w:t>
      </w:r>
    </w:p>
    <w:p>
      <w:pPr>
        <w:pStyle w:val="ListParagraph"/>
        <w:numPr>
          <w:ilvl w:val="0"/>
          <w:numId w:val="84"/>
        </w:numPr>
        <w:tabs>
          <w:tab w:pos="1090" w:val="left" w:leader="none"/>
        </w:tabs>
        <w:spacing w:line="240" w:lineRule="auto" w:before="2" w:after="0"/>
        <w:ind w:left="119" w:right="115" w:firstLine="720"/>
        <w:jc w:val="left"/>
        <w:rPr>
          <w:sz w:val="22"/>
        </w:rPr>
      </w:pPr>
      <w:r>
        <w:rPr>
          <w:sz w:val="22"/>
        </w:rPr>
        <w:t>nuk duhet të lidhin në asnjë lloj mënyre përdorimin e alkoolit me drejtimin e automjeteve apo të përmendin rritjen e aftësive fizike të përdoruesve për shkak të përdorimit të këtyre</w:t>
      </w:r>
      <w:r>
        <w:rPr>
          <w:spacing w:val="-18"/>
          <w:sz w:val="22"/>
        </w:rPr>
        <w:t> </w:t>
      </w:r>
      <w:r>
        <w:rPr>
          <w:sz w:val="22"/>
        </w:rPr>
        <w:t>produkteve;</w:t>
      </w:r>
    </w:p>
    <w:p>
      <w:pPr>
        <w:pStyle w:val="ListParagraph"/>
        <w:numPr>
          <w:ilvl w:val="0"/>
          <w:numId w:val="84"/>
        </w:numPr>
        <w:tabs>
          <w:tab w:pos="1080" w:val="left" w:leader="none"/>
        </w:tabs>
        <w:spacing w:line="242" w:lineRule="auto" w:before="0" w:after="0"/>
        <w:ind w:left="119" w:right="116" w:firstLine="720"/>
        <w:jc w:val="left"/>
        <w:rPr>
          <w:sz w:val="22"/>
        </w:rPr>
      </w:pPr>
      <w:r>
        <w:rPr>
          <w:sz w:val="22"/>
        </w:rPr>
        <w:t>nuk duhet të krijojnë në asnjë lloj mënyre ndjesinë se përdorimi i alkoolit ndikon në sjelljen e suksesshme shoqërore apo seksuale të përdoruesve të</w:t>
      </w:r>
      <w:r>
        <w:rPr>
          <w:spacing w:val="-12"/>
          <w:sz w:val="22"/>
        </w:rPr>
        <w:t> </w:t>
      </w:r>
      <w:r>
        <w:rPr>
          <w:sz w:val="22"/>
        </w:rPr>
        <w:t>tij;</w:t>
      </w:r>
    </w:p>
    <w:p>
      <w:pPr>
        <w:pStyle w:val="BodyText"/>
        <w:spacing w:line="242" w:lineRule="auto"/>
        <w:ind w:left="119" w:right="117"/>
      </w:pPr>
      <w:r>
        <w:rPr/>
        <w:t>ç) nuk duhet të pretendojnë ose të krijojnë idenë se alkooli ka cilësi shëruese apo rigjeneruese ose se është mjet nxitës, qetësues ose që ndihmon për zgjidhjen apo lehtësimin e konflikteve personale;</w:t>
      </w:r>
    </w:p>
    <w:p>
      <w:pPr>
        <w:pStyle w:val="ListParagraph"/>
        <w:numPr>
          <w:ilvl w:val="0"/>
          <w:numId w:val="84"/>
        </w:numPr>
        <w:tabs>
          <w:tab w:pos="1092" w:val="left" w:leader="none"/>
        </w:tabs>
        <w:spacing w:line="240" w:lineRule="auto" w:before="0" w:after="0"/>
        <w:ind w:left="119" w:right="116" w:firstLine="720"/>
        <w:jc w:val="left"/>
        <w:rPr>
          <w:sz w:val="22"/>
        </w:rPr>
      </w:pPr>
      <w:r>
        <w:rPr>
          <w:sz w:val="22"/>
        </w:rPr>
        <w:t>nuk duhet të nxisin përdorimin e papërshtatshëm të alkoolit ose të paraqesin mospërdorimin e alkoolit në një këndvështrim</w:t>
      </w:r>
      <w:r>
        <w:rPr>
          <w:spacing w:val="-6"/>
          <w:sz w:val="22"/>
        </w:rPr>
        <w:t> </w:t>
      </w:r>
      <w:r>
        <w:rPr>
          <w:sz w:val="22"/>
        </w:rPr>
        <w:t>negativ;</w:t>
      </w:r>
    </w:p>
    <w:p>
      <w:pPr>
        <w:pStyle w:val="BodyText"/>
        <w:spacing w:line="252" w:lineRule="exact"/>
        <w:ind w:left="671" w:firstLine="0"/>
      </w:pPr>
      <w:r>
        <w:rPr/>
        <w:t>dh) nuk duhet të theksojnë përqindjen e lartë të alkoolit në një pije si cilësi pozitive të kësaj pijeje.</w:t>
      </w:r>
    </w:p>
    <w:p>
      <w:pPr>
        <w:pStyle w:val="ListParagraph"/>
        <w:numPr>
          <w:ilvl w:val="0"/>
          <w:numId w:val="83"/>
        </w:numPr>
        <w:tabs>
          <w:tab w:pos="1109" w:val="left" w:leader="none"/>
        </w:tabs>
        <w:spacing w:line="240" w:lineRule="auto" w:before="0" w:after="0"/>
        <w:ind w:left="119" w:right="113" w:firstLine="720"/>
        <w:jc w:val="both"/>
        <w:rPr>
          <w:sz w:val="22"/>
        </w:rPr>
      </w:pPr>
      <w:r>
        <w:rPr>
          <w:sz w:val="22"/>
        </w:rPr>
        <w:t>Ndërfutja e reklamave dhe shitjeve të drejtpërdrejta në programet audiovizive bëhet duke respektuar tërësinë e përmbajtjes dhe duke pasur parasysh, që ndërprerjet të jenë të natyrshme gjatë kohëzgjatjes dhe natyrës së programit dhe të respektojnë të drejtat e palëve të</w:t>
      </w:r>
      <w:r>
        <w:rPr>
          <w:spacing w:val="-14"/>
          <w:sz w:val="22"/>
        </w:rPr>
        <w:t> </w:t>
      </w:r>
      <w:r>
        <w:rPr>
          <w:sz w:val="22"/>
        </w:rPr>
        <w:t>interesuara.</w:t>
      </w:r>
    </w:p>
    <w:p>
      <w:pPr>
        <w:pStyle w:val="ListParagraph"/>
        <w:numPr>
          <w:ilvl w:val="0"/>
          <w:numId w:val="83"/>
        </w:numPr>
        <w:tabs>
          <w:tab w:pos="1113" w:val="left" w:leader="none"/>
        </w:tabs>
        <w:spacing w:line="240" w:lineRule="auto" w:before="0" w:after="0"/>
        <w:ind w:left="119" w:right="114" w:firstLine="720"/>
        <w:jc w:val="both"/>
        <w:rPr>
          <w:sz w:val="22"/>
        </w:rPr>
      </w:pPr>
      <w:r>
        <w:rPr>
          <w:sz w:val="22"/>
        </w:rPr>
        <w:t>Dritaret e shitjeve të drejtpërdrejta në ekranin e integruar ose programet e tyre duhet të identifikohen qartë si të tilla nëpërmjet mënyrave pamore ose dëgjimore dhe duhet të zgjasin minimalisht 15 minuta.</w:t>
      </w:r>
    </w:p>
    <w:p>
      <w:pPr>
        <w:pStyle w:val="ListParagraph"/>
        <w:numPr>
          <w:ilvl w:val="0"/>
          <w:numId w:val="83"/>
        </w:numPr>
        <w:tabs>
          <w:tab w:pos="1238" w:val="left" w:leader="none"/>
        </w:tabs>
        <w:spacing w:line="240" w:lineRule="auto" w:before="0" w:after="0"/>
        <w:ind w:left="119" w:right="115" w:firstLine="720"/>
        <w:jc w:val="both"/>
        <w:rPr>
          <w:i/>
          <w:sz w:val="22"/>
        </w:rPr>
      </w:pPr>
      <w:r>
        <w:rPr>
          <w:sz w:val="22"/>
        </w:rPr>
        <w:t>Për shërbimet e programeve të dedikuara reklamimit, shitjeve të drejtpërdrejta, si dhe vetëreklamimit, kërkesat e këtij ligji aplikohen sipas parimit </w:t>
      </w:r>
      <w:r>
        <w:rPr>
          <w:i/>
          <w:sz w:val="22"/>
        </w:rPr>
        <w:t>mutatis</w:t>
      </w:r>
      <w:r>
        <w:rPr>
          <w:i/>
          <w:spacing w:val="-5"/>
          <w:sz w:val="22"/>
        </w:rPr>
        <w:t> </w:t>
      </w:r>
      <w:r>
        <w:rPr>
          <w:i/>
          <w:sz w:val="22"/>
        </w:rPr>
        <w:t>mutandis.</w:t>
      </w:r>
    </w:p>
    <w:p>
      <w:pPr>
        <w:pStyle w:val="BodyText"/>
        <w:ind w:left="0" w:firstLine="0"/>
        <w:rPr>
          <w:i/>
          <w:sz w:val="21"/>
        </w:rPr>
      </w:pPr>
    </w:p>
    <w:p>
      <w:pPr>
        <w:pStyle w:val="BodyText"/>
        <w:ind w:left="146" w:right="147" w:firstLine="0"/>
        <w:jc w:val="center"/>
      </w:pPr>
      <w:r>
        <w:rPr/>
        <w:t>Neni 44</w:t>
      </w:r>
    </w:p>
    <w:p>
      <w:pPr>
        <w:pStyle w:val="Heading1"/>
      </w:pPr>
      <w:r>
        <w:rPr/>
        <w:t>Vendosja e produkteve gjatë programeve</w:t>
      </w:r>
    </w:p>
    <w:p>
      <w:pPr>
        <w:pStyle w:val="BodyText"/>
        <w:spacing w:before="7"/>
        <w:ind w:left="0" w:firstLine="0"/>
        <w:rPr>
          <w:b/>
          <w:sz w:val="21"/>
        </w:rPr>
      </w:pPr>
    </w:p>
    <w:p>
      <w:pPr>
        <w:pStyle w:val="ListParagraph"/>
        <w:numPr>
          <w:ilvl w:val="0"/>
          <w:numId w:val="85"/>
        </w:numPr>
        <w:tabs>
          <w:tab w:pos="1073" w:val="left" w:leader="none"/>
        </w:tabs>
        <w:spacing w:line="240" w:lineRule="auto" w:before="0" w:after="0"/>
        <w:ind w:left="119" w:right="115" w:firstLine="720"/>
        <w:jc w:val="both"/>
        <w:rPr>
          <w:sz w:val="22"/>
        </w:rPr>
      </w:pPr>
      <w:r>
        <w:rPr>
          <w:sz w:val="22"/>
        </w:rPr>
        <w:t>Vendosja e produkteve gjatë programeve, si një mënyrë e fshehur dhe abuzive e komunikimit me natyrë tregtare, është e ndaluar, përveçse në filma, vepra kinematografike, seriale të prodhuara për shërbimet e transmetimit mediatik, programeve sportive dhe atyre me natyrë</w:t>
      </w:r>
      <w:r>
        <w:rPr>
          <w:spacing w:val="-6"/>
          <w:sz w:val="22"/>
        </w:rPr>
        <w:t> </w:t>
      </w:r>
      <w:r>
        <w:rPr>
          <w:sz w:val="22"/>
        </w:rPr>
        <w:t>zbavitëse.</w:t>
      </w:r>
    </w:p>
    <w:p>
      <w:pPr>
        <w:pStyle w:val="ListParagraph"/>
        <w:numPr>
          <w:ilvl w:val="0"/>
          <w:numId w:val="85"/>
        </w:numPr>
        <w:tabs>
          <w:tab w:pos="1087" w:val="left" w:leader="none"/>
        </w:tabs>
        <w:spacing w:line="252" w:lineRule="exact" w:before="0" w:after="0"/>
        <w:ind w:left="1086" w:right="0" w:hanging="248"/>
        <w:jc w:val="both"/>
        <w:rPr>
          <w:sz w:val="22"/>
        </w:rPr>
      </w:pPr>
      <w:r>
        <w:rPr>
          <w:sz w:val="22"/>
        </w:rPr>
        <w:t>Përjashtimi</w:t>
      </w:r>
      <w:r>
        <w:rPr>
          <w:spacing w:val="25"/>
          <w:sz w:val="22"/>
        </w:rPr>
        <w:t> </w:t>
      </w:r>
      <w:r>
        <w:rPr>
          <w:sz w:val="22"/>
        </w:rPr>
        <w:t>i</w:t>
      </w:r>
      <w:r>
        <w:rPr>
          <w:spacing w:val="26"/>
          <w:sz w:val="22"/>
        </w:rPr>
        <w:t> </w:t>
      </w:r>
      <w:r>
        <w:rPr>
          <w:sz w:val="22"/>
        </w:rPr>
        <w:t>bërë</w:t>
      </w:r>
      <w:r>
        <w:rPr>
          <w:spacing w:val="26"/>
          <w:sz w:val="22"/>
        </w:rPr>
        <w:t> </w:t>
      </w:r>
      <w:r>
        <w:rPr>
          <w:sz w:val="22"/>
        </w:rPr>
        <w:t>në</w:t>
      </w:r>
      <w:r>
        <w:rPr>
          <w:spacing w:val="26"/>
          <w:sz w:val="22"/>
        </w:rPr>
        <w:t> </w:t>
      </w:r>
      <w:r>
        <w:rPr>
          <w:sz w:val="22"/>
        </w:rPr>
        <w:t>pikën</w:t>
      </w:r>
      <w:r>
        <w:rPr>
          <w:spacing w:val="25"/>
          <w:sz w:val="22"/>
        </w:rPr>
        <w:t> </w:t>
      </w:r>
      <w:r>
        <w:rPr>
          <w:sz w:val="22"/>
        </w:rPr>
        <w:t>1</w:t>
      </w:r>
      <w:r>
        <w:rPr>
          <w:spacing w:val="25"/>
          <w:sz w:val="22"/>
        </w:rPr>
        <w:t> </w:t>
      </w:r>
      <w:r>
        <w:rPr>
          <w:sz w:val="22"/>
        </w:rPr>
        <w:t>të</w:t>
      </w:r>
      <w:r>
        <w:rPr>
          <w:spacing w:val="26"/>
          <w:sz w:val="22"/>
        </w:rPr>
        <w:t> </w:t>
      </w:r>
      <w:r>
        <w:rPr>
          <w:sz w:val="22"/>
        </w:rPr>
        <w:t>këtij</w:t>
      </w:r>
      <w:r>
        <w:rPr>
          <w:spacing w:val="28"/>
          <w:sz w:val="22"/>
        </w:rPr>
        <w:t> </w:t>
      </w:r>
      <w:r>
        <w:rPr>
          <w:sz w:val="22"/>
        </w:rPr>
        <w:t>neni</w:t>
      </w:r>
      <w:r>
        <w:rPr>
          <w:spacing w:val="24"/>
          <w:sz w:val="22"/>
        </w:rPr>
        <w:t> </w:t>
      </w:r>
      <w:r>
        <w:rPr>
          <w:sz w:val="22"/>
        </w:rPr>
        <w:t>nuk</w:t>
      </w:r>
      <w:r>
        <w:rPr>
          <w:spacing w:val="22"/>
          <w:sz w:val="22"/>
        </w:rPr>
        <w:t> </w:t>
      </w:r>
      <w:r>
        <w:rPr>
          <w:sz w:val="22"/>
        </w:rPr>
        <w:t>është</w:t>
      </w:r>
      <w:r>
        <w:rPr>
          <w:spacing w:val="23"/>
          <w:sz w:val="22"/>
        </w:rPr>
        <w:t> </w:t>
      </w:r>
      <w:r>
        <w:rPr>
          <w:sz w:val="22"/>
        </w:rPr>
        <w:t>i</w:t>
      </w:r>
      <w:r>
        <w:rPr>
          <w:spacing w:val="26"/>
          <w:sz w:val="22"/>
        </w:rPr>
        <w:t> </w:t>
      </w:r>
      <w:r>
        <w:rPr>
          <w:sz w:val="22"/>
        </w:rPr>
        <w:t>vlefshëm</w:t>
      </w:r>
      <w:r>
        <w:rPr>
          <w:spacing w:val="21"/>
          <w:sz w:val="22"/>
        </w:rPr>
        <w:t> </w:t>
      </w:r>
      <w:r>
        <w:rPr>
          <w:sz w:val="22"/>
        </w:rPr>
        <w:t>për</w:t>
      </w:r>
      <w:r>
        <w:rPr>
          <w:spacing w:val="26"/>
          <w:sz w:val="22"/>
        </w:rPr>
        <w:t> </w:t>
      </w:r>
      <w:r>
        <w:rPr>
          <w:sz w:val="22"/>
        </w:rPr>
        <w:t>çfarëdo</w:t>
      </w:r>
      <w:r>
        <w:rPr>
          <w:spacing w:val="23"/>
          <w:sz w:val="22"/>
        </w:rPr>
        <w:t> </w:t>
      </w:r>
      <w:r>
        <w:rPr>
          <w:sz w:val="22"/>
        </w:rPr>
        <w:t>programi</w:t>
      </w:r>
      <w:r>
        <w:rPr>
          <w:spacing w:val="26"/>
          <w:sz w:val="22"/>
        </w:rPr>
        <w:t> </w:t>
      </w:r>
      <w:r>
        <w:rPr>
          <w:sz w:val="22"/>
        </w:rPr>
        <w:t>për</w:t>
      </w:r>
      <w:r>
        <w:rPr>
          <w:spacing w:val="24"/>
          <w:sz w:val="22"/>
        </w:rPr>
        <w:t> </w:t>
      </w:r>
      <w:r>
        <w:rPr>
          <w:sz w:val="22"/>
        </w:rPr>
        <w:t>të</w:t>
      </w:r>
    </w:p>
    <w:p>
      <w:pPr>
        <w:pStyle w:val="BodyText"/>
        <w:spacing w:line="252" w:lineRule="exact" w:before="1"/>
        <w:ind w:left="119" w:firstLine="0"/>
      </w:pPr>
      <w:r>
        <w:rPr/>
        <w:t>mitur.</w:t>
      </w:r>
    </w:p>
    <w:p>
      <w:pPr>
        <w:pStyle w:val="ListParagraph"/>
        <w:numPr>
          <w:ilvl w:val="0"/>
          <w:numId w:val="85"/>
        </w:numPr>
        <w:tabs>
          <w:tab w:pos="1061" w:val="left" w:leader="none"/>
        </w:tabs>
        <w:spacing w:line="252" w:lineRule="exact" w:before="0" w:after="0"/>
        <w:ind w:left="1060" w:right="0" w:hanging="222"/>
        <w:jc w:val="left"/>
        <w:rPr>
          <w:sz w:val="22"/>
        </w:rPr>
      </w:pPr>
      <w:r>
        <w:rPr>
          <w:sz w:val="22"/>
        </w:rPr>
        <w:t>Programet që përmbajnë vendosjen e mallrave duhet të plotësojnë këto</w:t>
      </w:r>
      <w:r>
        <w:rPr>
          <w:spacing w:val="-12"/>
          <w:sz w:val="22"/>
        </w:rPr>
        <w:t> </w:t>
      </w:r>
      <w:r>
        <w:rPr>
          <w:sz w:val="22"/>
        </w:rPr>
        <w:t>kushte:</w:t>
      </w:r>
    </w:p>
    <w:p>
      <w:pPr>
        <w:pStyle w:val="ListParagraph"/>
        <w:numPr>
          <w:ilvl w:val="0"/>
          <w:numId w:val="86"/>
        </w:numPr>
        <w:tabs>
          <w:tab w:pos="1104" w:val="left" w:leader="none"/>
        </w:tabs>
        <w:spacing w:line="240" w:lineRule="auto" w:before="2" w:after="0"/>
        <w:ind w:left="1103" w:right="0" w:hanging="265"/>
        <w:jc w:val="left"/>
        <w:rPr>
          <w:sz w:val="22"/>
        </w:rPr>
      </w:pPr>
      <w:r>
        <w:rPr>
          <w:sz w:val="22"/>
        </w:rPr>
        <w:t>përmbajtja</w:t>
      </w:r>
      <w:r>
        <w:rPr>
          <w:spacing w:val="33"/>
          <w:sz w:val="22"/>
        </w:rPr>
        <w:t> </w:t>
      </w:r>
      <w:r>
        <w:rPr>
          <w:sz w:val="22"/>
        </w:rPr>
        <w:t>e</w:t>
      </w:r>
      <w:r>
        <w:rPr>
          <w:spacing w:val="33"/>
          <w:sz w:val="22"/>
        </w:rPr>
        <w:t> </w:t>
      </w:r>
      <w:r>
        <w:rPr>
          <w:sz w:val="22"/>
        </w:rPr>
        <w:t>tyre</w:t>
      </w:r>
      <w:r>
        <w:rPr>
          <w:spacing w:val="35"/>
          <w:sz w:val="22"/>
        </w:rPr>
        <w:t> </w:t>
      </w:r>
      <w:r>
        <w:rPr>
          <w:sz w:val="22"/>
        </w:rPr>
        <w:t>dhe</w:t>
      </w:r>
      <w:r>
        <w:rPr>
          <w:spacing w:val="33"/>
          <w:sz w:val="22"/>
        </w:rPr>
        <w:t> </w:t>
      </w:r>
      <w:r>
        <w:rPr>
          <w:sz w:val="22"/>
        </w:rPr>
        <w:t>listimi</w:t>
      </w:r>
      <w:r>
        <w:rPr>
          <w:spacing w:val="33"/>
          <w:sz w:val="22"/>
        </w:rPr>
        <w:t> </w:t>
      </w:r>
      <w:r>
        <w:rPr>
          <w:sz w:val="22"/>
        </w:rPr>
        <w:t>i</w:t>
      </w:r>
      <w:r>
        <w:rPr>
          <w:spacing w:val="36"/>
          <w:sz w:val="22"/>
        </w:rPr>
        <w:t> </w:t>
      </w:r>
      <w:r>
        <w:rPr>
          <w:sz w:val="22"/>
        </w:rPr>
        <w:t>programeve</w:t>
      </w:r>
      <w:r>
        <w:rPr>
          <w:spacing w:val="35"/>
          <w:sz w:val="22"/>
        </w:rPr>
        <w:t> </w:t>
      </w:r>
      <w:r>
        <w:rPr>
          <w:sz w:val="22"/>
        </w:rPr>
        <w:t>nuk</w:t>
      </w:r>
      <w:r>
        <w:rPr>
          <w:spacing w:val="32"/>
          <w:sz w:val="22"/>
        </w:rPr>
        <w:t> </w:t>
      </w:r>
      <w:r>
        <w:rPr>
          <w:sz w:val="22"/>
        </w:rPr>
        <w:t>duhet</w:t>
      </w:r>
      <w:r>
        <w:rPr>
          <w:spacing w:val="34"/>
          <w:sz w:val="22"/>
        </w:rPr>
        <w:t> </w:t>
      </w:r>
      <w:r>
        <w:rPr>
          <w:sz w:val="22"/>
        </w:rPr>
        <w:t>të</w:t>
      </w:r>
      <w:r>
        <w:rPr>
          <w:spacing w:val="33"/>
          <w:sz w:val="22"/>
        </w:rPr>
        <w:t> </w:t>
      </w:r>
      <w:r>
        <w:rPr>
          <w:sz w:val="22"/>
        </w:rPr>
        <w:t>ndikohen</w:t>
      </w:r>
      <w:r>
        <w:rPr>
          <w:spacing w:val="35"/>
          <w:sz w:val="22"/>
        </w:rPr>
        <w:t> </w:t>
      </w:r>
      <w:r>
        <w:rPr>
          <w:sz w:val="22"/>
        </w:rPr>
        <w:t>në</w:t>
      </w:r>
      <w:r>
        <w:rPr>
          <w:spacing w:val="33"/>
          <w:sz w:val="22"/>
        </w:rPr>
        <w:t> </w:t>
      </w:r>
      <w:r>
        <w:rPr>
          <w:sz w:val="22"/>
        </w:rPr>
        <w:t>asnjë</w:t>
      </w:r>
      <w:r>
        <w:rPr>
          <w:spacing w:val="33"/>
          <w:sz w:val="22"/>
        </w:rPr>
        <w:t> </w:t>
      </w:r>
      <w:r>
        <w:rPr>
          <w:sz w:val="22"/>
        </w:rPr>
        <w:t>rrethanë</w:t>
      </w:r>
      <w:r>
        <w:rPr>
          <w:spacing w:val="33"/>
          <w:sz w:val="22"/>
        </w:rPr>
        <w:t> </w:t>
      </w:r>
      <w:r>
        <w:rPr>
          <w:sz w:val="22"/>
        </w:rPr>
        <w:t>në</w:t>
      </w:r>
      <w:r>
        <w:rPr>
          <w:spacing w:val="33"/>
          <w:sz w:val="22"/>
        </w:rPr>
        <w:t> </w:t>
      </w:r>
      <w:r>
        <w:rPr>
          <w:sz w:val="22"/>
        </w:rPr>
        <w:t>një</w:t>
      </w:r>
    </w:p>
    <w:p>
      <w:pPr>
        <w:pStyle w:val="BodyText"/>
        <w:spacing w:line="251" w:lineRule="exact"/>
        <w:ind w:left="119" w:firstLine="0"/>
      </w:pPr>
      <w:r>
        <w:rPr/>
        <w:t>mënyrë të tillë, që të prekë përgjegjësinë dhe pavarësinë editoriale të ofruesit të shërbimit mediatik;</w:t>
      </w:r>
    </w:p>
    <w:p>
      <w:pPr>
        <w:pStyle w:val="ListParagraph"/>
        <w:numPr>
          <w:ilvl w:val="0"/>
          <w:numId w:val="86"/>
        </w:numPr>
        <w:tabs>
          <w:tab w:pos="1161" w:val="left" w:leader="none"/>
        </w:tabs>
        <w:spacing w:line="240" w:lineRule="auto" w:before="0" w:after="0"/>
        <w:ind w:left="119" w:right="115" w:firstLine="720"/>
        <w:jc w:val="left"/>
        <w:rPr>
          <w:sz w:val="22"/>
        </w:rPr>
      </w:pPr>
      <w:r>
        <w:rPr>
          <w:sz w:val="22"/>
        </w:rPr>
        <w:t>nuk duhet të nxisin drejtpërdrejt marrjen ose përdorimin e mallrave dhe shërbimeve, veçanërisht duke bërë përmendje të posaçme promocionale të këtyre mallrave dhe</w:t>
      </w:r>
      <w:r>
        <w:rPr>
          <w:spacing w:val="-14"/>
          <w:sz w:val="22"/>
        </w:rPr>
        <w:t> </w:t>
      </w:r>
      <w:r>
        <w:rPr>
          <w:sz w:val="22"/>
        </w:rPr>
        <w:t>shërbimeve;</w:t>
      </w:r>
    </w:p>
    <w:p>
      <w:pPr>
        <w:pStyle w:val="ListParagraph"/>
        <w:numPr>
          <w:ilvl w:val="0"/>
          <w:numId w:val="86"/>
        </w:numPr>
        <w:tabs>
          <w:tab w:pos="1068" w:val="left" w:leader="none"/>
        </w:tabs>
        <w:spacing w:line="240" w:lineRule="auto" w:before="0" w:after="0"/>
        <w:ind w:left="1067" w:right="0" w:hanging="229"/>
        <w:jc w:val="left"/>
        <w:rPr>
          <w:sz w:val="22"/>
        </w:rPr>
      </w:pPr>
      <w:r>
        <w:rPr>
          <w:sz w:val="22"/>
        </w:rPr>
        <w:t>nuk duhet t’i kushtojnë vëmendje të tepruar mallrave në</w:t>
      </w:r>
      <w:r>
        <w:rPr>
          <w:spacing w:val="-17"/>
          <w:sz w:val="22"/>
        </w:rPr>
        <w:t> </w:t>
      </w:r>
      <w:r>
        <w:rPr>
          <w:sz w:val="22"/>
        </w:rPr>
        <w:t>fjalë;</w:t>
      </w:r>
    </w:p>
    <w:p>
      <w:pPr>
        <w:pStyle w:val="BodyText"/>
        <w:spacing w:line="252" w:lineRule="exact" w:before="1"/>
        <w:ind w:left="839" w:firstLine="0"/>
      </w:pPr>
      <w:r>
        <w:rPr/>
        <w:t>ç) shikuesit duhet të informohen qartë për ekzistencën e vendosjes së</w:t>
      </w:r>
      <w:r>
        <w:rPr>
          <w:spacing w:val="-18"/>
        </w:rPr>
        <w:t> </w:t>
      </w:r>
      <w:r>
        <w:rPr/>
        <w:t>mallit.</w:t>
      </w:r>
    </w:p>
    <w:p>
      <w:pPr>
        <w:pStyle w:val="ListParagraph"/>
        <w:numPr>
          <w:ilvl w:val="0"/>
          <w:numId w:val="85"/>
        </w:numPr>
        <w:tabs>
          <w:tab w:pos="1063" w:val="left" w:leader="none"/>
        </w:tabs>
        <w:spacing w:line="240" w:lineRule="auto" w:before="0" w:after="0"/>
        <w:ind w:left="119" w:right="118" w:firstLine="720"/>
        <w:jc w:val="left"/>
        <w:rPr>
          <w:sz w:val="22"/>
        </w:rPr>
      </w:pPr>
      <w:r>
        <w:rPr>
          <w:sz w:val="22"/>
        </w:rPr>
        <w:t>Programet që përmbajnë vendosjen e produkteve duhet të identifikohen qartë në fillim, gjatë </w:t>
      </w:r>
      <w:r>
        <w:rPr>
          <w:spacing w:val="-2"/>
          <w:sz w:val="22"/>
        </w:rPr>
        <w:t>tij </w:t>
      </w:r>
      <w:r>
        <w:rPr>
          <w:sz w:val="22"/>
        </w:rPr>
        <w:t>ose</w:t>
      </w:r>
      <w:r>
        <w:rPr>
          <w:spacing w:val="14"/>
          <w:sz w:val="22"/>
        </w:rPr>
        <w:t> </w:t>
      </w:r>
      <w:r>
        <w:rPr>
          <w:sz w:val="22"/>
        </w:rPr>
        <w:t>në</w:t>
      </w:r>
      <w:r>
        <w:rPr>
          <w:spacing w:val="14"/>
          <w:sz w:val="22"/>
        </w:rPr>
        <w:t> </w:t>
      </w:r>
      <w:r>
        <w:rPr>
          <w:sz w:val="22"/>
        </w:rPr>
        <w:t>përfundim</w:t>
      </w:r>
      <w:r>
        <w:rPr>
          <w:spacing w:val="10"/>
          <w:sz w:val="22"/>
        </w:rPr>
        <w:t> </w:t>
      </w:r>
      <w:r>
        <w:rPr>
          <w:sz w:val="22"/>
        </w:rPr>
        <w:t>të</w:t>
      </w:r>
      <w:r>
        <w:rPr>
          <w:spacing w:val="14"/>
          <w:sz w:val="22"/>
        </w:rPr>
        <w:t> </w:t>
      </w:r>
      <w:r>
        <w:rPr>
          <w:sz w:val="22"/>
        </w:rPr>
        <w:t>programit</w:t>
      </w:r>
      <w:r>
        <w:rPr>
          <w:spacing w:val="15"/>
          <w:sz w:val="22"/>
        </w:rPr>
        <w:t> </w:t>
      </w:r>
      <w:r>
        <w:rPr>
          <w:sz w:val="22"/>
        </w:rPr>
        <w:t>dhe</w:t>
      </w:r>
      <w:r>
        <w:rPr>
          <w:spacing w:val="14"/>
          <w:sz w:val="22"/>
        </w:rPr>
        <w:t> </w:t>
      </w:r>
      <w:r>
        <w:rPr>
          <w:sz w:val="22"/>
        </w:rPr>
        <w:t>kur</w:t>
      </w:r>
      <w:r>
        <w:rPr>
          <w:spacing w:val="15"/>
          <w:sz w:val="22"/>
        </w:rPr>
        <w:t> </w:t>
      </w:r>
      <w:r>
        <w:rPr>
          <w:sz w:val="22"/>
        </w:rPr>
        <w:t>programi</w:t>
      </w:r>
      <w:r>
        <w:rPr>
          <w:spacing w:val="14"/>
          <w:sz w:val="22"/>
        </w:rPr>
        <w:t> </w:t>
      </w:r>
      <w:r>
        <w:rPr>
          <w:sz w:val="22"/>
        </w:rPr>
        <w:t>përfundon</w:t>
      </w:r>
      <w:r>
        <w:rPr>
          <w:spacing w:val="13"/>
          <w:sz w:val="22"/>
        </w:rPr>
        <w:t> </w:t>
      </w:r>
      <w:r>
        <w:rPr>
          <w:sz w:val="22"/>
        </w:rPr>
        <w:t>pas</w:t>
      </w:r>
      <w:r>
        <w:rPr>
          <w:spacing w:val="15"/>
          <w:sz w:val="22"/>
        </w:rPr>
        <w:t> </w:t>
      </w:r>
      <w:r>
        <w:rPr>
          <w:sz w:val="22"/>
        </w:rPr>
        <w:t>një</w:t>
      </w:r>
      <w:r>
        <w:rPr>
          <w:spacing w:val="14"/>
          <w:sz w:val="22"/>
        </w:rPr>
        <w:t> </w:t>
      </w:r>
      <w:r>
        <w:rPr>
          <w:sz w:val="22"/>
        </w:rPr>
        <w:t>pushimi</w:t>
      </w:r>
      <w:r>
        <w:rPr>
          <w:spacing w:val="15"/>
          <w:sz w:val="22"/>
        </w:rPr>
        <w:t> </w:t>
      </w:r>
      <w:r>
        <w:rPr>
          <w:sz w:val="22"/>
        </w:rPr>
        <w:t>reklamash,</w:t>
      </w:r>
      <w:r>
        <w:rPr>
          <w:spacing w:val="13"/>
          <w:sz w:val="22"/>
        </w:rPr>
        <w:t> </w:t>
      </w:r>
      <w:r>
        <w:rPr>
          <w:sz w:val="22"/>
        </w:rPr>
        <w:t>në</w:t>
      </w:r>
      <w:r>
        <w:rPr>
          <w:spacing w:val="17"/>
          <w:sz w:val="22"/>
        </w:rPr>
        <w:t> </w:t>
      </w:r>
      <w:r>
        <w:rPr>
          <w:sz w:val="22"/>
        </w:rPr>
        <w:t>mënyrë</w:t>
      </w:r>
      <w:r>
        <w:rPr>
          <w:spacing w:val="14"/>
          <w:sz w:val="22"/>
        </w:rPr>
        <w:t> </w:t>
      </w:r>
      <w:r>
        <w:rPr>
          <w:sz w:val="22"/>
        </w:rPr>
        <w:t>që</w:t>
      </w:r>
      <w:r>
        <w:rPr>
          <w:spacing w:val="15"/>
          <w:sz w:val="22"/>
        </w:rPr>
        <w:t> </w:t>
      </w:r>
      <w:r>
        <w:rPr>
          <w:sz w:val="22"/>
        </w:rPr>
        <w:t>të</w:t>
      </w:r>
    </w:p>
    <w:p>
      <w:pPr>
        <w:spacing w:after="0" w:line="240" w:lineRule="auto"/>
        <w:jc w:val="left"/>
        <w:rPr>
          <w:sz w:val="22"/>
        </w:rPr>
        <w:sectPr>
          <w:pgSz w:w="12240" w:h="15840"/>
          <w:pgMar w:top="1360" w:bottom="280" w:left="1320" w:right="1320"/>
        </w:sectPr>
      </w:pPr>
    </w:p>
    <w:p>
      <w:pPr>
        <w:pStyle w:val="BodyText"/>
        <w:spacing w:line="252" w:lineRule="exact" w:before="74"/>
        <w:ind w:firstLine="0"/>
        <w:jc w:val="both"/>
      </w:pPr>
      <w:r>
        <w:rPr/>
        <w:t>shmangin çdo çoroditje të shikuesve.</w:t>
      </w:r>
    </w:p>
    <w:p>
      <w:pPr>
        <w:pStyle w:val="ListParagraph"/>
        <w:numPr>
          <w:ilvl w:val="0"/>
          <w:numId w:val="85"/>
        </w:numPr>
        <w:tabs>
          <w:tab w:pos="1061" w:val="left" w:leader="none"/>
        </w:tabs>
        <w:spacing w:line="252" w:lineRule="exact" w:before="0" w:after="0"/>
        <w:ind w:left="1060" w:right="0" w:hanging="221"/>
        <w:jc w:val="both"/>
        <w:rPr>
          <w:sz w:val="22"/>
        </w:rPr>
      </w:pPr>
      <w:r>
        <w:rPr>
          <w:sz w:val="22"/>
        </w:rPr>
        <w:t>Programet në asnjë rast nuk mund të përmbajnë vendosjen e</w:t>
      </w:r>
      <w:r>
        <w:rPr>
          <w:spacing w:val="-8"/>
          <w:sz w:val="22"/>
        </w:rPr>
        <w:t> </w:t>
      </w:r>
      <w:r>
        <w:rPr>
          <w:sz w:val="22"/>
        </w:rPr>
        <w:t>produkteve:</w:t>
      </w:r>
    </w:p>
    <w:p>
      <w:pPr>
        <w:pStyle w:val="ListParagraph"/>
        <w:numPr>
          <w:ilvl w:val="0"/>
          <w:numId w:val="87"/>
        </w:numPr>
        <w:tabs>
          <w:tab w:pos="1119" w:val="left" w:leader="none"/>
        </w:tabs>
        <w:spacing w:line="240" w:lineRule="auto" w:before="1" w:after="0"/>
        <w:ind w:left="120" w:right="112" w:firstLine="720"/>
        <w:jc w:val="both"/>
        <w:rPr>
          <w:sz w:val="22"/>
        </w:rPr>
      </w:pPr>
      <w:r>
        <w:rPr>
          <w:sz w:val="22"/>
        </w:rPr>
        <w:t>të prodhimeve të duhanit, cigareve apo vendosje të produkteve nga shoqëri, persona apo sipërmarrje, veprimtaria kryesore e të cilave është prodhimi dhe tregtimi i cigareve dhe prodhimeve të duhanit;</w:t>
      </w:r>
    </w:p>
    <w:p>
      <w:pPr>
        <w:pStyle w:val="ListParagraph"/>
        <w:numPr>
          <w:ilvl w:val="0"/>
          <w:numId w:val="87"/>
        </w:numPr>
        <w:tabs>
          <w:tab w:pos="1100" w:val="left" w:leader="none"/>
        </w:tabs>
        <w:spacing w:line="252" w:lineRule="exact" w:before="0" w:after="0"/>
        <w:ind w:left="1099" w:right="0" w:hanging="260"/>
        <w:jc w:val="both"/>
        <w:rPr>
          <w:sz w:val="22"/>
        </w:rPr>
      </w:pPr>
      <w:r>
        <w:rPr>
          <w:sz w:val="22"/>
        </w:rPr>
        <w:t>të</w:t>
      </w:r>
      <w:r>
        <w:rPr>
          <w:spacing w:val="18"/>
          <w:sz w:val="22"/>
        </w:rPr>
        <w:t> </w:t>
      </w:r>
      <w:r>
        <w:rPr>
          <w:sz w:val="22"/>
        </w:rPr>
        <w:t>prodhimeve</w:t>
      </w:r>
      <w:r>
        <w:rPr>
          <w:spacing w:val="19"/>
          <w:sz w:val="22"/>
        </w:rPr>
        <w:t> </w:t>
      </w:r>
      <w:r>
        <w:rPr>
          <w:sz w:val="22"/>
        </w:rPr>
        <w:t>farmaceutike,</w:t>
      </w:r>
      <w:r>
        <w:rPr>
          <w:spacing w:val="19"/>
          <w:sz w:val="22"/>
        </w:rPr>
        <w:t> </w:t>
      </w:r>
      <w:r>
        <w:rPr>
          <w:sz w:val="22"/>
        </w:rPr>
        <w:t>barnave,</w:t>
      </w:r>
      <w:r>
        <w:rPr>
          <w:spacing w:val="19"/>
          <w:sz w:val="22"/>
        </w:rPr>
        <w:t> </w:t>
      </w:r>
      <w:r>
        <w:rPr>
          <w:sz w:val="22"/>
        </w:rPr>
        <w:t>ose</w:t>
      </w:r>
      <w:r>
        <w:rPr>
          <w:spacing w:val="18"/>
          <w:sz w:val="22"/>
        </w:rPr>
        <w:t> </w:t>
      </w:r>
      <w:r>
        <w:rPr>
          <w:sz w:val="22"/>
        </w:rPr>
        <w:t>trajtimeve</w:t>
      </w:r>
      <w:r>
        <w:rPr>
          <w:spacing w:val="19"/>
          <w:sz w:val="22"/>
        </w:rPr>
        <w:t> </w:t>
      </w:r>
      <w:r>
        <w:rPr>
          <w:sz w:val="22"/>
        </w:rPr>
        <w:t>mjekësore</w:t>
      </w:r>
      <w:r>
        <w:rPr>
          <w:spacing w:val="19"/>
          <w:sz w:val="22"/>
        </w:rPr>
        <w:t> </w:t>
      </w:r>
      <w:r>
        <w:rPr>
          <w:sz w:val="22"/>
        </w:rPr>
        <w:t>që</w:t>
      </w:r>
      <w:r>
        <w:rPr>
          <w:spacing w:val="17"/>
          <w:sz w:val="22"/>
        </w:rPr>
        <w:t> </w:t>
      </w:r>
      <w:r>
        <w:rPr>
          <w:sz w:val="22"/>
        </w:rPr>
        <w:t>jepen</w:t>
      </w:r>
      <w:r>
        <w:rPr>
          <w:spacing w:val="19"/>
          <w:sz w:val="22"/>
        </w:rPr>
        <w:t> </w:t>
      </w:r>
      <w:r>
        <w:rPr>
          <w:sz w:val="22"/>
        </w:rPr>
        <w:t>vetëm</w:t>
      </w:r>
      <w:r>
        <w:rPr>
          <w:spacing w:val="19"/>
          <w:sz w:val="22"/>
        </w:rPr>
        <w:t> </w:t>
      </w:r>
      <w:r>
        <w:rPr>
          <w:spacing w:val="-3"/>
          <w:sz w:val="22"/>
        </w:rPr>
        <w:t>me</w:t>
      </w:r>
      <w:r>
        <w:rPr>
          <w:spacing w:val="19"/>
          <w:sz w:val="22"/>
        </w:rPr>
        <w:t> </w:t>
      </w:r>
      <w:r>
        <w:rPr>
          <w:sz w:val="22"/>
        </w:rPr>
        <w:t>recetën</w:t>
      </w:r>
      <w:r>
        <w:rPr>
          <w:spacing w:val="17"/>
          <w:sz w:val="22"/>
        </w:rPr>
        <w:t> </w:t>
      </w:r>
      <w:r>
        <w:rPr>
          <w:sz w:val="22"/>
        </w:rPr>
        <w:t>e</w:t>
      </w:r>
    </w:p>
    <w:p>
      <w:pPr>
        <w:pStyle w:val="BodyText"/>
        <w:spacing w:line="252" w:lineRule="exact"/>
        <w:ind w:firstLine="0"/>
      </w:pPr>
      <w:r>
        <w:rPr/>
        <w:t>mjekut.</w:t>
      </w:r>
    </w:p>
    <w:p>
      <w:pPr>
        <w:pStyle w:val="BodyText"/>
        <w:ind w:left="0" w:firstLine="0"/>
        <w:rPr>
          <w:sz w:val="14"/>
        </w:rPr>
      </w:pPr>
    </w:p>
    <w:p>
      <w:pPr>
        <w:pStyle w:val="BodyText"/>
        <w:spacing w:before="92"/>
        <w:ind w:left="146" w:right="146" w:firstLine="0"/>
        <w:jc w:val="center"/>
      </w:pPr>
      <w:r>
        <w:rPr/>
        <w:t>Neni 45</w:t>
      </w:r>
    </w:p>
    <w:p>
      <w:pPr>
        <w:pStyle w:val="Heading1"/>
        <w:spacing w:before="6"/>
      </w:pPr>
      <w:r>
        <w:rPr/>
        <w:t>Sponsorizimi i shërbimeve të transmetimeve</w:t>
      </w:r>
    </w:p>
    <w:p>
      <w:pPr>
        <w:pStyle w:val="BodyText"/>
        <w:spacing w:before="5"/>
        <w:ind w:left="0" w:firstLine="0"/>
        <w:rPr>
          <w:b/>
          <w:sz w:val="21"/>
        </w:rPr>
      </w:pPr>
    </w:p>
    <w:p>
      <w:pPr>
        <w:pStyle w:val="ListParagraph"/>
        <w:numPr>
          <w:ilvl w:val="0"/>
          <w:numId w:val="88"/>
        </w:numPr>
        <w:tabs>
          <w:tab w:pos="1117" w:val="left" w:leader="none"/>
        </w:tabs>
        <w:spacing w:line="240" w:lineRule="auto" w:before="0" w:after="0"/>
        <w:ind w:left="120" w:right="116" w:firstLine="720"/>
        <w:jc w:val="both"/>
        <w:rPr>
          <w:sz w:val="22"/>
        </w:rPr>
      </w:pPr>
      <w:r>
        <w:rPr>
          <w:sz w:val="22"/>
        </w:rPr>
        <w:t>Shërbimet e sponsorizuara të transmetimit audio dhe audioviziv duhet të plotësojnë këto kërkesa:</w:t>
      </w:r>
    </w:p>
    <w:p>
      <w:pPr>
        <w:pStyle w:val="ListParagraph"/>
        <w:numPr>
          <w:ilvl w:val="0"/>
          <w:numId w:val="89"/>
        </w:numPr>
        <w:tabs>
          <w:tab w:pos="1078" w:val="left" w:leader="none"/>
        </w:tabs>
        <w:spacing w:line="240" w:lineRule="auto" w:before="0" w:after="0"/>
        <w:ind w:left="120" w:right="118" w:firstLine="720"/>
        <w:jc w:val="both"/>
        <w:rPr>
          <w:sz w:val="22"/>
        </w:rPr>
      </w:pPr>
      <w:r>
        <w:rPr>
          <w:sz w:val="22"/>
        </w:rPr>
        <w:t>përmbajtja e tyre dhe listimi i programeve nuk duhet në asnjë rast të ndikohen në një mënyrë  të tillë, që të prekin përgjegjësinë dhe pavarësinë editoriale të shërbimit</w:t>
      </w:r>
      <w:r>
        <w:rPr>
          <w:spacing w:val="-9"/>
          <w:sz w:val="22"/>
        </w:rPr>
        <w:t> </w:t>
      </w:r>
      <w:r>
        <w:rPr>
          <w:sz w:val="22"/>
        </w:rPr>
        <w:t>mediatik;</w:t>
      </w:r>
    </w:p>
    <w:p>
      <w:pPr>
        <w:pStyle w:val="ListParagraph"/>
        <w:numPr>
          <w:ilvl w:val="0"/>
          <w:numId w:val="89"/>
        </w:numPr>
        <w:tabs>
          <w:tab w:pos="1155" w:val="left" w:leader="none"/>
        </w:tabs>
        <w:spacing w:line="240" w:lineRule="auto" w:before="1" w:after="0"/>
        <w:ind w:left="120" w:right="119" w:firstLine="720"/>
        <w:jc w:val="both"/>
        <w:rPr>
          <w:sz w:val="22"/>
        </w:rPr>
      </w:pPr>
      <w:r>
        <w:rPr>
          <w:sz w:val="22"/>
        </w:rPr>
        <w:t>nuk duhet të nxisin drejtpërsëdrejti blerjen apo porositjen e mallrave apo shërbimeve, veçanërisht duke bërë përmendje të posaçme promocionale për këto mallra e</w:t>
      </w:r>
      <w:r>
        <w:rPr>
          <w:spacing w:val="-9"/>
          <w:sz w:val="22"/>
        </w:rPr>
        <w:t> </w:t>
      </w:r>
      <w:r>
        <w:rPr>
          <w:sz w:val="22"/>
        </w:rPr>
        <w:t>shërbime;</w:t>
      </w:r>
    </w:p>
    <w:p>
      <w:pPr>
        <w:pStyle w:val="ListParagraph"/>
        <w:numPr>
          <w:ilvl w:val="0"/>
          <w:numId w:val="89"/>
        </w:numPr>
        <w:tabs>
          <w:tab w:pos="1100" w:val="left" w:leader="none"/>
        </w:tabs>
        <w:spacing w:line="240" w:lineRule="auto" w:before="0" w:after="0"/>
        <w:ind w:left="120" w:right="115" w:firstLine="720"/>
        <w:jc w:val="both"/>
        <w:rPr>
          <w:sz w:val="22"/>
        </w:rPr>
      </w:pPr>
      <w:r>
        <w:rPr>
          <w:sz w:val="22"/>
        </w:rPr>
        <w:t>shikuesit duhet të informohen në mënyrë të qartë për marrëveshjen e sponsorizimit, mbi të cilën mbështetet programi. Programet e sponsorizuara duhet të identifikohen qartë nga emri, stema dhe/ose simbole të tjera të subjektit sponsorizues, si nëpërmjet një shenje të dallueshme në fillim, gjatë tij ose në përfundim të</w:t>
      </w:r>
      <w:r>
        <w:rPr>
          <w:spacing w:val="-7"/>
          <w:sz w:val="22"/>
        </w:rPr>
        <w:t> </w:t>
      </w:r>
      <w:r>
        <w:rPr>
          <w:sz w:val="22"/>
        </w:rPr>
        <w:t>programit.</w:t>
      </w:r>
    </w:p>
    <w:p>
      <w:pPr>
        <w:pStyle w:val="ListParagraph"/>
        <w:numPr>
          <w:ilvl w:val="0"/>
          <w:numId w:val="88"/>
        </w:numPr>
        <w:tabs>
          <w:tab w:pos="1095" w:val="left" w:leader="none"/>
        </w:tabs>
        <w:spacing w:line="240" w:lineRule="auto" w:before="1" w:after="0"/>
        <w:ind w:left="120" w:right="112" w:firstLine="720"/>
        <w:jc w:val="both"/>
        <w:rPr>
          <w:sz w:val="22"/>
        </w:rPr>
      </w:pPr>
      <w:r>
        <w:rPr>
          <w:sz w:val="22"/>
        </w:rPr>
        <w:t>Shërbimet e transmetimit audioviziv nuk mund të sponsorizohen nga shoqëri, persona apo sipërmarrje, veprimtaria kryesore e të cilave është prodhimi apo tregtimi i cigareve apo prodhimeve të tjera të</w:t>
      </w:r>
      <w:r>
        <w:rPr>
          <w:spacing w:val="-2"/>
          <w:sz w:val="22"/>
        </w:rPr>
        <w:t> </w:t>
      </w:r>
      <w:r>
        <w:rPr>
          <w:sz w:val="22"/>
        </w:rPr>
        <w:t>duhanit.</w:t>
      </w:r>
    </w:p>
    <w:p>
      <w:pPr>
        <w:pStyle w:val="ListParagraph"/>
        <w:numPr>
          <w:ilvl w:val="0"/>
          <w:numId w:val="88"/>
        </w:numPr>
        <w:tabs>
          <w:tab w:pos="1078" w:val="left" w:leader="none"/>
        </w:tabs>
        <w:spacing w:line="240" w:lineRule="auto" w:before="0" w:after="0"/>
        <w:ind w:left="120" w:right="113" w:firstLine="720"/>
        <w:jc w:val="both"/>
        <w:rPr>
          <w:sz w:val="22"/>
        </w:rPr>
      </w:pPr>
      <w:r>
        <w:rPr>
          <w:sz w:val="22"/>
        </w:rPr>
        <w:t>Sponsorizimi i shërbimeve të transmetimit audio dhe audioviziv ose programeve nga shoqëri, persona ose sipërmarrje, veprimtaria kryesore e të cilave përfshin prodhimin ose shitjen e barnave, produkteve farmaceutike dhe shërbimeve mjekësore, mund të përmendë vetëm emrin ose të tregojë stemën ose imazhe të tjera të tipit përfaqësues të subjektit sponsorizues, por nuk mund të reklamojë  barna, prodhime të veçanta farmaceutike ose shërbime të caktuara mjekësore që jepen vetëm me recetën e mjekut.</w:t>
      </w:r>
    </w:p>
    <w:p>
      <w:pPr>
        <w:pStyle w:val="ListParagraph"/>
        <w:numPr>
          <w:ilvl w:val="0"/>
          <w:numId w:val="88"/>
        </w:numPr>
        <w:tabs>
          <w:tab w:pos="1061" w:val="left" w:leader="none"/>
        </w:tabs>
        <w:spacing w:line="251" w:lineRule="exact" w:before="0" w:after="0"/>
        <w:ind w:left="1060" w:right="0" w:hanging="221"/>
        <w:jc w:val="left"/>
        <w:rPr>
          <w:sz w:val="22"/>
        </w:rPr>
      </w:pPr>
      <w:r>
        <w:rPr>
          <w:sz w:val="22"/>
        </w:rPr>
        <w:t>Lajmet dhe programet informative që lidhen me politikën nuk mund të</w:t>
      </w:r>
      <w:r>
        <w:rPr>
          <w:spacing w:val="-12"/>
          <w:sz w:val="22"/>
        </w:rPr>
        <w:t> </w:t>
      </w:r>
      <w:r>
        <w:rPr>
          <w:sz w:val="22"/>
        </w:rPr>
        <w:t>sponsorizohen.</w:t>
      </w:r>
    </w:p>
    <w:p>
      <w:pPr>
        <w:pStyle w:val="ListParagraph"/>
        <w:numPr>
          <w:ilvl w:val="0"/>
          <w:numId w:val="88"/>
        </w:numPr>
        <w:tabs>
          <w:tab w:pos="1090" w:val="left" w:leader="none"/>
        </w:tabs>
        <w:spacing w:line="240" w:lineRule="auto" w:before="1" w:after="0"/>
        <w:ind w:left="120" w:right="114" w:firstLine="720"/>
        <w:jc w:val="left"/>
        <w:rPr>
          <w:sz w:val="22"/>
        </w:rPr>
      </w:pPr>
      <w:r>
        <w:rPr>
          <w:sz w:val="22"/>
        </w:rPr>
        <w:t>Ndalohet shfaqja e shenjave të sponsorizimit gjatë transmetimit të programeve për të mitur, dokumentarëve dhe programeve që kanë lidhje me besimin</w:t>
      </w:r>
      <w:r>
        <w:rPr>
          <w:spacing w:val="-2"/>
          <w:sz w:val="22"/>
        </w:rPr>
        <w:t> </w:t>
      </w:r>
      <w:r>
        <w:rPr>
          <w:sz w:val="22"/>
        </w:rPr>
        <w:t>fetar.</w:t>
      </w:r>
    </w:p>
    <w:p>
      <w:pPr>
        <w:pStyle w:val="BodyText"/>
        <w:spacing w:before="11"/>
        <w:ind w:left="0" w:firstLine="0"/>
        <w:rPr>
          <w:sz w:val="21"/>
        </w:rPr>
      </w:pPr>
    </w:p>
    <w:p>
      <w:pPr>
        <w:pStyle w:val="BodyText"/>
        <w:spacing w:line="252" w:lineRule="exact"/>
        <w:ind w:left="146" w:right="147" w:firstLine="0"/>
        <w:jc w:val="center"/>
      </w:pPr>
      <w:r>
        <w:rPr/>
        <w:t>KREU V</w:t>
      </w:r>
    </w:p>
    <w:p>
      <w:pPr>
        <w:pStyle w:val="BodyText"/>
        <w:spacing w:line="252" w:lineRule="exact"/>
        <w:ind w:left="146" w:right="146" w:firstLine="0"/>
        <w:jc w:val="center"/>
      </w:pPr>
      <w:r>
        <w:rPr/>
        <w:t>KODI DHE RREGULLORET</w:t>
      </w:r>
    </w:p>
    <w:p>
      <w:pPr>
        <w:pStyle w:val="BodyText"/>
        <w:ind w:left="0" w:firstLine="0"/>
      </w:pPr>
    </w:p>
    <w:p>
      <w:pPr>
        <w:pStyle w:val="BodyText"/>
        <w:ind w:left="146" w:right="146" w:firstLine="0"/>
        <w:jc w:val="center"/>
      </w:pPr>
      <w:r>
        <w:rPr/>
        <w:t>Neni 46</w:t>
      </w:r>
    </w:p>
    <w:p>
      <w:pPr>
        <w:pStyle w:val="Heading1"/>
        <w:ind w:right="145"/>
      </w:pPr>
      <w:r>
        <w:rPr/>
        <w:t>Kodi i transmetimit</w:t>
      </w:r>
    </w:p>
    <w:p>
      <w:pPr>
        <w:pStyle w:val="BodyText"/>
        <w:spacing w:before="7"/>
        <w:ind w:left="0" w:firstLine="0"/>
        <w:rPr>
          <w:b/>
          <w:sz w:val="21"/>
        </w:rPr>
      </w:pPr>
    </w:p>
    <w:p>
      <w:pPr>
        <w:pStyle w:val="ListParagraph"/>
        <w:numPr>
          <w:ilvl w:val="0"/>
          <w:numId w:val="90"/>
        </w:numPr>
        <w:tabs>
          <w:tab w:pos="1073" w:val="left" w:leader="none"/>
        </w:tabs>
        <w:spacing w:line="240" w:lineRule="auto" w:before="0" w:after="0"/>
        <w:ind w:left="120" w:right="116" w:firstLine="720"/>
        <w:jc w:val="left"/>
        <w:rPr>
          <w:sz w:val="22"/>
        </w:rPr>
      </w:pPr>
      <w:r>
        <w:rPr>
          <w:sz w:val="22"/>
        </w:rPr>
        <w:t>AMA përgatit dhe rishikon, në bazë të nevojës, kodin për rregullat, standardet dhe praktikat e transmetimit, sipas përcaktimeve të këtij</w:t>
      </w:r>
      <w:r>
        <w:rPr>
          <w:spacing w:val="-2"/>
          <w:sz w:val="22"/>
        </w:rPr>
        <w:t> </w:t>
      </w:r>
      <w:r>
        <w:rPr>
          <w:sz w:val="22"/>
        </w:rPr>
        <w:t>neni.</w:t>
      </w:r>
    </w:p>
    <w:p>
      <w:pPr>
        <w:pStyle w:val="ListParagraph"/>
        <w:numPr>
          <w:ilvl w:val="0"/>
          <w:numId w:val="90"/>
        </w:numPr>
        <w:tabs>
          <w:tab w:pos="1061" w:val="left" w:leader="none"/>
        </w:tabs>
        <w:spacing w:line="240" w:lineRule="auto" w:before="0" w:after="0"/>
        <w:ind w:left="1060" w:right="0" w:hanging="221"/>
        <w:jc w:val="left"/>
        <w:rPr>
          <w:sz w:val="22"/>
        </w:rPr>
      </w:pPr>
      <w:r>
        <w:rPr>
          <w:sz w:val="22"/>
        </w:rPr>
        <w:t>Kodi i transmetimit siguron</w:t>
      </w:r>
      <w:r>
        <w:rPr>
          <w:spacing w:val="-1"/>
          <w:sz w:val="22"/>
        </w:rPr>
        <w:t> </w:t>
      </w:r>
      <w:r>
        <w:rPr>
          <w:sz w:val="22"/>
        </w:rPr>
        <w:t>që:</w:t>
      </w:r>
    </w:p>
    <w:p>
      <w:pPr>
        <w:pStyle w:val="ListParagraph"/>
        <w:numPr>
          <w:ilvl w:val="0"/>
          <w:numId w:val="91"/>
        </w:numPr>
        <w:tabs>
          <w:tab w:pos="1116" w:val="left" w:leader="none"/>
        </w:tabs>
        <w:spacing w:line="240" w:lineRule="auto" w:before="2" w:after="0"/>
        <w:ind w:left="119" w:right="115" w:firstLine="720"/>
        <w:jc w:val="left"/>
        <w:rPr>
          <w:sz w:val="22"/>
        </w:rPr>
      </w:pPr>
      <w:r>
        <w:rPr>
          <w:sz w:val="22"/>
        </w:rPr>
        <w:t>të gjitha lajmet e transmetuara të njoftohen dhe të paraqiten në mënyrë objektive dhe të paanshme;</w:t>
      </w:r>
    </w:p>
    <w:p>
      <w:pPr>
        <w:pStyle w:val="ListParagraph"/>
        <w:numPr>
          <w:ilvl w:val="0"/>
          <w:numId w:val="91"/>
        </w:numPr>
        <w:tabs>
          <w:tab w:pos="1085" w:val="left" w:leader="none"/>
        </w:tabs>
        <w:spacing w:line="242" w:lineRule="auto" w:before="0" w:after="0"/>
        <w:ind w:left="119" w:right="113" w:firstLine="720"/>
        <w:jc w:val="left"/>
        <w:rPr>
          <w:sz w:val="22"/>
        </w:rPr>
      </w:pPr>
      <w:r>
        <w:rPr>
          <w:sz w:val="22"/>
        </w:rPr>
        <w:t>trajtimi i ngjarjeve, përfshirë çështjet që janë tema të debatit publik, të jetë i drejtë për të gjitha subjektet e interesuara në këto çështje dhe të paraqitet në mënyrë objektive e të</w:t>
      </w:r>
      <w:r>
        <w:rPr>
          <w:spacing w:val="-15"/>
          <w:sz w:val="22"/>
        </w:rPr>
        <w:t> </w:t>
      </w:r>
      <w:r>
        <w:rPr>
          <w:sz w:val="22"/>
        </w:rPr>
        <w:t>paanshme;</w:t>
      </w:r>
    </w:p>
    <w:p>
      <w:pPr>
        <w:pStyle w:val="ListParagraph"/>
        <w:numPr>
          <w:ilvl w:val="0"/>
          <w:numId w:val="91"/>
        </w:numPr>
        <w:tabs>
          <w:tab w:pos="1078" w:val="left" w:leader="none"/>
        </w:tabs>
        <w:spacing w:line="242" w:lineRule="auto" w:before="0" w:after="0"/>
        <w:ind w:left="119" w:right="115" w:firstLine="720"/>
        <w:jc w:val="left"/>
        <w:rPr>
          <w:sz w:val="22"/>
        </w:rPr>
      </w:pPr>
      <w:r>
        <w:rPr>
          <w:sz w:val="22"/>
        </w:rPr>
        <w:t>OSHMA-të të mos transmetojnë programe që cenojnë rregullat e etikës dhe moralit publik, që mund të nxisin vepra penale apo të cenojnë autoritetin e</w:t>
      </w:r>
      <w:r>
        <w:rPr>
          <w:spacing w:val="-7"/>
          <w:sz w:val="22"/>
        </w:rPr>
        <w:t> </w:t>
      </w:r>
      <w:r>
        <w:rPr>
          <w:sz w:val="22"/>
        </w:rPr>
        <w:t>shtetit;</w:t>
      </w:r>
    </w:p>
    <w:p>
      <w:pPr>
        <w:pStyle w:val="BodyText"/>
        <w:ind w:left="119" w:right="117"/>
      </w:pPr>
      <w:r>
        <w:rPr/>
        <w:t>ç) në programet e transmetuara nga OSHMA-të të mos cenohet e drejta e fshehtësisë së jetës private të personit;</w:t>
      </w:r>
    </w:p>
    <w:p>
      <w:pPr>
        <w:spacing w:after="0"/>
        <w:sectPr>
          <w:pgSz w:w="12240" w:h="15840"/>
          <w:pgMar w:top="1360" w:bottom="280" w:left="1320" w:right="1320"/>
        </w:sectPr>
      </w:pPr>
    </w:p>
    <w:p>
      <w:pPr>
        <w:pStyle w:val="ListParagraph"/>
        <w:numPr>
          <w:ilvl w:val="0"/>
          <w:numId w:val="91"/>
        </w:numPr>
        <w:tabs>
          <w:tab w:pos="1109" w:val="left" w:leader="none"/>
        </w:tabs>
        <w:spacing w:line="240" w:lineRule="auto" w:before="74" w:after="0"/>
        <w:ind w:left="120" w:right="115" w:firstLine="720"/>
        <w:jc w:val="both"/>
        <w:rPr>
          <w:sz w:val="22"/>
        </w:rPr>
      </w:pPr>
      <w:r>
        <w:rPr>
          <w:sz w:val="22"/>
        </w:rPr>
        <w:t>OSHMA-të të mos shfaqin njëanshmëri për ndonjë forcë politike gjatë ndarjes së kohës të transmetimit për veprimtaritë e subjekteve</w:t>
      </w:r>
      <w:r>
        <w:rPr>
          <w:spacing w:val="-1"/>
          <w:sz w:val="22"/>
        </w:rPr>
        <w:t> </w:t>
      </w:r>
      <w:r>
        <w:rPr>
          <w:sz w:val="22"/>
        </w:rPr>
        <w:t>politike;</w:t>
      </w:r>
    </w:p>
    <w:p>
      <w:pPr>
        <w:pStyle w:val="BodyText"/>
        <w:ind w:right="113"/>
        <w:jc w:val="both"/>
      </w:pPr>
      <w:r>
        <w:rPr/>
        <w:t>dh) në çështjet që përfshijnë moralin dhe etikën në materialet programore, veçanërisht paraqitja e sjelljeve të dhunshme dhe seksuale të realizohet me kujdesin e duhur ndaj ndjeshmërisë të publikut dhe efekteve të programeve të tilla në zhvillimin moral, mendor e fizik të të miturve. OSHMA-të nuk lejohet të transmetojnë programe që mund të dëmtojnë seriozisht zhvillimin fizik, mendor, ose moral të të miturve, në veçanti programe që përmbajnë pornografi ose që paraqesin skena dhune të skajshme dhe artificiale. OSHMA-të nuk lejohet të shfaqin programe të tjera që mund të dëmtojnë zhvillimin fizik, mendor dhe moral të të miturve, përveç rasteve kur sigurohet, duke zgjedhur orarin e transmetimit ose ndonjë masë tjetër teknike, që të miturit normalisht nuk i shikojnë ose dëgjojnë të tilla transmetime. Kur programe të tilla transmetohen në formë të hapur ato duhet të paraprihen nga një paralajmërim akustik ose të identifikohen nga prezenca e një simboli viziv gjatë gjithë kohëzgjatjes së</w:t>
      </w:r>
      <w:r>
        <w:rPr>
          <w:spacing w:val="-12"/>
        </w:rPr>
        <w:t> </w:t>
      </w:r>
      <w:r>
        <w:rPr/>
        <w:t>tyre;</w:t>
      </w:r>
    </w:p>
    <w:p>
      <w:pPr>
        <w:pStyle w:val="ListParagraph"/>
        <w:numPr>
          <w:ilvl w:val="0"/>
          <w:numId w:val="91"/>
        </w:numPr>
        <w:tabs>
          <w:tab w:pos="1119" w:val="left" w:leader="none"/>
        </w:tabs>
        <w:spacing w:line="240" w:lineRule="auto" w:before="0" w:after="0"/>
        <w:ind w:left="120" w:right="114" w:firstLine="720"/>
        <w:jc w:val="both"/>
        <w:rPr>
          <w:sz w:val="22"/>
        </w:rPr>
      </w:pPr>
      <w:r>
        <w:rPr>
          <w:sz w:val="22"/>
        </w:rPr>
        <w:t>reklamat, shitjet e drejtpërdrejta, materialet e shitjeve të drejtpërdrejta, sponsorizimet dhe format e tjera të paraqitjes tregtare, të përdorura në çdo shërbim transmetimi, veçanërisht ato që lidhen me çështje që mund të jenë drejtpërsëdrejti ose jo në interes të të miturve, duhet të ruajnë interesin e tyre, duke pasur kujdes të veçantë për shëndetin e</w:t>
      </w:r>
      <w:r>
        <w:rPr>
          <w:spacing w:val="-6"/>
          <w:sz w:val="22"/>
        </w:rPr>
        <w:t> </w:t>
      </w:r>
      <w:r>
        <w:rPr>
          <w:sz w:val="22"/>
        </w:rPr>
        <w:t>tyre;</w:t>
      </w:r>
    </w:p>
    <w:p>
      <w:pPr>
        <w:pStyle w:val="BodyText"/>
        <w:ind w:right="114"/>
        <w:jc w:val="both"/>
      </w:pPr>
      <w:r>
        <w:rPr/>
        <w:t>ë) reklamat, shitjet e drejtpërdrejta, materialet e shitjeve të drejtpërdrejta, sponsorizimet dhe format e tjera të paraqitjes tregtare, të përdorura në çdo shërbim transmetimi, të ndryshme nga ato të përcaktuara në shkronjën “e” të kësaj pike, të ruajnë interesat e shikuesve dhe të dëgjuesve;</w:t>
      </w:r>
    </w:p>
    <w:p>
      <w:pPr>
        <w:pStyle w:val="ListParagraph"/>
        <w:numPr>
          <w:ilvl w:val="0"/>
          <w:numId w:val="91"/>
        </w:numPr>
        <w:tabs>
          <w:tab w:pos="1056" w:val="left" w:leader="none"/>
        </w:tabs>
        <w:spacing w:line="240" w:lineRule="auto" w:before="0" w:after="0"/>
        <w:ind w:left="120" w:right="114" w:firstLine="720"/>
        <w:jc w:val="left"/>
        <w:rPr>
          <w:sz w:val="22"/>
        </w:rPr>
      </w:pPr>
      <w:r>
        <w:rPr>
          <w:sz w:val="22"/>
        </w:rPr>
        <w:t>shërbimi i transmetimit, i cili ka për qëllim parësor mbështetjen e interesave të një organizate, të ruajë interesat e shikuesve e të</w:t>
      </w:r>
      <w:r>
        <w:rPr>
          <w:spacing w:val="-3"/>
          <w:sz w:val="22"/>
        </w:rPr>
        <w:t> </w:t>
      </w:r>
      <w:r>
        <w:rPr>
          <w:sz w:val="22"/>
        </w:rPr>
        <w:t>dëgjuesve;</w:t>
      </w:r>
    </w:p>
    <w:p>
      <w:pPr>
        <w:pStyle w:val="ListParagraph"/>
        <w:numPr>
          <w:ilvl w:val="0"/>
          <w:numId w:val="91"/>
        </w:numPr>
        <w:tabs>
          <w:tab w:pos="1078" w:val="left" w:leader="none"/>
        </w:tabs>
        <w:spacing w:line="252" w:lineRule="exact" w:before="0" w:after="0"/>
        <w:ind w:left="1077" w:right="0" w:hanging="238"/>
        <w:jc w:val="left"/>
        <w:rPr>
          <w:sz w:val="22"/>
        </w:rPr>
      </w:pPr>
      <w:r>
        <w:rPr>
          <w:sz w:val="22"/>
        </w:rPr>
        <w:t>të zbatohen kërkesat e neneve 42-46 të këtij ligji.</w:t>
      </w:r>
    </w:p>
    <w:p>
      <w:pPr>
        <w:pStyle w:val="ListParagraph"/>
        <w:numPr>
          <w:ilvl w:val="0"/>
          <w:numId w:val="90"/>
        </w:numPr>
        <w:tabs>
          <w:tab w:pos="1061" w:val="left" w:leader="none"/>
        </w:tabs>
        <w:spacing w:line="252" w:lineRule="exact" w:before="0" w:after="0"/>
        <w:ind w:left="1060" w:right="0" w:hanging="221"/>
        <w:jc w:val="left"/>
        <w:rPr>
          <w:sz w:val="22"/>
        </w:rPr>
      </w:pPr>
      <w:r>
        <w:rPr>
          <w:sz w:val="22"/>
        </w:rPr>
        <w:t>Në përgatitjen apo rishikimin e kodit të transmetimit, AMA duhet të mbajë</w:t>
      </w:r>
      <w:r>
        <w:rPr>
          <w:spacing w:val="-14"/>
          <w:sz w:val="22"/>
        </w:rPr>
        <w:t> </w:t>
      </w:r>
      <w:r>
        <w:rPr>
          <w:sz w:val="22"/>
        </w:rPr>
        <w:t>parasysh:</w:t>
      </w:r>
    </w:p>
    <w:p>
      <w:pPr>
        <w:pStyle w:val="ListParagraph"/>
        <w:numPr>
          <w:ilvl w:val="0"/>
          <w:numId w:val="92"/>
        </w:numPr>
        <w:tabs>
          <w:tab w:pos="1085" w:val="left" w:leader="none"/>
        </w:tabs>
        <w:spacing w:line="240" w:lineRule="auto" w:before="0" w:after="0"/>
        <w:ind w:left="120" w:right="115" w:firstLine="720"/>
        <w:jc w:val="left"/>
        <w:rPr>
          <w:sz w:val="22"/>
        </w:rPr>
      </w:pPr>
      <w:r>
        <w:rPr>
          <w:sz w:val="22"/>
        </w:rPr>
        <w:t>shkallën e dëmit së shkaktuar nga paraqitja e ndonjë lloj materiali në programe përgjithësisht ose në programe të një natyre të</w:t>
      </w:r>
      <w:r>
        <w:rPr>
          <w:spacing w:val="-3"/>
          <w:sz w:val="22"/>
        </w:rPr>
        <w:t> </w:t>
      </w:r>
      <w:r>
        <w:rPr>
          <w:sz w:val="22"/>
        </w:rPr>
        <w:t>caktuar;</w:t>
      </w:r>
    </w:p>
    <w:p>
      <w:pPr>
        <w:pStyle w:val="ListParagraph"/>
        <w:numPr>
          <w:ilvl w:val="0"/>
          <w:numId w:val="92"/>
        </w:numPr>
        <w:tabs>
          <w:tab w:pos="1121" w:val="left" w:leader="none"/>
        </w:tabs>
        <w:spacing w:line="240" w:lineRule="auto" w:before="0" w:after="0"/>
        <w:ind w:left="120" w:right="114" w:firstLine="720"/>
        <w:jc w:val="left"/>
        <w:rPr>
          <w:sz w:val="22"/>
        </w:rPr>
      </w:pPr>
      <w:r>
        <w:rPr>
          <w:sz w:val="22"/>
        </w:rPr>
        <w:t>masën dhe përbërjen e audiencës së mundshme për programet audiovizive në shërbimet e transmetimit në përgjithësi ose të një natyre të</w:t>
      </w:r>
      <w:r>
        <w:rPr>
          <w:spacing w:val="-3"/>
          <w:sz w:val="22"/>
        </w:rPr>
        <w:t> </w:t>
      </w:r>
      <w:r>
        <w:rPr>
          <w:sz w:val="22"/>
        </w:rPr>
        <w:t>caktuar;</w:t>
      </w:r>
    </w:p>
    <w:p>
      <w:pPr>
        <w:pStyle w:val="ListParagraph"/>
        <w:numPr>
          <w:ilvl w:val="0"/>
          <w:numId w:val="92"/>
        </w:numPr>
        <w:tabs>
          <w:tab w:pos="1073" w:val="left" w:leader="none"/>
        </w:tabs>
        <w:spacing w:line="240" w:lineRule="auto" w:before="0" w:after="0"/>
        <w:ind w:left="120" w:right="115" w:firstLine="720"/>
        <w:jc w:val="left"/>
        <w:rPr>
          <w:sz w:val="22"/>
        </w:rPr>
      </w:pPr>
      <w:r>
        <w:rPr>
          <w:sz w:val="22"/>
        </w:rPr>
        <w:t>natyrën e përmbajtjes së programit dhe shkallën e njoftimit të publikut të mundshëm lidhur me këtë</w:t>
      </w:r>
      <w:r>
        <w:rPr>
          <w:spacing w:val="-1"/>
          <w:sz w:val="22"/>
        </w:rPr>
        <w:t> </w:t>
      </w:r>
      <w:r>
        <w:rPr>
          <w:sz w:val="22"/>
        </w:rPr>
        <w:t>natyrë;</w:t>
      </w:r>
    </w:p>
    <w:p>
      <w:pPr>
        <w:pStyle w:val="BodyText"/>
        <w:ind w:right="117"/>
      </w:pPr>
      <w:r>
        <w:rPr/>
        <w:t>ç) vullnetin për të siguruar që përmbajtja e transmetimeve të përputhet me ndryshimet përkatëse në kodin e transmetimeve, në rastin kur kryhen këto ndryshime;</w:t>
      </w:r>
    </w:p>
    <w:p>
      <w:pPr>
        <w:pStyle w:val="ListParagraph"/>
        <w:numPr>
          <w:ilvl w:val="0"/>
          <w:numId w:val="92"/>
        </w:numPr>
        <w:tabs>
          <w:tab w:pos="1081" w:val="left" w:leader="none"/>
        </w:tabs>
        <w:spacing w:line="252" w:lineRule="exact" w:before="0" w:after="0"/>
        <w:ind w:left="1080" w:right="0" w:hanging="241"/>
        <w:jc w:val="both"/>
        <w:rPr>
          <w:sz w:val="22"/>
        </w:rPr>
      </w:pPr>
      <w:r>
        <w:rPr>
          <w:sz w:val="22"/>
        </w:rPr>
        <w:t>vullnetin e sigurimit të pavarësisë së kontrollit editorial mbi përmbajtjen e</w:t>
      </w:r>
      <w:r>
        <w:rPr>
          <w:spacing w:val="-13"/>
          <w:sz w:val="22"/>
        </w:rPr>
        <w:t> </w:t>
      </w:r>
      <w:r>
        <w:rPr>
          <w:sz w:val="22"/>
        </w:rPr>
        <w:t>programeve.</w:t>
      </w:r>
    </w:p>
    <w:p>
      <w:pPr>
        <w:pStyle w:val="ListParagraph"/>
        <w:numPr>
          <w:ilvl w:val="0"/>
          <w:numId w:val="90"/>
        </w:numPr>
        <w:tabs>
          <w:tab w:pos="1073" w:val="left" w:leader="none"/>
        </w:tabs>
        <w:spacing w:line="240" w:lineRule="auto" w:before="0" w:after="0"/>
        <w:ind w:left="120" w:right="114" w:firstLine="720"/>
        <w:jc w:val="both"/>
        <w:rPr>
          <w:sz w:val="22"/>
        </w:rPr>
      </w:pPr>
      <w:r>
        <w:rPr>
          <w:sz w:val="22"/>
        </w:rPr>
        <w:t>Kodi i transmetimit, i miratuar nga AMA mund të ndalojë reklamat e kategorive të veçanta të ushqimeve dhe pijeve që konsiderohen se janë të dëmshme për të miturit, veçanërisht ato me përmbajtje  të lartë yndyre, sheqeri, kripe etj. Në përgatitjen e kodit të transmetimit, AMA duhet të këshillohet paraprakisht me autoritetet përkatëse të shëndetit</w:t>
      </w:r>
      <w:r>
        <w:rPr>
          <w:spacing w:val="-6"/>
          <w:sz w:val="22"/>
        </w:rPr>
        <w:t> </w:t>
      </w:r>
      <w:r>
        <w:rPr>
          <w:sz w:val="22"/>
        </w:rPr>
        <w:t>publik.</w:t>
      </w:r>
    </w:p>
    <w:p>
      <w:pPr>
        <w:pStyle w:val="ListParagraph"/>
        <w:numPr>
          <w:ilvl w:val="0"/>
          <w:numId w:val="90"/>
        </w:numPr>
        <w:tabs>
          <w:tab w:pos="1061" w:val="left" w:leader="none"/>
        </w:tabs>
        <w:spacing w:line="252" w:lineRule="exact" w:before="0" w:after="0"/>
        <w:ind w:left="1060" w:right="0" w:hanging="221"/>
        <w:jc w:val="left"/>
        <w:rPr>
          <w:sz w:val="22"/>
        </w:rPr>
      </w:pPr>
      <w:r>
        <w:rPr>
          <w:sz w:val="22"/>
        </w:rPr>
        <w:t>Në kodin e transmetimit, AMA përcakton në mënyrë të</w:t>
      </w:r>
      <w:r>
        <w:rPr>
          <w:spacing w:val="-8"/>
          <w:sz w:val="22"/>
        </w:rPr>
        <w:t> </w:t>
      </w:r>
      <w:r>
        <w:rPr>
          <w:sz w:val="22"/>
        </w:rPr>
        <w:t>veçantë:</w:t>
      </w:r>
    </w:p>
    <w:p>
      <w:pPr>
        <w:pStyle w:val="ListParagraph"/>
        <w:numPr>
          <w:ilvl w:val="0"/>
          <w:numId w:val="93"/>
        </w:numPr>
        <w:tabs>
          <w:tab w:pos="1069" w:val="left" w:leader="none"/>
        </w:tabs>
        <w:spacing w:line="252" w:lineRule="exact" w:before="0" w:after="0"/>
        <w:ind w:left="1068" w:right="0" w:hanging="229"/>
        <w:jc w:val="left"/>
        <w:rPr>
          <w:sz w:val="22"/>
        </w:rPr>
      </w:pPr>
      <w:r>
        <w:rPr>
          <w:sz w:val="22"/>
        </w:rPr>
        <w:t>standardet e</w:t>
      </w:r>
      <w:r>
        <w:rPr>
          <w:spacing w:val="-3"/>
          <w:sz w:val="22"/>
        </w:rPr>
        <w:t> </w:t>
      </w:r>
      <w:r>
        <w:rPr>
          <w:sz w:val="22"/>
        </w:rPr>
        <w:t>programit;</w:t>
      </w:r>
    </w:p>
    <w:p>
      <w:pPr>
        <w:pStyle w:val="ListParagraph"/>
        <w:numPr>
          <w:ilvl w:val="0"/>
          <w:numId w:val="93"/>
        </w:numPr>
        <w:tabs>
          <w:tab w:pos="1081" w:val="left" w:leader="none"/>
        </w:tabs>
        <w:spacing w:line="252" w:lineRule="exact" w:before="0" w:after="0"/>
        <w:ind w:left="1080" w:right="0" w:hanging="241"/>
        <w:jc w:val="left"/>
        <w:rPr>
          <w:sz w:val="22"/>
        </w:rPr>
      </w:pPr>
      <w:r>
        <w:rPr>
          <w:sz w:val="22"/>
        </w:rPr>
        <w:t>kërkesat për reklamat drejtuar të</w:t>
      </w:r>
      <w:r>
        <w:rPr>
          <w:spacing w:val="-6"/>
          <w:sz w:val="22"/>
        </w:rPr>
        <w:t> </w:t>
      </w:r>
      <w:r>
        <w:rPr>
          <w:sz w:val="22"/>
        </w:rPr>
        <w:t>miturve;</w:t>
      </w:r>
    </w:p>
    <w:p>
      <w:pPr>
        <w:pStyle w:val="ListParagraph"/>
        <w:numPr>
          <w:ilvl w:val="0"/>
          <w:numId w:val="93"/>
        </w:numPr>
        <w:tabs>
          <w:tab w:pos="1069" w:val="left" w:leader="none"/>
        </w:tabs>
        <w:spacing w:line="252" w:lineRule="exact" w:before="2" w:after="0"/>
        <w:ind w:left="1068" w:right="0" w:hanging="229"/>
        <w:jc w:val="left"/>
        <w:rPr>
          <w:sz w:val="22"/>
        </w:rPr>
      </w:pPr>
      <w:r>
        <w:rPr>
          <w:sz w:val="22"/>
        </w:rPr>
        <w:t>kërkesat për</w:t>
      </w:r>
      <w:r>
        <w:rPr>
          <w:spacing w:val="-5"/>
          <w:sz w:val="22"/>
        </w:rPr>
        <w:t> </w:t>
      </w:r>
      <w:r>
        <w:rPr>
          <w:sz w:val="22"/>
        </w:rPr>
        <w:t>reklamat;</w:t>
      </w:r>
    </w:p>
    <w:p>
      <w:pPr>
        <w:pStyle w:val="BodyText"/>
      </w:pPr>
      <w:r>
        <w:rPr/>
        <w:t>ç) kërkesat për implementimin e promovimit progresiv të veprave europiane dhe veprave të pavarura;</w:t>
      </w:r>
    </w:p>
    <w:p>
      <w:pPr>
        <w:pStyle w:val="ListParagraph"/>
        <w:numPr>
          <w:ilvl w:val="0"/>
          <w:numId w:val="93"/>
        </w:numPr>
        <w:tabs>
          <w:tab w:pos="1081" w:val="left" w:leader="none"/>
        </w:tabs>
        <w:spacing w:line="240" w:lineRule="auto" w:before="0" w:after="0"/>
        <w:ind w:left="1080" w:right="0" w:hanging="241"/>
        <w:jc w:val="left"/>
        <w:rPr>
          <w:sz w:val="22"/>
        </w:rPr>
      </w:pPr>
      <w:r>
        <w:rPr>
          <w:sz w:val="22"/>
        </w:rPr>
        <w:t>kërkesat për mbrojtjen e të dhënave</w:t>
      </w:r>
      <w:r>
        <w:rPr>
          <w:spacing w:val="-4"/>
          <w:sz w:val="22"/>
        </w:rPr>
        <w:t> </w:t>
      </w:r>
      <w:r>
        <w:rPr>
          <w:sz w:val="22"/>
        </w:rPr>
        <w:t>personale.</w:t>
      </w:r>
    </w:p>
    <w:p>
      <w:pPr>
        <w:pStyle w:val="BodyText"/>
        <w:ind w:left="0" w:firstLine="0"/>
      </w:pPr>
    </w:p>
    <w:p>
      <w:pPr>
        <w:pStyle w:val="BodyText"/>
        <w:ind w:left="146" w:right="146" w:firstLine="0"/>
        <w:jc w:val="center"/>
      </w:pPr>
      <w:r>
        <w:rPr/>
        <w:t>Neni 47</w:t>
      </w:r>
    </w:p>
    <w:p>
      <w:pPr>
        <w:pStyle w:val="Heading1"/>
      </w:pPr>
      <w:r>
        <w:rPr/>
        <w:t>Rregulloret e transmetimit</w:t>
      </w:r>
    </w:p>
    <w:p>
      <w:pPr>
        <w:pStyle w:val="BodyText"/>
        <w:spacing w:before="7"/>
        <w:ind w:left="0" w:firstLine="0"/>
        <w:rPr>
          <w:b/>
          <w:sz w:val="21"/>
        </w:rPr>
      </w:pPr>
    </w:p>
    <w:p>
      <w:pPr>
        <w:pStyle w:val="ListParagraph"/>
        <w:numPr>
          <w:ilvl w:val="0"/>
          <w:numId w:val="94"/>
        </w:numPr>
        <w:tabs>
          <w:tab w:pos="1062" w:val="left" w:leader="none"/>
        </w:tabs>
        <w:spacing w:line="240" w:lineRule="auto" w:before="0" w:after="0"/>
        <w:ind w:left="1061" w:right="0" w:hanging="222"/>
        <w:jc w:val="both"/>
        <w:rPr>
          <w:sz w:val="22"/>
        </w:rPr>
      </w:pPr>
      <w:r>
        <w:rPr>
          <w:sz w:val="22"/>
        </w:rPr>
        <w:t>AMA, në përputhje me kërkesat e neneve 43-46 të këtij ligji miraton rregulloren</w:t>
      </w:r>
      <w:r>
        <w:rPr>
          <w:spacing w:val="-15"/>
          <w:sz w:val="22"/>
        </w:rPr>
        <w:t> </w:t>
      </w:r>
      <w:r>
        <w:rPr>
          <w:sz w:val="22"/>
        </w:rPr>
        <w:t>për:</w:t>
      </w:r>
    </w:p>
    <w:p>
      <w:pPr>
        <w:pStyle w:val="ListParagraph"/>
        <w:numPr>
          <w:ilvl w:val="0"/>
          <w:numId w:val="95"/>
        </w:numPr>
        <w:tabs>
          <w:tab w:pos="1081" w:val="left" w:leader="none"/>
        </w:tabs>
        <w:spacing w:line="240" w:lineRule="auto" w:before="1" w:after="0"/>
        <w:ind w:left="120" w:right="114" w:firstLine="720"/>
        <w:jc w:val="both"/>
        <w:rPr>
          <w:sz w:val="22"/>
        </w:rPr>
      </w:pPr>
      <w:r>
        <w:rPr>
          <w:sz w:val="22"/>
        </w:rPr>
        <w:t>kohën ditore të lejuar për transmetimin e reklamave dhe shitjeve të drejtpërdrejta, materialeve të shitjeve të drejtpërdrejta në një shërbim transmetimi, sipas kushteve të përcaktuara në licencë dhe/ose autorizim;</w:t>
      </w:r>
    </w:p>
    <w:p>
      <w:pPr>
        <w:spacing w:after="0" w:line="240" w:lineRule="auto"/>
        <w:jc w:val="both"/>
        <w:rPr>
          <w:sz w:val="22"/>
        </w:rPr>
        <w:sectPr>
          <w:pgSz w:w="12240" w:h="15840"/>
          <w:pgMar w:top="1360" w:bottom="280" w:left="1320" w:right="1320"/>
        </w:sectPr>
      </w:pPr>
    </w:p>
    <w:p>
      <w:pPr>
        <w:pStyle w:val="ListParagraph"/>
        <w:numPr>
          <w:ilvl w:val="0"/>
          <w:numId w:val="95"/>
        </w:numPr>
        <w:tabs>
          <w:tab w:pos="1097" w:val="left" w:leader="none"/>
        </w:tabs>
        <w:spacing w:line="240" w:lineRule="auto" w:before="74" w:after="0"/>
        <w:ind w:left="120" w:right="113" w:firstLine="720"/>
        <w:jc w:val="both"/>
        <w:rPr>
          <w:sz w:val="22"/>
        </w:rPr>
      </w:pPr>
      <w:r>
        <w:rPr>
          <w:sz w:val="22"/>
        </w:rPr>
        <w:t>kohën maksimale të lejuar në një orë transmetimi të reklamave dhe shitjeve të drejtpërdrejta, materialeve të shitjeve të drejtpërdrejta në një shërbim transmetimi, sipas kategorive të ndryshme të shërbimeve të</w:t>
      </w:r>
      <w:r>
        <w:rPr>
          <w:spacing w:val="-1"/>
          <w:sz w:val="22"/>
        </w:rPr>
        <w:t> </w:t>
      </w:r>
      <w:r>
        <w:rPr>
          <w:sz w:val="22"/>
        </w:rPr>
        <w:t>transmetimit;</w:t>
      </w:r>
    </w:p>
    <w:p>
      <w:pPr>
        <w:pStyle w:val="ListParagraph"/>
        <w:numPr>
          <w:ilvl w:val="0"/>
          <w:numId w:val="95"/>
        </w:numPr>
        <w:tabs>
          <w:tab w:pos="1069" w:val="left" w:leader="none"/>
        </w:tabs>
        <w:spacing w:line="240" w:lineRule="auto" w:before="0" w:after="0"/>
        <w:ind w:left="120" w:right="113" w:firstLine="720"/>
        <w:jc w:val="both"/>
        <w:rPr>
          <w:sz w:val="22"/>
        </w:rPr>
      </w:pPr>
      <w:r>
        <w:rPr>
          <w:sz w:val="22"/>
        </w:rPr>
        <w:t>masat e veçanta, që ofruesi i shërbimit mediatik duhet të ndërmarrë për të realizuar marrjen nga personat që kanë një shkallë të caktuar paaftësie dëgjimi ose shikimi të programeve të</w:t>
      </w:r>
      <w:r>
        <w:rPr>
          <w:spacing w:val="-16"/>
          <w:sz w:val="22"/>
        </w:rPr>
        <w:t> </w:t>
      </w:r>
      <w:r>
        <w:rPr>
          <w:sz w:val="22"/>
        </w:rPr>
        <w:t>transmetuara.</w:t>
      </w:r>
    </w:p>
    <w:p>
      <w:pPr>
        <w:pStyle w:val="ListParagraph"/>
        <w:numPr>
          <w:ilvl w:val="0"/>
          <w:numId w:val="94"/>
        </w:numPr>
        <w:tabs>
          <w:tab w:pos="1073" w:val="left" w:leader="none"/>
        </w:tabs>
        <w:spacing w:line="240" w:lineRule="auto" w:before="0" w:after="0"/>
        <w:ind w:left="120" w:right="116" w:firstLine="720"/>
        <w:jc w:val="both"/>
        <w:rPr>
          <w:sz w:val="22"/>
        </w:rPr>
      </w:pPr>
      <w:r>
        <w:rPr>
          <w:sz w:val="22"/>
        </w:rPr>
        <w:t>Rregulloret e transmetimit, lidhur me kërkesat e pikës 1 të këtij neni, duhet të përcaktojnë për çdo OSHMA sigurimin e shërbimeve të tilla</w:t>
      </w:r>
      <w:r>
        <w:rPr>
          <w:spacing w:val="-2"/>
          <w:sz w:val="22"/>
        </w:rPr>
        <w:t> </w:t>
      </w:r>
      <w:r>
        <w:rPr>
          <w:sz w:val="22"/>
        </w:rPr>
        <w:t>si:</w:t>
      </w:r>
    </w:p>
    <w:p>
      <w:pPr>
        <w:pStyle w:val="ListParagraph"/>
        <w:numPr>
          <w:ilvl w:val="0"/>
          <w:numId w:val="96"/>
        </w:numPr>
        <w:tabs>
          <w:tab w:pos="1069" w:val="left" w:leader="none"/>
        </w:tabs>
        <w:spacing w:line="252" w:lineRule="exact" w:before="0" w:after="0"/>
        <w:ind w:left="1068" w:right="0" w:hanging="229"/>
        <w:jc w:val="left"/>
        <w:rPr>
          <w:sz w:val="22"/>
        </w:rPr>
      </w:pPr>
      <w:r>
        <w:rPr>
          <w:sz w:val="22"/>
        </w:rPr>
        <w:t>gjuha e</w:t>
      </w:r>
      <w:r>
        <w:rPr>
          <w:spacing w:val="-3"/>
          <w:sz w:val="22"/>
        </w:rPr>
        <w:t> </w:t>
      </w:r>
      <w:r>
        <w:rPr>
          <w:sz w:val="22"/>
        </w:rPr>
        <w:t>shenjave;</w:t>
      </w:r>
    </w:p>
    <w:p>
      <w:pPr>
        <w:pStyle w:val="ListParagraph"/>
        <w:numPr>
          <w:ilvl w:val="0"/>
          <w:numId w:val="96"/>
        </w:numPr>
        <w:tabs>
          <w:tab w:pos="1081" w:val="left" w:leader="none"/>
        </w:tabs>
        <w:spacing w:line="252" w:lineRule="exact" w:before="0" w:after="0"/>
        <w:ind w:left="1080" w:right="0" w:hanging="241"/>
        <w:jc w:val="left"/>
        <w:rPr>
          <w:sz w:val="22"/>
        </w:rPr>
      </w:pPr>
      <w:r>
        <w:rPr>
          <w:sz w:val="22"/>
        </w:rPr>
        <w:t>shërbimet e teletekstit;</w:t>
      </w:r>
    </w:p>
    <w:p>
      <w:pPr>
        <w:pStyle w:val="ListParagraph"/>
        <w:numPr>
          <w:ilvl w:val="0"/>
          <w:numId w:val="96"/>
        </w:numPr>
        <w:tabs>
          <w:tab w:pos="1069" w:val="left" w:leader="none"/>
        </w:tabs>
        <w:spacing w:line="252" w:lineRule="exact" w:before="1" w:after="0"/>
        <w:ind w:left="1068" w:right="0" w:hanging="229"/>
        <w:jc w:val="left"/>
        <w:rPr>
          <w:sz w:val="22"/>
        </w:rPr>
      </w:pPr>
      <w:r>
        <w:rPr>
          <w:sz w:val="22"/>
        </w:rPr>
        <w:t>titrimin dhe përshkrimin me</w:t>
      </w:r>
      <w:r>
        <w:rPr>
          <w:spacing w:val="-12"/>
          <w:sz w:val="22"/>
        </w:rPr>
        <w:t> </w:t>
      </w:r>
      <w:r>
        <w:rPr>
          <w:sz w:val="22"/>
        </w:rPr>
        <w:t>zë;</w:t>
      </w:r>
    </w:p>
    <w:p>
      <w:pPr>
        <w:pStyle w:val="BodyText"/>
        <w:ind w:right="115"/>
        <w:jc w:val="both"/>
      </w:pPr>
      <w:r>
        <w:rPr/>
        <w:t>ç) të kenë parasysh, që materialet e sipërpërmendura të transmetohen në mënyrë periodike gjatë ditës, në intervale të rregullta, gjatë kohës së shikueshmërisë maksimale dhe sidomos për programet e lajmeve dhe veprimtarive, si dhe për programe të</w:t>
      </w:r>
      <w:r>
        <w:rPr>
          <w:spacing w:val="-4"/>
        </w:rPr>
        <w:t> </w:t>
      </w:r>
      <w:r>
        <w:rPr/>
        <w:t>tjera.</w:t>
      </w:r>
    </w:p>
    <w:p>
      <w:pPr>
        <w:pStyle w:val="ListParagraph"/>
        <w:numPr>
          <w:ilvl w:val="0"/>
          <w:numId w:val="94"/>
        </w:numPr>
        <w:tabs>
          <w:tab w:pos="1066" w:val="left" w:leader="none"/>
        </w:tabs>
        <w:spacing w:line="240" w:lineRule="auto" w:before="0" w:after="0"/>
        <w:ind w:left="120" w:right="114" w:firstLine="720"/>
        <w:jc w:val="both"/>
        <w:rPr>
          <w:sz w:val="22"/>
        </w:rPr>
      </w:pPr>
      <w:r>
        <w:rPr>
          <w:sz w:val="22"/>
        </w:rPr>
        <w:t>Rregullat e përcaktuara në pikën 1 shkronja “c” të këtij neni mund të kërkojnë që një përqindje e caktuar e programeve në një shërbim transmetimi të angazhojnë mjete të veçanta, nëpërmjet të cilave marrja e këtyre shërbimeve nga personat e përcaktuar në këtë pikë të jetë e</w:t>
      </w:r>
      <w:r>
        <w:rPr>
          <w:spacing w:val="-14"/>
          <w:sz w:val="22"/>
        </w:rPr>
        <w:t> </w:t>
      </w:r>
      <w:r>
        <w:rPr>
          <w:sz w:val="22"/>
        </w:rPr>
        <w:t>kënaqshme.</w:t>
      </w:r>
    </w:p>
    <w:p>
      <w:pPr>
        <w:pStyle w:val="ListParagraph"/>
        <w:numPr>
          <w:ilvl w:val="0"/>
          <w:numId w:val="94"/>
        </w:numPr>
        <w:tabs>
          <w:tab w:pos="1066" w:val="left" w:leader="none"/>
        </w:tabs>
        <w:spacing w:line="240" w:lineRule="auto" w:before="0" w:after="0"/>
        <w:ind w:left="120" w:right="120" w:firstLine="720"/>
        <w:jc w:val="both"/>
        <w:rPr>
          <w:sz w:val="22"/>
        </w:rPr>
      </w:pPr>
      <w:r>
        <w:rPr>
          <w:sz w:val="22"/>
        </w:rPr>
        <w:t>AMA rishikon rregulloren e transmetimit, lidhur me përcaktimet e pikës 1 shkronja “c” të </w:t>
      </w:r>
      <w:r>
        <w:rPr>
          <w:spacing w:val="-3"/>
          <w:sz w:val="22"/>
        </w:rPr>
        <w:t>këtij </w:t>
      </w:r>
      <w:r>
        <w:rPr>
          <w:sz w:val="22"/>
        </w:rPr>
        <w:t>neni, minimalisht çdo</w:t>
      </w:r>
      <w:r>
        <w:rPr>
          <w:spacing w:val="-2"/>
          <w:sz w:val="22"/>
        </w:rPr>
        <w:t> </w:t>
      </w:r>
      <w:r>
        <w:rPr>
          <w:sz w:val="22"/>
        </w:rPr>
        <w:t>vit.</w:t>
      </w:r>
    </w:p>
    <w:p>
      <w:pPr>
        <w:pStyle w:val="BodyText"/>
        <w:spacing w:line="252" w:lineRule="exact"/>
        <w:ind w:left="146" w:right="146" w:firstLine="0"/>
        <w:jc w:val="center"/>
      </w:pPr>
      <w:r>
        <w:rPr/>
        <w:t>Neni 48</w:t>
      </w:r>
    </w:p>
    <w:p>
      <w:pPr>
        <w:pStyle w:val="Heading1"/>
        <w:spacing w:before="6"/>
        <w:ind w:right="142"/>
      </w:pPr>
      <w:r>
        <w:rPr/>
        <w:t>Këshillimi publik</w:t>
      </w:r>
    </w:p>
    <w:p>
      <w:pPr>
        <w:pStyle w:val="BodyText"/>
        <w:spacing w:before="7"/>
        <w:ind w:left="0" w:firstLine="0"/>
        <w:rPr>
          <w:b/>
          <w:sz w:val="21"/>
        </w:rPr>
      </w:pPr>
    </w:p>
    <w:p>
      <w:pPr>
        <w:pStyle w:val="ListParagraph"/>
        <w:numPr>
          <w:ilvl w:val="0"/>
          <w:numId w:val="97"/>
        </w:numPr>
        <w:tabs>
          <w:tab w:pos="1071" w:val="left" w:leader="none"/>
        </w:tabs>
        <w:spacing w:line="240" w:lineRule="auto" w:before="0" w:after="0"/>
        <w:ind w:left="120" w:right="114" w:firstLine="720"/>
        <w:jc w:val="both"/>
        <w:rPr>
          <w:sz w:val="22"/>
        </w:rPr>
      </w:pPr>
      <w:r>
        <w:rPr>
          <w:sz w:val="22"/>
        </w:rPr>
        <w:t>AMA, në procesin e përgatitjes së dokumenteve rregullatore, sipas kërkesave të këtij ligji, dhe përpara marrjes së vendimeve, të cilat kanë një ndikim të ndjeshëm në ofrimin e shërbimeve audio dhe audiovizive, është i detyruar të marrë dhe të vlerësojë mendimin e palëve të interesuara nëpërmjet këshillimit publik.</w:t>
      </w:r>
    </w:p>
    <w:p>
      <w:pPr>
        <w:pStyle w:val="ListParagraph"/>
        <w:numPr>
          <w:ilvl w:val="0"/>
          <w:numId w:val="97"/>
        </w:numPr>
        <w:tabs>
          <w:tab w:pos="1088" w:val="left" w:leader="none"/>
        </w:tabs>
        <w:spacing w:line="240" w:lineRule="auto" w:before="0" w:after="0"/>
        <w:ind w:left="120" w:right="114" w:firstLine="720"/>
        <w:jc w:val="both"/>
        <w:rPr>
          <w:sz w:val="22"/>
        </w:rPr>
      </w:pPr>
      <w:r>
        <w:rPr>
          <w:sz w:val="22"/>
        </w:rPr>
        <w:t>Në procesin e këshillimit publik, AMA publikon dokumentet rregullatore të propozuara dhe kërkon paraqitjen me shkrim të mendimit të palëve të interesuara, brenda një afati kohor të publikuar, i cili nuk duhet të jetë më pak se 30</w:t>
      </w:r>
      <w:r>
        <w:rPr>
          <w:spacing w:val="-7"/>
          <w:sz w:val="22"/>
        </w:rPr>
        <w:t> </w:t>
      </w:r>
      <w:r>
        <w:rPr>
          <w:sz w:val="22"/>
        </w:rPr>
        <w:t>ditë.</w:t>
      </w:r>
    </w:p>
    <w:p>
      <w:pPr>
        <w:pStyle w:val="ListParagraph"/>
        <w:numPr>
          <w:ilvl w:val="0"/>
          <w:numId w:val="97"/>
        </w:numPr>
        <w:tabs>
          <w:tab w:pos="1105" w:val="left" w:leader="none"/>
        </w:tabs>
        <w:spacing w:line="240" w:lineRule="auto" w:before="0" w:after="0"/>
        <w:ind w:left="120" w:right="115" w:firstLine="720"/>
        <w:jc w:val="both"/>
        <w:rPr>
          <w:sz w:val="22"/>
        </w:rPr>
      </w:pPr>
      <w:r>
        <w:rPr>
          <w:sz w:val="22"/>
        </w:rPr>
        <w:t>Në rast se AMA e gjykon të nevojshme, kryen edhe seancë dëgjimore, ku ftohen palët e interesuara për të parashtruar mendimin për dokumentet rregullatore të</w:t>
      </w:r>
      <w:r>
        <w:rPr>
          <w:spacing w:val="-7"/>
          <w:sz w:val="22"/>
        </w:rPr>
        <w:t> </w:t>
      </w:r>
      <w:r>
        <w:rPr>
          <w:sz w:val="22"/>
        </w:rPr>
        <w:t>propozuara.</w:t>
      </w:r>
    </w:p>
    <w:p>
      <w:pPr>
        <w:pStyle w:val="ListParagraph"/>
        <w:numPr>
          <w:ilvl w:val="0"/>
          <w:numId w:val="97"/>
        </w:numPr>
        <w:tabs>
          <w:tab w:pos="1133" w:val="left" w:leader="none"/>
        </w:tabs>
        <w:spacing w:line="240" w:lineRule="auto" w:before="0" w:after="0"/>
        <w:ind w:left="120" w:right="113" w:firstLine="720"/>
        <w:jc w:val="both"/>
        <w:rPr>
          <w:sz w:val="22"/>
        </w:rPr>
      </w:pPr>
      <w:r>
        <w:rPr>
          <w:sz w:val="22"/>
        </w:rPr>
        <w:t>Pas përfundimit të afatit të përcaktuar në pikën 2 të këtij neni dhe para miratimit të dokumenteve rregullatore, AMA duhet të publikojë mendimet dhe komentet e palëve të interesuara, duke respektuar konfidencialitetin e informacionit.</w:t>
      </w:r>
    </w:p>
    <w:p>
      <w:pPr>
        <w:pStyle w:val="BodyText"/>
        <w:spacing w:before="184"/>
        <w:ind w:left="146" w:right="146" w:firstLine="0"/>
        <w:jc w:val="center"/>
      </w:pPr>
      <w:r>
        <w:rPr/>
        <w:t>Neni 49</w:t>
      </w:r>
    </w:p>
    <w:p>
      <w:pPr>
        <w:pStyle w:val="Heading1"/>
        <w:spacing w:before="6"/>
        <w:ind w:right="144"/>
      </w:pPr>
      <w:r>
        <w:rPr/>
        <w:t>Paraqitja e kodit dhe rregulloreve</w:t>
      </w:r>
    </w:p>
    <w:p>
      <w:pPr>
        <w:pStyle w:val="BodyText"/>
        <w:spacing w:before="5"/>
        <w:ind w:left="0" w:firstLine="0"/>
        <w:rPr>
          <w:b/>
          <w:sz w:val="21"/>
        </w:rPr>
      </w:pPr>
    </w:p>
    <w:p>
      <w:pPr>
        <w:pStyle w:val="ListParagraph"/>
        <w:numPr>
          <w:ilvl w:val="0"/>
          <w:numId w:val="98"/>
        </w:numPr>
        <w:tabs>
          <w:tab w:pos="1090" w:val="left" w:leader="none"/>
        </w:tabs>
        <w:spacing w:line="240" w:lineRule="auto" w:before="0" w:after="0"/>
        <w:ind w:left="119" w:right="114" w:firstLine="720"/>
        <w:jc w:val="left"/>
        <w:rPr>
          <w:sz w:val="22"/>
        </w:rPr>
      </w:pPr>
      <w:r>
        <w:rPr>
          <w:sz w:val="22"/>
        </w:rPr>
        <w:t>Kodi dhe rregulloret e transmetimit të miratuara publikohen në faqen zyrtare të internetit të AMA-s.</w:t>
      </w:r>
    </w:p>
    <w:p>
      <w:pPr>
        <w:pStyle w:val="ListParagraph"/>
        <w:numPr>
          <w:ilvl w:val="0"/>
          <w:numId w:val="98"/>
        </w:numPr>
        <w:tabs>
          <w:tab w:pos="1092" w:val="left" w:leader="none"/>
        </w:tabs>
        <w:spacing w:line="240" w:lineRule="auto" w:before="0" w:after="0"/>
        <w:ind w:left="119" w:right="114" w:firstLine="720"/>
        <w:jc w:val="left"/>
        <w:rPr>
          <w:sz w:val="22"/>
        </w:rPr>
      </w:pPr>
      <w:r>
        <w:rPr>
          <w:sz w:val="22"/>
        </w:rPr>
        <w:t>AMA raporton për efektet e kodit dhe rregulloreve të transmetimit të miratuara në raportin vjetor për</w:t>
      </w:r>
      <w:r>
        <w:rPr>
          <w:spacing w:val="-2"/>
          <w:sz w:val="22"/>
        </w:rPr>
        <w:t> </w:t>
      </w:r>
      <w:r>
        <w:rPr>
          <w:sz w:val="22"/>
        </w:rPr>
        <w:t>Kuvendin.</w:t>
      </w:r>
    </w:p>
    <w:p>
      <w:pPr>
        <w:pStyle w:val="BodyText"/>
        <w:spacing w:before="161"/>
        <w:ind w:left="146" w:right="146" w:firstLine="0"/>
        <w:jc w:val="center"/>
      </w:pPr>
      <w:r>
        <w:rPr/>
        <w:t>Neni 50</w:t>
      </w:r>
    </w:p>
    <w:p>
      <w:pPr>
        <w:pStyle w:val="Heading1"/>
      </w:pPr>
      <w:r>
        <w:rPr/>
        <w:t>Bashkëpunimi me subjekte të tjera</w:t>
      </w:r>
    </w:p>
    <w:p>
      <w:pPr>
        <w:pStyle w:val="BodyText"/>
        <w:spacing w:before="7"/>
        <w:ind w:left="0" w:firstLine="0"/>
        <w:rPr>
          <w:b/>
          <w:sz w:val="21"/>
        </w:rPr>
      </w:pPr>
    </w:p>
    <w:p>
      <w:pPr>
        <w:pStyle w:val="ListParagraph"/>
        <w:numPr>
          <w:ilvl w:val="0"/>
          <w:numId w:val="99"/>
        </w:numPr>
        <w:tabs>
          <w:tab w:pos="1124" w:val="left" w:leader="none"/>
        </w:tabs>
        <w:spacing w:line="240" w:lineRule="auto" w:before="0" w:after="0"/>
        <w:ind w:left="119" w:right="114" w:firstLine="720"/>
        <w:jc w:val="both"/>
        <w:rPr>
          <w:sz w:val="22"/>
        </w:rPr>
      </w:pPr>
      <w:r>
        <w:rPr>
          <w:sz w:val="22"/>
        </w:rPr>
        <w:t>AMA mund të bashkëpunojë, të mbështesë ose të nxisë një ose më shumë subjekte të specializuara brenda dhe jashtë vendit për përgatitjen e standardeve të përmbajtjes së</w:t>
      </w:r>
      <w:r>
        <w:rPr>
          <w:spacing w:val="-25"/>
          <w:sz w:val="22"/>
        </w:rPr>
        <w:t> </w:t>
      </w:r>
      <w:r>
        <w:rPr>
          <w:sz w:val="22"/>
        </w:rPr>
        <w:t>transmetimeve.</w:t>
      </w:r>
    </w:p>
    <w:p>
      <w:pPr>
        <w:pStyle w:val="ListParagraph"/>
        <w:numPr>
          <w:ilvl w:val="0"/>
          <w:numId w:val="99"/>
        </w:numPr>
        <w:tabs>
          <w:tab w:pos="1075" w:val="left" w:leader="none"/>
        </w:tabs>
        <w:spacing w:line="240" w:lineRule="auto" w:before="1" w:after="0"/>
        <w:ind w:left="119" w:right="115" w:firstLine="720"/>
        <w:jc w:val="both"/>
        <w:rPr>
          <w:sz w:val="22"/>
        </w:rPr>
      </w:pPr>
      <w:r>
        <w:rPr>
          <w:sz w:val="22"/>
        </w:rPr>
        <w:t>AMA bashkëpunon me institucione të tjera publike, sipas fushës së kompetencës përkatëse të secilit, lidhur me përpilimin e përmbajtjes së standardeve të detajuar në kodin dhe rregulloret e transmetimit.</w:t>
      </w:r>
    </w:p>
    <w:p>
      <w:pPr>
        <w:pStyle w:val="ListParagraph"/>
        <w:numPr>
          <w:ilvl w:val="0"/>
          <w:numId w:val="99"/>
        </w:numPr>
        <w:tabs>
          <w:tab w:pos="1083" w:val="left" w:leader="none"/>
        </w:tabs>
        <w:spacing w:line="252" w:lineRule="exact" w:before="0" w:after="0"/>
        <w:ind w:left="1082" w:right="0" w:hanging="244"/>
        <w:jc w:val="both"/>
        <w:rPr>
          <w:sz w:val="22"/>
        </w:rPr>
      </w:pPr>
      <w:r>
        <w:rPr>
          <w:sz w:val="22"/>
        </w:rPr>
        <w:t>AMA</w:t>
      </w:r>
      <w:r>
        <w:rPr>
          <w:spacing w:val="22"/>
          <w:sz w:val="22"/>
        </w:rPr>
        <w:t> </w:t>
      </w:r>
      <w:r>
        <w:rPr>
          <w:sz w:val="22"/>
        </w:rPr>
        <w:t>mund</w:t>
      </w:r>
      <w:r>
        <w:rPr>
          <w:spacing w:val="20"/>
          <w:sz w:val="22"/>
        </w:rPr>
        <w:t> </w:t>
      </w:r>
      <w:r>
        <w:rPr>
          <w:sz w:val="22"/>
        </w:rPr>
        <w:t>të</w:t>
      </w:r>
      <w:r>
        <w:rPr>
          <w:spacing w:val="21"/>
          <w:sz w:val="22"/>
        </w:rPr>
        <w:t> </w:t>
      </w:r>
      <w:r>
        <w:rPr>
          <w:sz w:val="22"/>
        </w:rPr>
        <w:t>angazhojë</w:t>
      </w:r>
      <w:r>
        <w:rPr>
          <w:spacing w:val="22"/>
          <w:sz w:val="22"/>
        </w:rPr>
        <w:t> </w:t>
      </w:r>
      <w:r>
        <w:rPr>
          <w:sz w:val="22"/>
        </w:rPr>
        <w:t>veç</w:t>
      </w:r>
      <w:r>
        <w:rPr>
          <w:spacing w:val="21"/>
          <w:sz w:val="22"/>
        </w:rPr>
        <w:t> </w:t>
      </w:r>
      <w:r>
        <w:rPr>
          <w:sz w:val="22"/>
        </w:rPr>
        <w:t>administratës</w:t>
      </w:r>
      <w:r>
        <w:rPr>
          <w:spacing w:val="21"/>
          <w:sz w:val="22"/>
        </w:rPr>
        <w:t> </w:t>
      </w:r>
      <w:r>
        <w:rPr>
          <w:sz w:val="22"/>
        </w:rPr>
        <w:t>së</w:t>
      </w:r>
      <w:r>
        <w:rPr>
          <w:spacing w:val="22"/>
          <w:sz w:val="22"/>
        </w:rPr>
        <w:t> </w:t>
      </w:r>
      <w:r>
        <w:rPr>
          <w:sz w:val="22"/>
        </w:rPr>
        <w:t>vet</w:t>
      </w:r>
      <w:r>
        <w:rPr>
          <w:spacing w:val="21"/>
          <w:sz w:val="22"/>
        </w:rPr>
        <w:t> </w:t>
      </w:r>
      <w:r>
        <w:rPr>
          <w:sz w:val="22"/>
        </w:rPr>
        <w:t>dhe</w:t>
      </w:r>
      <w:r>
        <w:rPr>
          <w:spacing w:val="21"/>
          <w:sz w:val="22"/>
        </w:rPr>
        <w:t> </w:t>
      </w:r>
      <w:r>
        <w:rPr>
          <w:sz w:val="22"/>
        </w:rPr>
        <w:t>Këshillit</w:t>
      </w:r>
      <w:r>
        <w:rPr>
          <w:spacing w:val="22"/>
          <w:sz w:val="22"/>
        </w:rPr>
        <w:t> </w:t>
      </w:r>
      <w:r>
        <w:rPr>
          <w:sz w:val="22"/>
        </w:rPr>
        <w:t>të</w:t>
      </w:r>
      <w:r>
        <w:rPr>
          <w:spacing w:val="21"/>
          <w:sz w:val="22"/>
        </w:rPr>
        <w:t> </w:t>
      </w:r>
      <w:r>
        <w:rPr>
          <w:sz w:val="22"/>
        </w:rPr>
        <w:t>Ankesave</w:t>
      </w:r>
      <w:r>
        <w:rPr>
          <w:spacing w:val="23"/>
          <w:sz w:val="22"/>
        </w:rPr>
        <w:t> </w:t>
      </w:r>
      <w:r>
        <w:rPr>
          <w:sz w:val="22"/>
        </w:rPr>
        <w:t>dhe</w:t>
      </w:r>
      <w:r>
        <w:rPr>
          <w:spacing w:val="22"/>
          <w:sz w:val="22"/>
        </w:rPr>
        <w:t> </w:t>
      </w:r>
      <w:r>
        <w:rPr>
          <w:sz w:val="22"/>
        </w:rPr>
        <w:t>ekspertë</w:t>
      </w:r>
      <w:r>
        <w:rPr>
          <w:spacing w:val="21"/>
          <w:sz w:val="22"/>
        </w:rPr>
        <w:t> </w:t>
      </w:r>
      <w:r>
        <w:rPr>
          <w:sz w:val="22"/>
        </w:rPr>
        <w:t>të</w:t>
      </w:r>
    </w:p>
    <w:p>
      <w:pPr>
        <w:spacing w:after="0" w:line="252" w:lineRule="exact"/>
        <w:jc w:val="both"/>
        <w:rPr>
          <w:sz w:val="22"/>
        </w:rPr>
        <w:sectPr>
          <w:pgSz w:w="12240" w:h="15840"/>
          <w:pgMar w:top="1360" w:bottom="280" w:left="1320" w:right="1320"/>
        </w:sectPr>
      </w:pPr>
    </w:p>
    <w:p>
      <w:pPr>
        <w:pStyle w:val="BodyText"/>
        <w:spacing w:line="252" w:lineRule="exact" w:before="74"/>
        <w:ind w:firstLine="0"/>
      </w:pPr>
      <w:r>
        <w:rPr/>
        <w:t>pavarur.</w:t>
      </w:r>
    </w:p>
    <w:p>
      <w:pPr>
        <w:pStyle w:val="ListParagraph"/>
        <w:numPr>
          <w:ilvl w:val="0"/>
          <w:numId w:val="99"/>
        </w:numPr>
        <w:tabs>
          <w:tab w:pos="1073" w:val="left" w:leader="none"/>
        </w:tabs>
        <w:spacing w:line="240" w:lineRule="auto" w:before="0" w:after="0"/>
        <w:ind w:left="120" w:right="116" w:firstLine="720"/>
        <w:jc w:val="left"/>
        <w:rPr>
          <w:sz w:val="22"/>
        </w:rPr>
      </w:pPr>
      <w:r>
        <w:rPr>
          <w:sz w:val="22"/>
        </w:rPr>
        <w:t>AMA bashkëpunon me Zyrën e të Drejtave të Autorit dhe me organet që mbrojnë të drejtën e autorit dhe të drejtat e tjera të lidhura me</w:t>
      </w:r>
      <w:r>
        <w:rPr>
          <w:spacing w:val="-9"/>
          <w:sz w:val="22"/>
        </w:rPr>
        <w:t> </w:t>
      </w:r>
      <w:r>
        <w:rPr>
          <w:sz w:val="22"/>
        </w:rPr>
        <w:t>të.</w:t>
      </w:r>
    </w:p>
    <w:p>
      <w:pPr>
        <w:pStyle w:val="BodyText"/>
        <w:spacing w:before="1"/>
        <w:ind w:left="0" w:firstLine="0"/>
      </w:pPr>
    </w:p>
    <w:p>
      <w:pPr>
        <w:pStyle w:val="BodyText"/>
        <w:ind w:left="4356" w:right="4351" w:firstLine="0"/>
        <w:jc w:val="center"/>
      </w:pPr>
      <w:r>
        <w:rPr/>
        <w:t>KREU </w:t>
      </w:r>
      <w:r>
        <w:rPr>
          <w:spacing w:val="-7"/>
        </w:rPr>
        <w:t>VI </w:t>
      </w:r>
      <w:r>
        <w:rPr/>
        <w:t>ANKIMI</w:t>
      </w:r>
    </w:p>
    <w:p>
      <w:pPr>
        <w:pStyle w:val="BodyText"/>
        <w:spacing w:before="207"/>
        <w:ind w:left="146" w:right="144" w:firstLine="0"/>
        <w:jc w:val="center"/>
      </w:pPr>
      <w:r>
        <w:rPr/>
        <w:t>Neni </w:t>
      </w:r>
      <w:r>
        <w:rPr>
          <w:spacing w:val="1"/>
        </w:rPr>
        <w:t> </w:t>
      </w:r>
      <w:r>
        <w:rPr/>
        <w:t>51</w:t>
      </w:r>
    </w:p>
    <w:p>
      <w:pPr>
        <w:pStyle w:val="Heading1"/>
        <w:ind w:right="144"/>
      </w:pPr>
      <w:r>
        <w:rPr/>
        <w:t>Procedurat për trajtimin e ankesave</w:t>
      </w:r>
    </w:p>
    <w:p>
      <w:pPr>
        <w:pStyle w:val="ListParagraph"/>
        <w:numPr>
          <w:ilvl w:val="0"/>
          <w:numId w:val="100"/>
        </w:numPr>
        <w:tabs>
          <w:tab w:pos="1083" w:val="left" w:leader="none"/>
        </w:tabs>
        <w:spacing w:line="240" w:lineRule="auto" w:before="179" w:after="0"/>
        <w:ind w:left="120" w:right="112" w:firstLine="720"/>
        <w:jc w:val="both"/>
        <w:rPr>
          <w:sz w:val="22"/>
        </w:rPr>
      </w:pPr>
      <w:r>
        <w:rPr>
          <w:sz w:val="22"/>
        </w:rPr>
        <w:t>OSHMA-ja është e detyruar të shqyrtojë çdo ankesë të arsyetuar të paraqitur me shkrim nga çdo person për programet e transmetuara prej tij, lidhur me zbatimin e kërkesave të nenit 33 të këtij ligji, mbi cilësinë e shërbimit të ofruar ose përmbushjen e detyrimeve kontraktore për shërbimet me</w:t>
      </w:r>
      <w:r>
        <w:rPr>
          <w:spacing w:val="-22"/>
          <w:sz w:val="22"/>
        </w:rPr>
        <w:t> </w:t>
      </w:r>
      <w:r>
        <w:rPr>
          <w:sz w:val="22"/>
        </w:rPr>
        <w:t>abonim.</w:t>
      </w:r>
    </w:p>
    <w:p>
      <w:pPr>
        <w:pStyle w:val="ListParagraph"/>
        <w:numPr>
          <w:ilvl w:val="0"/>
          <w:numId w:val="100"/>
        </w:numPr>
        <w:tabs>
          <w:tab w:pos="1066" w:val="left" w:leader="none"/>
        </w:tabs>
        <w:spacing w:line="240" w:lineRule="auto" w:before="0" w:after="0"/>
        <w:ind w:left="120" w:right="113" w:firstLine="720"/>
        <w:jc w:val="both"/>
        <w:rPr>
          <w:sz w:val="22"/>
        </w:rPr>
      </w:pPr>
      <w:r>
        <w:rPr>
          <w:sz w:val="22"/>
        </w:rPr>
        <w:t>Ankesa i paraqitet OSHMA-së jo më vonë se 30 ditë nga data e transmetimit, ose kur në rastin e dy ose më shumë transmetimeve të lidhura me njëra-tjetrën, nga data e transmetimit më të</w:t>
      </w:r>
      <w:r>
        <w:rPr>
          <w:spacing w:val="-19"/>
          <w:sz w:val="22"/>
        </w:rPr>
        <w:t> </w:t>
      </w:r>
      <w:r>
        <w:rPr>
          <w:sz w:val="22"/>
        </w:rPr>
        <w:t>fundit.</w:t>
      </w:r>
    </w:p>
    <w:p>
      <w:pPr>
        <w:pStyle w:val="ListParagraph"/>
        <w:numPr>
          <w:ilvl w:val="0"/>
          <w:numId w:val="100"/>
        </w:numPr>
        <w:tabs>
          <w:tab w:pos="1071" w:val="left" w:leader="none"/>
        </w:tabs>
        <w:spacing w:line="240" w:lineRule="auto" w:before="0" w:after="0"/>
        <w:ind w:left="119" w:right="119" w:firstLine="720"/>
        <w:jc w:val="both"/>
        <w:rPr>
          <w:sz w:val="22"/>
        </w:rPr>
      </w:pPr>
      <w:r>
        <w:rPr>
          <w:sz w:val="22"/>
        </w:rPr>
        <w:t>Çdo OSHMA duhet të përgatisë dhe të zbatojë procedura të caktuara për trajtimin e ankesave. Këto procedura duhet të</w:t>
      </w:r>
      <w:r>
        <w:rPr>
          <w:spacing w:val="-2"/>
          <w:sz w:val="22"/>
        </w:rPr>
        <w:t> </w:t>
      </w:r>
      <w:r>
        <w:rPr>
          <w:sz w:val="22"/>
        </w:rPr>
        <w:t>parashikojnë:</w:t>
      </w:r>
    </w:p>
    <w:p>
      <w:pPr>
        <w:pStyle w:val="ListParagraph"/>
        <w:numPr>
          <w:ilvl w:val="0"/>
          <w:numId w:val="101"/>
        </w:numPr>
        <w:tabs>
          <w:tab w:pos="1069" w:val="left" w:leader="none"/>
        </w:tabs>
        <w:spacing w:line="252" w:lineRule="exact" w:before="0" w:after="0"/>
        <w:ind w:left="1068" w:right="0" w:hanging="229"/>
        <w:jc w:val="left"/>
        <w:rPr>
          <w:sz w:val="22"/>
        </w:rPr>
      </w:pPr>
      <w:r>
        <w:rPr>
          <w:sz w:val="22"/>
        </w:rPr>
        <w:t>mënyrën dhe vendin e paraqitjes së</w:t>
      </w:r>
      <w:r>
        <w:rPr>
          <w:spacing w:val="-6"/>
          <w:sz w:val="22"/>
        </w:rPr>
        <w:t> </w:t>
      </w:r>
      <w:r>
        <w:rPr>
          <w:sz w:val="22"/>
        </w:rPr>
        <w:t>ankesës;</w:t>
      </w:r>
    </w:p>
    <w:p>
      <w:pPr>
        <w:pStyle w:val="ListParagraph"/>
        <w:numPr>
          <w:ilvl w:val="0"/>
          <w:numId w:val="101"/>
        </w:numPr>
        <w:tabs>
          <w:tab w:pos="1081" w:val="left" w:leader="none"/>
        </w:tabs>
        <w:spacing w:line="252" w:lineRule="exact" w:before="0" w:after="0"/>
        <w:ind w:left="1080" w:right="0" w:hanging="241"/>
        <w:jc w:val="left"/>
        <w:rPr>
          <w:sz w:val="22"/>
        </w:rPr>
      </w:pPr>
      <w:r>
        <w:rPr>
          <w:sz w:val="22"/>
        </w:rPr>
        <w:t>afatin, brenda të cilit transmetuesit duhet të kthejnë</w:t>
      </w:r>
      <w:r>
        <w:rPr>
          <w:spacing w:val="-8"/>
          <w:sz w:val="22"/>
        </w:rPr>
        <w:t> </w:t>
      </w:r>
      <w:r>
        <w:rPr>
          <w:sz w:val="22"/>
        </w:rPr>
        <w:t>përgjigje;</w:t>
      </w:r>
    </w:p>
    <w:p>
      <w:pPr>
        <w:pStyle w:val="ListParagraph"/>
        <w:numPr>
          <w:ilvl w:val="0"/>
          <w:numId w:val="101"/>
        </w:numPr>
        <w:tabs>
          <w:tab w:pos="1069" w:val="left" w:leader="none"/>
        </w:tabs>
        <w:spacing w:line="252" w:lineRule="exact" w:before="1" w:after="0"/>
        <w:ind w:left="1068" w:right="0" w:hanging="229"/>
        <w:jc w:val="left"/>
        <w:rPr>
          <w:sz w:val="22"/>
        </w:rPr>
      </w:pPr>
      <w:r>
        <w:rPr>
          <w:sz w:val="22"/>
        </w:rPr>
        <w:t>mënyrën e zgjidhjes së ankesës</w:t>
      </w:r>
      <w:r>
        <w:rPr>
          <w:spacing w:val="-3"/>
          <w:sz w:val="22"/>
        </w:rPr>
        <w:t> </w:t>
      </w:r>
      <w:r>
        <w:rPr>
          <w:sz w:val="22"/>
        </w:rPr>
        <w:t>përkatëse.</w:t>
      </w:r>
    </w:p>
    <w:p>
      <w:pPr>
        <w:pStyle w:val="ListParagraph"/>
        <w:numPr>
          <w:ilvl w:val="0"/>
          <w:numId w:val="100"/>
        </w:numPr>
        <w:tabs>
          <w:tab w:pos="1102" w:val="left" w:leader="none"/>
        </w:tabs>
        <w:spacing w:line="240" w:lineRule="auto" w:before="0" w:after="0"/>
        <w:ind w:left="119" w:right="114" w:firstLine="720"/>
        <w:jc w:val="both"/>
        <w:rPr>
          <w:sz w:val="22"/>
        </w:rPr>
      </w:pPr>
      <w:r>
        <w:rPr>
          <w:sz w:val="22"/>
        </w:rPr>
        <w:t>OSHMA-ja duhet të publikojë në faqen e vet të internetit apo të bëjnë publike në ndonjë mënyrë tjetër procedurat e trajtimit të ankesave, të hartuara në përputhje me udhëzimet e Këshillit të Ankesave.</w:t>
      </w:r>
    </w:p>
    <w:p>
      <w:pPr>
        <w:pStyle w:val="ListParagraph"/>
        <w:numPr>
          <w:ilvl w:val="0"/>
          <w:numId w:val="100"/>
        </w:numPr>
        <w:tabs>
          <w:tab w:pos="1081" w:val="left" w:leader="none"/>
        </w:tabs>
        <w:spacing w:line="240" w:lineRule="auto" w:before="0" w:after="0"/>
        <w:ind w:left="120" w:right="114" w:firstLine="720"/>
        <w:jc w:val="both"/>
        <w:rPr>
          <w:sz w:val="22"/>
        </w:rPr>
      </w:pPr>
      <w:r>
        <w:rPr>
          <w:sz w:val="22"/>
        </w:rPr>
        <w:t>Këshilli i Ankesave përgatit dhe publikon udhëzimet për OSHMA-të, me qëllim realizimin e përcaktimeve të pikës 3 të këtij</w:t>
      </w:r>
      <w:r>
        <w:rPr>
          <w:spacing w:val="-3"/>
          <w:sz w:val="22"/>
        </w:rPr>
        <w:t> </w:t>
      </w:r>
      <w:r>
        <w:rPr>
          <w:sz w:val="22"/>
        </w:rPr>
        <w:t>neni.</w:t>
      </w:r>
    </w:p>
    <w:p>
      <w:pPr>
        <w:pStyle w:val="ListParagraph"/>
        <w:numPr>
          <w:ilvl w:val="0"/>
          <w:numId w:val="100"/>
        </w:numPr>
        <w:tabs>
          <w:tab w:pos="1078" w:val="left" w:leader="none"/>
        </w:tabs>
        <w:spacing w:line="240" w:lineRule="auto" w:before="0" w:after="0"/>
        <w:ind w:left="120" w:right="114" w:firstLine="720"/>
        <w:jc w:val="both"/>
        <w:rPr>
          <w:sz w:val="22"/>
        </w:rPr>
      </w:pPr>
      <w:r>
        <w:rPr>
          <w:sz w:val="22"/>
        </w:rPr>
        <w:t>OSHMA-ja paraqet informacionin e kërkuar nga pika 3 e këtij neni në Këshillin e Ankesave. Ky informacion mund të publikohet në faqen e internetit të</w:t>
      </w:r>
      <w:r>
        <w:rPr>
          <w:spacing w:val="-10"/>
          <w:sz w:val="22"/>
        </w:rPr>
        <w:t> </w:t>
      </w:r>
      <w:r>
        <w:rPr>
          <w:sz w:val="22"/>
        </w:rPr>
        <w:t>AMA-s.</w:t>
      </w:r>
    </w:p>
    <w:p>
      <w:pPr>
        <w:pStyle w:val="ListParagraph"/>
        <w:numPr>
          <w:ilvl w:val="0"/>
          <w:numId w:val="100"/>
        </w:numPr>
        <w:tabs>
          <w:tab w:pos="1107" w:val="left" w:leader="none"/>
        </w:tabs>
        <w:spacing w:line="240" w:lineRule="auto" w:before="0" w:after="0"/>
        <w:ind w:left="119" w:right="115" w:firstLine="720"/>
        <w:jc w:val="both"/>
        <w:rPr>
          <w:sz w:val="22"/>
        </w:rPr>
      </w:pPr>
      <w:r>
        <w:rPr>
          <w:sz w:val="22"/>
        </w:rPr>
        <w:t>OSHMA-ja mban ankesat e bëra sipas pikës 1 të këtij neni dhe përgjigjet e tyre për një periudhë prej dy vjetësh nga data e regjistrimit të</w:t>
      </w:r>
      <w:r>
        <w:rPr>
          <w:spacing w:val="-7"/>
          <w:sz w:val="22"/>
        </w:rPr>
        <w:t> </w:t>
      </w:r>
      <w:r>
        <w:rPr>
          <w:sz w:val="22"/>
        </w:rPr>
        <w:t>ankesës.</w:t>
      </w:r>
    </w:p>
    <w:p>
      <w:pPr>
        <w:pStyle w:val="ListParagraph"/>
        <w:numPr>
          <w:ilvl w:val="0"/>
          <w:numId w:val="100"/>
        </w:numPr>
        <w:tabs>
          <w:tab w:pos="1136" w:val="left" w:leader="none"/>
        </w:tabs>
        <w:spacing w:line="240" w:lineRule="auto" w:before="0" w:after="0"/>
        <w:ind w:left="119" w:right="114" w:firstLine="720"/>
        <w:jc w:val="both"/>
        <w:rPr>
          <w:sz w:val="22"/>
        </w:rPr>
      </w:pPr>
      <w:r>
        <w:rPr>
          <w:sz w:val="22"/>
        </w:rPr>
        <w:t>OSHMA-ja është e detyruar të lejojë inspektimin nga ana e Këshillit të Ankesave të regjistrimeve të mbajtura sipas pikës 7 të këtij</w:t>
      </w:r>
      <w:r>
        <w:rPr>
          <w:spacing w:val="-1"/>
          <w:sz w:val="22"/>
        </w:rPr>
        <w:t> </w:t>
      </w:r>
      <w:r>
        <w:rPr>
          <w:sz w:val="22"/>
        </w:rPr>
        <w:t>neni.</w:t>
      </w:r>
    </w:p>
    <w:p>
      <w:pPr>
        <w:pStyle w:val="BodyText"/>
        <w:spacing w:before="10"/>
        <w:ind w:left="0" w:firstLine="0"/>
        <w:rPr>
          <w:sz w:val="21"/>
        </w:rPr>
      </w:pPr>
    </w:p>
    <w:p>
      <w:pPr>
        <w:pStyle w:val="BodyText"/>
        <w:spacing w:before="1"/>
        <w:ind w:left="146" w:right="146" w:firstLine="0"/>
        <w:jc w:val="center"/>
      </w:pPr>
      <w:r>
        <w:rPr/>
        <w:t>Neni 52</w:t>
      </w:r>
    </w:p>
    <w:p>
      <w:pPr>
        <w:pStyle w:val="Heading1"/>
        <w:spacing w:before="6"/>
      </w:pPr>
      <w:r>
        <w:rPr/>
        <w:t>Shqyrtimi i ankesave</w:t>
      </w:r>
    </w:p>
    <w:p>
      <w:pPr>
        <w:pStyle w:val="BodyText"/>
        <w:spacing w:before="4"/>
        <w:ind w:left="0" w:firstLine="0"/>
        <w:rPr>
          <w:b/>
          <w:sz w:val="21"/>
        </w:rPr>
      </w:pPr>
    </w:p>
    <w:p>
      <w:pPr>
        <w:pStyle w:val="ListParagraph"/>
        <w:numPr>
          <w:ilvl w:val="0"/>
          <w:numId w:val="102"/>
        </w:numPr>
        <w:tabs>
          <w:tab w:pos="1075" w:val="left" w:leader="none"/>
        </w:tabs>
        <w:spacing w:line="240" w:lineRule="auto" w:before="1" w:after="0"/>
        <w:ind w:left="119" w:right="113" w:firstLine="720"/>
        <w:jc w:val="both"/>
        <w:rPr>
          <w:sz w:val="22"/>
        </w:rPr>
      </w:pPr>
      <w:r>
        <w:rPr>
          <w:sz w:val="22"/>
        </w:rPr>
        <w:t>Këshilli i Ankesave shqyrton çdo ankesë, lidhur me transmetimin e lajmeve dhe programeve  në shkelje të kërkesave të nenit 33 të këtij ligji dhe rregulloreve të transmetimit të përcaktuara sipas nenit 47 të këtij ligji.</w:t>
      </w:r>
    </w:p>
    <w:p>
      <w:pPr>
        <w:pStyle w:val="ListParagraph"/>
        <w:numPr>
          <w:ilvl w:val="0"/>
          <w:numId w:val="102"/>
        </w:numPr>
        <w:tabs>
          <w:tab w:pos="1080" w:val="left" w:leader="none"/>
        </w:tabs>
        <w:spacing w:line="240" w:lineRule="auto" w:before="1" w:after="0"/>
        <w:ind w:left="119" w:right="117" w:firstLine="720"/>
        <w:jc w:val="both"/>
        <w:rPr>
          <w:sz w:val="22"/>
        </w:rPr>
      </w:pPr>
      <w:r>
        <w:rPr>
          <w:sz w:val="22"/>
        </w:rPr>
        <w:t>Ankesa duhet të paraqitet në formë të shkruar në Këshillin e Ankesave brenda 30 ditëve nga data e transmetimit, ose kur në rastin e dy ose më shumë transmetimeve të lidhura me njëra-tjetrën, nga data e transmetimit më të</w:t>
      </w:r>
      <w:r>
        <w:rPr>
          <w:spacing w:val="-2"/>
          <w:sz w:val="22"/>
        </w:rPr>
        <w:t> </w:t>
      </w:r>
      <w:r>
        <w:rPr>
          <w:sz w:val="22"/>
        </w:rPr>
        <w:t>vonë.</w:t>
      </w:r>
    </w:p>
    <w:p>
      <w:pPr>
        <w:pStyle w:val="ListParagraph"/>
        <w:numPr>
          <w:ilvl w:val="0"/>
          <w:numId w:val="102"/>
        </w:numPr>
        <w:tabs>
          <w:tab w:pos="1068" w:val="left" w:leader="none"/>
        </w:tabs>
        <w:spacing w:line="240" w:lineRule="auto" w:before="0" w:after="0"/>
        <w:ind w:left="119" w:right="115" w:firstLine="720"/>
        <w:jc w:val="both"/>
        <w:rPr>
          <w:sz w:val="22"/>
        </w:rPr>
      </w:pPr>
      <w:r>
        <w:rPr>
          <w:sz w:val="22"/>
        </w:rPr>
        <w:t>Këshilli i Ankesave, kur e çmon të nevojshme, ia kalon ankesën e paraqitur OSHMA-së për të paraqitur pretendimet e veta brenda 7</w:t>
      </w:r>
      <w:r>
        <w:rPr>
          <w:spacing w:val="1"/>
          <w:sz w:val="22"/>
        </w:rPr>
        <w:t> </w:t>
      </w:r>
      <w:r>
        <w:rPr>
          <w:sz w:val="22"/>
        </w:rPr>
        <w:t>ditëve.</w:t>
      </w:r>
    </w:p>
    <w:p>
      <w:pPr>
        <w:pStyle w:val="ListParagraph"/>
        <w:numPr>
          <w:ilvl w:val="0"/>
          <w:numId w:val="102"/>
        </w:numPr>
        <w:tabs>
          <w:tab w:pos="1071" w:val="left" w:leader="none"/>
        </w:tabs>
        <w:spacing w:line="240" w:lineRule="auto" w:before="0" w:after="0"/>
        <w:ind w:left="119" w:right="116" w:firstLine="720"/>
        <w:jc w:val="both"/>
        <w:rPr>
          <w:sz w:val="22"/>
        </w:rPr>
      </w:pPr>
      <w:r>
        <w:rPr>
          <w:sz w:val="22"/>
        </w:rPr>
        <w:t>Pas shqyrtimit të ankesës dhe pretendimeve të OSHMA-së, Këshilli i Ankesave, nëse çmon se ka shkelje, i propozon AMA-s masat përkatëse. Në çdo rast Këshilli i Ankesave njofton me shkrim personin që ka paraqitur ankesën dhe OSHMA-në përkatëse mbi konkluzionet dhe</w:t>
      </w:r>
      <w:r>
        <w:rPr>
          <w:spacing w:val="-8"/>
          <w:sz w:val="22"/>
        </w:rPr>
        <w:t> </w:t>
      </w:r>
      <w:r>
        <w:rPr>
          <w:sz w:val="22"/>
        </w:rPr>
        <w:t>masat.</w:t>
      </w:r>
    </w:p>
    <w:p>
      <w:pPr>
        <w:pStyle w:val="ListParagraph"/>
        <w:numPr>
          <w:ilvl w:val="0"/>
          <w:numId w:val="102"/>
        </w:numPr>
        <w:tabs>
          <w:tab w:pos="1064" w:val="left" w:leader="none"/>
        </w:tabs>
        <w:spacing w:line="240" w:lineRule="auto" w:before="0" w:after="0"/>
        <w:ind w:left="119" w:right="115" w:firstLine="720"/>
        <w:jc w:val="both"/>
        <w:rPr>
          <w:sz w:val="22"/>
        </w:rPr>
      </w:pPr>
      <w:r>
        <w:rPr>
          <w:sz w:val="22"/>
        </w:rPr>
        <w:t>OSHMA-ja transmeton konkluzionin e Këshillit të Ankesave, kur ky konkluzion është në favor të personit që ka kryer ankesën, brenda 2 ditëve nga marrja e njoftimit, në një mënyrë të njëjtë me atë të realizimit të transmetimit, kundrejt të cilit është bërë</w:t>
      </w:r>
      <w:r>
        <w:rPr>
          <w:spacing w:val="-6"/>
          <w:sz w:val="22"/>
        </w:rPr>
        <w:t> </w:t>
      </w:r>
      <w:r>
        <w:rPr>
          <w:sz w:val="22"/>
        </w:rPr>
        <w:t>ankesa.</w:t>
      </w:r>
    </w:p>
    <w:p>
      <w:pPr>
        <w:pStyle w:val="ListParagraph"/>
        <w:numPr>
          <w:ilvl w:val="0"/>
          <w:numId w:val="102"/>
        </w:numPr>
        <w:tabs>
          <w:tab w:pos="1080" w:val="left" w:leader="none"/>
        </w:tabs>
        <w:spacing w:line="240" w:lineRule="auto" w:before="0" w:after="0"/>
        <w:ind w:left="119" w:right="114" w:firstLine="720"/>
        <w:jc w:val="both"/>
        <w:rPr>
          <w:sz w:val="22"/>
        </w:rPr>
      </w:pPr>
      <w:r>
        <w:rPr>
          <w:sz w:val="22"/>
        </w:rPr>
        <w:t>Këshilli i Ankesave vendos lidhur me zgjidhjen e ankesës brenda një afati sa më të shkurtër. Gjatë</w:t>
      </w:r>
      <w:r>
        <w:rPr>
          <w:spacing w:val="10"/>
          <w:sz w:val="22"/>
        </w:rPr>
        <w:t> </w:t>
      </w:r>
      <w:r>
        <w:rPr>
          <w:sz w:val="22"/>
        </w:rPr>
        <w:t>procedurave</w:t>
      </w:r>
      <w:r>
        <w:rPr>
          <w:spacing w:val="11"/>
          <w:sz w:val="22"/>
        </w:rPr>
        <w:t> </w:t>
      </w:r>
      <w:r>
        <w:rPr>
          <w:sz w:val="22"/>
        </w:rPr>
        <w:t>të</w:t>
      </w:r>
      <w:r>
        <w:rPr>
          <w:spacing w:val="11"/>
          <w:sz w:val="22"/>
        </w:rPr>
        <w:t> </w:t>
      </w:r>
      <w:r>
        <w:rPr>
          <w:sz w:val="22"/>
        </w:rPr>
        <w:t>zgjidhjes</w:t>
      </w:r>
      <w:r>
        <w:rPr>
          <w:spacing w:val="11"/>
          <w:sz w:val="22"/>
        </w:rPr>
        <w:t> </w:t>
      </w:r>
      <w:r>
        <w:rPr>
          <w:sz w:val="22"/>
        </w:rPr>
        <w:t>së</w:t>
      </w:r>
      <w:r>
        <w:rPr>
          <w:spacing w:val="10"/>
          <w:sz w:val="22"/>
        </w:rPr>
        <w:t> </w:t>
      </w:r>
      <w:r>
        <w:rPr>
          <w:sz w:val="22"/>
        </w:rPr>
        <w:t>ankesës,</w:t>
      </w:r>
      <w:r>
        <w:rPr>
          <w:spacing w:val="11"/>
          <w:sz w:val="22"/>
        </w:rPr>
        <w:t> </w:t>
      </w:r>
      <w:r>
        <w:rPr>
          <w:sz w:val="22"/>
        </w:rPr>
        <w:t>Këshilli</w:t>
      </w:r>
      <w:r>
        <w:rPr>
          <w:spacing w:val="12"/>
          <w:sz w:val="22"/>
        </w:rPr>
        <w:t> </w:t>
      </w:r>
      <w:r>
        <w:rPr>
          <w:sz w:val="22"/>
        </w:rPr>
        <w:t>i</w:t>
      </w:r>
      <w:r>
        <w:rPr>
          <w:spacing w:val="12"/>
          <w:sz w:val="22"/>
        </w:rPr>
        <w:t> </w:t>
      </w:r>
      <w:r>
        <w:rPr>
          <w:sz w:val="22"/>
        </w:rPr>
        <w:t>Ankesave</w:t>
      </w:r>
      <w:r>
        <w:rPr>
          <w:spacing w:val="14"/>
          <w:sz w:val="22"/>
        </w:rPr>
        <w:t> </w:t>
      </w:r>
      <w:r>
        <w:rPr>
          <w:sz w:val="22"/>
        </w:rPr>
        <w:t>mund</w:t>
      </w:r>
      <w:r>
        <w:rPr>
          <w:spacing w:val="12"/>
          <w:sz w:val="22"/>
        </w:rPr>
        <w:t> </w:t>
      </w:r>
      <w:r>
        <w:rPr>
          <w:sz w:val="22"/>
        </w:rPr>
        <w:t>të</w:t>
      </w:r>
      <w:r>
        <w:rPr>
          <w:spacing w:val="14"/>
          <w:sz w:val="22"/>
        </w:rPr>
        <w:t> </w:t>
      </w:r>
      <w:r>
        <w:rPr>
          <w:sz w:val="22"/>
        </w:rPr>
        <w:t>vendosë</w:t>
      </w:r>
      <w:r>
        <w:rPr>
          <w:spacing w:val="11"/>
          <w:sz w:val="22"/>
        </w:rPr>
        <w:t> </w:t>
      </w:r>
      <w:r>
        <w:rPr>
          <w:sz w:val="22"/>
        </w:rPr>
        <w:t>organizimin</w:t>
      </w:r>
      <w:r>
        <w:rPr>
          <w:spacing w:val="13"/>
          <w:sz w:val="22"/>
        </w:rPr>
        <w:t> </w:t>
      </w:r>
      <w:r>
        <w:rPr>
          <w:sz w:val="22"/>
        </w:rPr>
        <w:t>e</w:t>
      </w:r>
      <w:r>
        <w:rPr>
          <w:spacing w:val="10"/>
          <w:sz w:val="22"/>
        </w:rPr>
        <w:t> </w:t>
      </w:r>
      <w:r>
        <w:rPr>
          <w:sz w:val="22"/>
        </w:rPr>
        <w:t>seancave</w:t>
      </w:r>
    </w:p>
    <w:p>
      <w:pPr>
        <w:spacing w:after="0" w:line="240" w:lineRule="auto"/>
        <w:jc w:val="both"/>
        <w:rPr>
          <w:sz w:val="22"/>
        </w:rPr>
        <w:sectPr>
          <w:pgSz w:w="12240" w:h="15840"/>
          <w:pgMar w:top="1360" w:bottom="280" w:left="1320" w:right="1320"/>
        </w:sectPr>
      </w:pPr>
    </w:p>
    <w:p>
      <w:pPr>
        <w:pStyle w:val="BodyText"/>
        <w:spacing w:line="252" w:lineRule="exact" w:before="74"/>
        <w:ind w:firstLine="0"/>
        <w:jc w:val="both"/>
      </w:pPr>
      <w:r>
        <w:rPr/>
        <w:t>dëgjimore me palët.</w:t>
      </w:r>
    </w:p>
    <w:p>
      <w:pPr>
        <w:pStyle w:val="ListParagraph"/>
        <w:numPr>
          <w:ilvl w:val="0"/>
          <w:numId w:val="102"/>
        </w:numPr>
        <w:tabs>
          <w:tab w:pos="1083" w:val="left" w:leader="none"/>
        </w:tabs>
        <w:spacing w:line="240" w:lineRule="auto" w:before="0" w:after="0"/>
        <w:ind w:left="119" w:right="116" w:firstLine="720"/>
        <w:jc w:val="both"/>
        <w:rPr>
          <w:sz w:val="22"/>
        </w:rPr>
      </w:pPr>
      <w:r>
        <w:rPr>
          <w:sz w:val="22"/>
        </w:rPr>
        <w:t>Kur një çështje ka qenë objekt i shumë ankesave të paraqitura, në bazë të këtij neni, ose për transmetime, që janë jashtë juridiksionit territorial të AMA-s, Këshilli i Ankesave, në qoftë se e konsideron të përshtatshme, i raporton AMA-s, lidhur me aspektet e saj dhe mënyrat e</w:t>
      </w:r>
      <w:r>
        <w:rPr>
          <w:spacing w:val="-12"/>
          <w:sz w:val="22"/>
        </w:rPr>
        <w:t> </w:t>
      </w:r>
      <w:r>
        <w:rPr>
          <w:sz w:val="22"/>
        </w:rPr>
        <w:t>zgjidhjes.</w:t>
      </w:r>
    </w:p>
    <w:p>
      <w:pPr>
        <w:pStyle w:val="BodyText"/>
        <w:spacing w:before="1"/>
        <w:ind w:left="146" w:right="146" w:firstLine="0"/>
        <w:jc w:val="center"/>
      </w:pPr>
      <w:r>
        <w:rPr/>
        <w:t>Neni 53</w:t>
      </w:r>
    </w:p>
    <w:p>
      <w:pPr>
        <w:pStyle w:val="Heading1"/>
      </w:pPr>
      <w:r>
        <w:rPr/>
        <w:t>E drejta e përgjigjes</w:t>
      </w:r>
    </w:p>
    <w:p>
      <w:pPr>
        <w:pStyle w:val="BodyText"/>
        <w:spacing w:before="7"/>
        <w:ind w:left="0" w:firstLine="0"/>
        <w:rPr>
          <w:b/>
          <w:sz w:val="21"/>
        </w:rPr>
      </w:pPr>
    </w:p>
    <w:p>
      <w:pPr>
        <w:pStyle w:val="ListParagraph"/>
        <w:numPr>
          <w:ilvl w:val="0"/>
          <w:numId w:val="103"/>
        </w:numPr>
        <w:tabs>
          <w:tab w:pos="1124" w:val="left" w:leader="none"/>
        </w:tabs>
        <w:spacing w:line="240" w:lineRule="auto" w:before="0" w:after="0"/>
        <w:ind w:left="119" w:right="113" w:firstLine="720"/>
        <w:jc w:val="both"/>
        <w:rPr>
          <w:sz w:val="22"/>
        </w:rPr>
      </w:pPr>
      <w:r>
        <w:rPr>
          <w:sz w:val="22"/>
        </w:rPr>
        <w:t>Çdo person, dinjiteti dhe reputacioni i të cilit janë prekur nga publikimi i fakteve dhe informacioneve jo të sakta në një transmetim, ka të drejtën e</w:t>
      </w:r>
      <w:r>
        <w:rPr>
          <w:spacing w:val="-8"/>
          <w:sz w:val="22"/>
        </w:rPr>
        <w:t> </w:t>
      </w:r>
      <w:r>
        <w:rPr>
          <w:sz w:val="22"/>
        </w:rPr>
        <w:t>përgjigjes.</w:t>
      </w:r>
    </w:p>
    <w:p>
      <w:pPr>
        <w:pStyle w:val="ListParagraph"/>
        <w:numPr>
          <w:ilvl w:val="0"/>
          <w:numId w:val="103"/>
        </w:numPr>
        <w:tabs>
          <w:tab w:pos="1121" w:val="left" w:leader="none"/>
        </w:tabs>
        <w:spacing w:line="240" w:lineRule="auto" w:before="0" w:after="0"/>
        <w:ind w:left="119" w:right="115" w:firstLine="720"/>
        <w:jc w:val="both"/>
        <w:rPr>
          <w:sz w:val="22"/>
        </w:rPr>
      </w:pPr>
      <w:r>
        <w:rPr>
          <w:sz w:val="22"/>
        </w:rPr>
        <w:t>AMA përgatit, brenda gjashtë muajve nga hyrja në fuqi e këtij ligji, një rregullore për ushtrimin e së drejtës së përgjigjes, pas një këshillimi publik, për këtë</w:t>
      </w:r>
      <w:r>
        <w:rPr>
          <w:spacing w:val="-4"/>
          <w:sz w:val="22"/>
        </w:rPr>
        <w:t> </w:t>
      </w:r>
      <w:r>
        <w:rPr>
          <w:sz w:val="22"/>
        </w:rPr>
        <w:t>çështje.</w:t>
      </w:r>
    </w:p>
    <w:p>
      <w:pPr>
        <w:pStyle w:val="ListParagraph"/>
        <w:numPr>
          <w:ilvl w:val="0"/>
          <w:numId w:val="103"/>
        </w:numPr>
        <w:tabs>
          <w:tab w:pos="1066" w:val="left" w:leader="none"/>
        </w:tabs>
        <w:spacing w:line="242" w:lineRule="auto" w:before="0" w:after="0"/>
        <w:ind w:left="119" w:right="114" w:firstLine="720"/>
        <w:jc w:val="both"/>
        <w:rPr>
          <w:sz w:val="22"/>
        </w:rPr>
      </w:pPr>
      <w:r>
        <w:rPr>
          <w:sz w:val="22"/>
        </w:rPr>
        <w:t>Rregullorja përcakton procedurat që duhet të ndiqen për ushtrimin e së drejtës së përgjigjes, në mënyrë</w:t>
      </w:r>
      <w:r>
        <w:rPr>
          <w:spacing w:val="-1"/>
          <w:sz w:val="22"/>
        </w:rPr>
        <w:t> </w:t>
      </w:r>
      <w:r>
        <w:rPr>
          <w:sz w:val="22"/>
        </w:rPr>
        <w:t>që:</w:t>
      </w:r>
    </w:p>
    <w:p>
      <w:pPr>
        <w:pStyle w:val="ListParagraph"/>
        <w:numPr>
          <w:ilvl w:val="0"/>
          <w:numId w:val="104"/>
        </w:numPr>
        <w:tabs>
          <w:tab w:pos="1068" w:val="left" w:leader="none"/>
        </w:tabs>
        <w:spacing w:line="248" w:lineRule="exact" w:before="0" w:after="0"/>
        <w:ind w:left="1067" w:right="0" w:hanging="229"/>
        <w:jc w:val="both"/>
        <w:rPr>
          <w:sz w:val="22"/>
        </w:rPr>
      </w:pPr>
      <w:r>
        <w:rPr>
          <w:sz w:val="22"/>
        </w:rPr>
        <w:t>përgjigjja të transmetohet brenda 30 ditëve nga paraqitja e</w:t>
      </w:r>
      <w:r>
        <w:rPr>
          <w:spacing w:val="-6"/>
          <w:sz w:val="22"/>
        </w:rPr>
        <w:t> </w:t>
      </w:r>
      <w:r>
        <w:rPr>
          <w:sz w:val="22"/>
        </w:rPr>
        <w:t>kërkesës;</w:t>
      </w:r>
    </w:p>
    <w:p>
      <w:pPr>
        <w:pStyle w:val="ListParagraph"/>
        <w:numPr>
          <w:ilvl w:val="0"/>
          <w:numId w:val="104"/>
        </w:numPr>
        <w:tabs>
          <w:tab w:pos="1143" w:val="left" w:leader="none"/>
        </w:tabs>
        <w:spacing w:line="240" w:lineRule="auto" w:before="0" w:after="0"/>
        <w:ind w:left="119" w:right="112" w:firstLine="720"/>
        <w:jc w:val="both"/>
        <w:rPr>
          <w:sz w:val="22"/>
        </w:rPr>
      </w:pPr>
      <w:r>
        <w:rPr>
          <w:sz w:val="22"/>
        </w:rPr>
        <w:t>e drejta e përgjigjes duhet të paraqesë se në çfarë mase informacioni i paraqitur gjatë transmetimit është jo korrekt dhe mashtrues dhe të kufizohet në pohimin e fakteve të nevojshme për korrigjimin e fakteve apo informacioneve të</w:t>
      </w:r>
      <w:r>
        <w:rPr>
          <w:spacing w:val="-2"/>
          <w:sz w:val="22"/>
        </w:rPr>
        <w:t> </w:t>
      </w:r>
      <w:r>
        <w:rPr>
          <w:sz w:val="22"/>
        </w:rPr>
        <w:t>pavërteta.</w:t>
      </w:r>
    </w:p>
    <w:p>
      <w:pPr>
        <w:pStyle w:val="ListParagraph"/>
        <w:numPr>
          <w:ilvl w:val="0"/>
          <w:numId w:val="103"/>
        </w:numPr>
        <w:tabs>
          <w:tab w:pos="1080" w:val="left" w:leader="none"/>
        </w:tabs>
        <w:spacing w:line="240" w:lineRule="auto" w:before="0" w:after="0"/>
        <w:ind w:left="119" w:right="115" w:firstLine="720"/>
        <w:jc w:val="both"/>
        <w:rPr>
          <w:sz w:val="22"/>
        </w:rPr>
      </w:pPr>
      <w:r>
        <w:rPr>
          <w:sz w:val="22"/>
        </w:rPr>
        <w:t>Personi që ushtron të drejtën e përgjigjes, në përputhje me rregulloren, duhet të paraqesë një kërkesë me shkrim, drejtuar ofruesit përgjegjës të shërbimit mediatik, duke paraqitur arsyet dhe faktet </w:t>
      </w:r>
      <w:r>
        <w:rPr>
          <w:spacing w:val="-3"/>
          <w:sz w:val="22"/>
        </w:rPr>
        <w:t>që </w:t>
      </w:r>
      <w:r>
        <w:rPr>
          <w:sz w:val="22"/>
        </w:rPr>
        <w:t>mbështetin kërkesën e</w:t>
      </w:r>
      <w:r>
        <w:rPr>
          <w:spacing w:val="-3"/>
          <w:sz w:val="22"/>
        </w:rPr>
        <w:t> </w:t>
      </w:r>
      <w:r>
        <w:rPr>
          <w:sz w:val="22"/>
        </w:rPr>
        <w:t>tij.</w:t>
      </w:r>
    </w:p>
    <w:p>
      <w:pPr>
        <w:pStyle w:val="ListParagraph"/>
        <w:numPr>
          <w:ilvl w:val="0"/>
          <w:numId w:val="103"/>
        </w:numPr>
        <w:tabs>
          <w:tab w:pos="1097" w:val="left" w:leader="none"/>
        </w:tabs>
        <w:spacing w:line="240" w:lineRule="auto" w:before="0" w:after="0"/>
        <w:ind w:left="119" w:right="116" w:firstLine="720"/>
        <w:jc w:val="both"/>
        <w:rPr>
          <w:sz w:val="22"/>
        </w:rPr>
      </w:pPr>
      <w:r>
        <w:rPr>
          <w:sz w:val="22"/>
        </w:rPr>
        <w:t>Kërkesa për të drejtën e përgjigjes duhet të paraqitet tek OSHMA-ja brenda 10 ditëve nga transmetimi, të cilit i adresohet kjo</w:t>
      </w:r>
      <w:r>
        <w:rPr>
          <w:spacing w:val="-1"/>
          <w:sz w:val="22"/>
        </w:rPr>
        <w:t> </w:t>
      </w:r>
      <w:r>
        <w:rPr>
          <w:sz w:val="22"/>
        </w:rPr>
        <w:t>kërkesë.</w:t>
      </w:r>
    </w:p>
    <w:p>
      <w:pPr>
        <w:pStyle w:val="ListParagraph"/>
        <w:numPr>
          <w:ilvl w:val="0"/>
          <w:numId w:val="103"/>
        </w:numPr>
        <w:tabs>
          <w:tab w:pos="1073" w:val="left" w:leader="none"/>
        </w:tabs>
        <w:spacing w:line="240" w:lineRule="auto" w:before="0" w:after="0"/>
        <w:ind w:left="119" w:right="116" w:firstLine="720"/>
        <w:jc w:val="both"/>
        <w:rPr>
          <w:sz w:val="22"/>
        </w:rPr>
      </w:pPr>
      <w:r>
        <w:rPr>
          <w:sz w:val="22"/>
        </w:rPr>
        <w:t>OSHMA-ja, brenda 10 ditëve nga marrja e kërkesës, vendos për ushtrimin ose refuzimin e së drejtës së përgjigjes dhe për këtë njofton me shkrim</w:t>
      </w:r>
      <w:r>
        <w:rPr>
          <w:spacing w:val="-8"/>
          <w:sz w:val="22"/>
        </w:rPr>
        <w:t> </w:t>
      </w:r>
      <w:r>
        <w:rPr>
          <w:sz w:val="22"/>
        </w:rPr>
        <w:t>kërkuesin.</w:t>
      </w:r>
    </w:p>
    <w:p>
      <w:pPr>
        <w:pStyle w:val="ListParagraph"/>
        <w:numPr>
          <w:ilvl w:val="0"/>
          <w:numId w:val="103"/>
        </w:numPr>
        <w:tabs>
          <w:tab w:pos="1104" w:val="left" w:leader="none"/>
        </w:tabs>
        <w:spacing w:line="240" w:lineRule="auto" w:before="0" w:after="0"/>
        <w:ind w:left="119" w:right="112" w:firstLine="720"/>
        <w:jc w:val="both"/>
        <w:rPr>
          <w:sz w:val="22"/>
        </w:rPr>
      </w:pPr>
      <w:r>
        <w:rPr>
          <w:sz w:val="22"/>
        </w:rPr>
        <w:t>Nëse brenda afatit të përcaktuar në pikën 6 të këtij neni kërkuesi nuk merr një përgjigje, prezumohet se OSHMA-ja ka refuzuar</w:t>
      </w:r>
      <w:r>
        <w:rPr>
          <w:spacing w:val="-1"/>
          <w:sz w:val="22"/>
        </w:rPr>
        <w:t> </w:t>
      </w:r>
      <w:r>
        <w:rPr>
          <w:sz w:val="22"/>
        </w:rPr>
        <w:t>kërkesën.</w:t>
      </w:r>
    </w:p>
    <w:p>
      <w:pPr>
        <w:pStyle w:val="ListParagraph"/>
        <w:numPr>
          <w:ilvl w:val="0"/>
          <w:numId w:val="103"/>
        </w:numPr>
        <w:tabs>
          <w:tab w:pos="1072" w:val="left" w:leader="none"/>
        </w:tabs>
        <w:spacing w:line="240" w:lineRule="auto" w:before="0" w:after="0"/>
        <w:ind w:left="119" w:right="116" w:firstLine="720"/>
        <w:jc w:val="both"/>
        <w:rPr>
          <w:sz w:val="22"/>
        </w:rPr>
      </w:pPr>
      <w:r>
        <w:rPr>
          <w:sz w:val="22"/>
        </w:rPr>
        <w:t>OSHMA-ja vë në dispozicion Këshillit të Ankesave regjistrimet e mbajtura në bazë të pikës 7 të nenit 51 të këtij</w:t>
      </w:r>
      <w:r>
        <w:rPr>
          <w:spacing w:val="-2"/>
          <w:sz w:val="22"/>
        </w:rPr>
        <w:t> </w:t>
      </w:r>
      <w:r>
        <w:rPr>
          <w:sz w:val="22"/>
        </w:rPr>
        <w:t>ligji.</w:t>
      </w:r>
    </w:p>
    <w:p>
      <w:pPr>
        <w:pStyle w:val="ListParagraph"/>
        <w:numPr>
          <w:ilvl w:val="0"/>
          <w:numId w:val="103"/>
        </w:numPr>
        <w:tabs>
          <w:tab w:pos="1092" w:val="left" w:leader="none"/>
        </w:tabs>
        <w:spacing w:line="242" w:lineRule="auto" w:before="0" w:after="0"/>
        <w:ind w:left="119" w:right="116" w:firstLine="720"/>
        <w:jc w:val="both"/>
        <w:rPr>
          <w:sz w:val="22"/>
        </w:rPr>
      </w:pPr>
      <w:r>
        <w:rPr>
          <w:sz w:val="22"/>
        </w:rPr>
        <w:t>Për realizimin e kërkesave të ushtrimit të së drejtës së përgjigjes, OSHMA-ja nuk mund të aplikojë asnjë lloj</w:t>
      </w:r>
      <w:r>
        <w:rPr>
          <w:spacing w:val="-2"/>
          <w:sz w:val="22"/>
        </w:rPr>
        <w:t> </w:t>
      </w:r>
      <w:r>
        <w:rPr>
          <w:sz w:val="22"/>
        </w:rPr>
        <w:t>tarife.</w:t>
      </w:r>
    </w:p>
    <w:p>
      <w:pPr>
        <w:pStyle w:val="ListParagraph"/>
        <w:numPr>
          <w:ilvl w:val="0"/>
          <w:numId w:val="103"/>
        </w:numPr>
        <w:tabs>
          <w:tab w:pos="1180" w:val="left" w:leader="none"/>
        </w:tabs>
        <w:spacing w:line="240" w:lineRule="auto" w:before="0" w:after="0"/>
        <w:ind w:left="119" w:right="114" w:firstLine="720"/>
        <w:jc w:val="both"/>
        <w:rPr>
          <w:sz w:val="22"/>
        </w:rPr>
      </w:pPr>
      <w:r>
        <w:rPr>
          <w:sz w:val="22"/>
        </w:rPr>
        <w:t>Këshilli i Ankesave, brenda 15 ditëve nga paraqitja e një ankese për refuzimin e së drejtës së përgjigjes nga një OSHMA, shqyrton çështjen dhe, nëse e gjen të drejtë ankesën e bërë, i kërkon OSHMA-së korrigjimin e fakteve dhe informacioneve, në lidhje me personin e interesuar, në një mënyrë të ngjashme dhe kohë të njëjtë me atë të transmetimit objekt ankese, brenda 7 ditëve nga marrja e njoftimit.</w:t>
      </w:r>
    </w:p>
    <w:p>
      <w:pPr>
        <w:pStyle w:val="ListParagraph"/>
        <w:numPr>
          <w:ilvl w:val="0"/>
          <w:numId w:val="103"/>
        </w:numPr>
        <w:tabs>
          <w:tab w:pos="1178" w:val="left" w:leader="none"/>
        </w:tabs>
        <w:spacing w:line="240" w:lineRule="auto" w:before="0" w:after="0"/>
        <w:ind w:left="119" w:right="116" w:firstLine="720"/>
        <w:jc w:val="both"/>
        <w:rPr>
          <w:sz w:val="22"/>
        </w:rPr>
      </w:pPr>
      <w:r>
        <w:rPr>
          <w:sz w:val="22"/>
        </w:rPr>
        <w:t>Në fillim të procedurës së shqyrtimit të ankesës, Këshilli i Ankesave i kërkon OSHMA-së, të cilit i adresohet ankesa, dhënien e shpjegimeve në lidhje me këtë</w:t>
      </w:r>
      <w:r>
        <w:rPr>
          <w:spacing w:val="-6"/>
          <w:sz w:val="22"/>
        </w:rPr>
        <w:t> </w:t>
      </w:r>
      <w:r>
        <w:rPr>
          <w:sz w:val="22"/>
        </w:rPr>
        <w:t>ankesë.</w:t>
      </w:r>
    </w:p>
    <w:p>
      <w:pPr>
        <w:pStyle w:val="ListParagraph"/>
        <w:numPr>
          <w:ilvl w:val="0"/>
          <w:numId w:val="103"/>
        </w:numPr>
        <w:tabs>
          <w:tab w:pos="1197" w:val="left" w:leader="none"/>
        </w:tabs>
        <w:spacing w:line="240" w:lineRule="auto" w:before="0" w:after="0"/>
        <w:ind w:left="119" w:right="116" w:firstLine="720"/>
        <w:jc w:val="both"/>
        <w:rPr>
          <w:sz w:val="22"/>
        </w:rPr>
      </w:pPr>
      <w:r>
        <w:rPr>
          <w:sz w:val="22"/>
        </w:rPr>
        <w:t>Këshilli i Ankesave i dërgon ankuesit dhe OSHMA-së përkatëse konkluzionet e arsyetuara për</w:t>
      </w:r>
      <w:r>
        <w:rPr>
          <w:spacing w:val="1"/>
          <w:sz w:val="22"/>
        </w:rPr>
        <w:t> </w:t>
      </w:r>
      <w:r>
        <w:rPr>
          <w:sz w:val="22"/>
        </w:rPr>
        <w:t>rastin.</w:t>
      </w:r>
    </w:p>
    <w:p>
      <w:pPr>
        <w:pStyle w:val="ListParagraph"/>
        <w:numPr>
          <w:ilvl w:val="0"/>
          <w:numId w:val="103"/>
        </w:numPr>
        <w:tabs>
          <w:tab w:pos="1171" w:val="left" w:leader="none"/>
        </w:tabs>
        <w:spacing w:line="252" w:lineRule="exact" w:before="0" w:after="0"/>
        <w:ind w:left="1170" w:right="0" w:hanging="332"/>
        <w:jc w:val="both"/>
        <w:rPr>
          <w:sz w:val="22"/>
        </w:rPr>
      </w:pPr>
      <w:r>
        <w:rPr>
          <w:sz w:val="22"/>
        </w:rPr>
        <w:t>Këshilli i Ankesave mund të refuzojë një ankesë</w:t>
      </w:r>
      <w:r>
        <w:rPr>
          <w:spacing w:val="-7"/>
          <w:sz w:val="22"/>
        </w:rPr>
        <w:t> </w:t>
      </w:r>
      <w:r>
        <w:rPr>
          <w:sz w:val="22"/>
        </w:rPr>
        <w:t>kur:</w:t>
      </w:r>
    </w:p>
    <w:p>
      <w:pPr>
        <w:pStyle w:val="ListParagraph"/>
        <w:numPr>
          <w:ilvl w:val="0"/>
          <w:numId w:val="105"/>
        </w:numPr>
        <w:tabs>
          <w:tab w:pos="1123" w:val="left" w:leader="none"/>
        </w:tabs>
        <w:spacing w:line="252" w:lineRule="exact" w:before="0" w:after="0"/>
        <w:ind w:left="1122" w:right="0" w:hanging="284"/>
        <w:jc w:val="both"/>
        <w:rPr>
          <w:sz w:val="22"/>
        </w:rPr>
      </w:pPr>
      <w:r>
        <w:rPr>
          <w:sz w:val="22"/>
        </w:rPr>
        <w:t>vlerëson se ajo është abuzive dhe e pabazuar, apo e bërë në</w:t>
      </w:r>
      <w:r>
        <w:rPr>
          <w:spacing w:val="41"/>
          <w:sz w:val="22"/>
        </w:rPr>
        <w:t> </w:t>
      </w:r>
      <w:r>
        <w:rPr>
          <w:sz w:val="22"/>
        </w:rPr>
        <w:t>keqbesim;</w:t>
      </w:r>
    </w:p>
    <w:p>
      <w:pPr>
        <w:pStyle w:val="ListParagraph"/>
        <w:numPr>
          <w:ilvl w:val="0"/>
          <w:numId w:val="105"/>
        </w:numPr>
        <w:tabs>
          <w:tab w:pos="1250" w:val="left" w:leader="none"/>
        </w:tabs>
        <w:spacing w:line="240" w:lineRule="auto" w:before="0" w:after="0"/>
        <w:ind w:left="119" w:right="115" w:firstLine="720"/>
        <w:jc w:val="both"/>
        <w:rPr>
          <w:sz w:val="22"/>
        </w:rPr>
      </w:pPr>
      <w:r>
        <w:rPr>
          <w:sz w:val="22"/>
        </w:rPr>
        <w:t>e drejta e kërkuar për përgjigje është opinion personal i personit dhe s’ka të bëjë me rregullimin e ndonjë lajmi me karakter fakti apo</w:t>
      </w:r>
      <w:r>
        <w:rPr>
          <w:spacing w:val="1"/>
          <w:sz w:val="22"/>
        </w:rPr>
        <w:t> </w:t>
      </w:r>
      <w:r>
        <w:rPr>
          <w:sz w:val="22"/>
        </w:rPr>
        <w:t>informacioni;</w:t>
      </w:r>
    </w:p>
    <w:p>
      <w:pPr>
        <w:pStyle w:val="ListParagraph"/>
        <w:numPr>
          <w:ilvl w:val="0"/>
          <w:numId w:val="105"/>
        </w:numPr>
        <w:tabs>
          <w:tab w:pos="1068" w:val="left" w:leader="none"/>
        </w:tabs>
        <w:spacing w:line="240" w:lineRule="auto" w:before="0" w:after="0"/>
        <w:ind w:left="839" w:right="116" w:firstLine="0"/>
        <w:jc w:val="both"/>
        <w:rPr>
          <w:sz w:val="22"/>
        </w:rPr>
      </w:pPr>
      <w:r>
        <w:rPr>
          <w:sz w:val="22"/>
        </w:rPr>
        <w:t>e drejta e kërkuar për përgjigje përmban parashtrimin e fakteve dhe informacioneve të rreme; ç) e drejta e kërkuar për përgjigje është bërë për të kërkuar parandalimin e veprimeve të</w:t>
      </w:r>
      <w:r>
        <w:rPr>
          <w:spacing w:val="20"/>
          <w:sz w:val="22"/>
        </w:rPr>
        <w:t> </w:t>
      </w:r>
      <w:r>
        <w:rPr>
          <w:sz w:val="22"/>
        </w:rPr>
        <w:t>pritshme</w:t>
      </w:r>
    </w:p>
    <w:p>
      <w:pPr>
        <w:pStyle w:val="BodyText"/>
        <w:spacing w:line="251" w:lineRule="exact"/>
        <w:ind w:left="119" w:firstLine="0"/>
        <w:jc w:val="both"/>
      </w:pPr>
      <w:r>
        <w:rPr/>
        <w:t>apo që s’kanë ndodhur ende;</w:t>
      </w:r>
    </w:p>
    <w:p>
      <w:pPr>
        <w:pStyle w:val="ListParagraph"/>
        <w:numPr>
          <w:ilvl w:val="0"/>
          <w:numId w:val="105"/>
        </w:numPr>
        <w:tabs>
          <w:tab w:pos="1094" w:val="left" w:leader="none"/>
        </w:tabs>
        <w:spacing w:line="240" w:lineRule="auto" w:before="0" w:after="0"/>
        <w:ind w:left="119" w:right="115" w:firstLine="720"/>
        <w:jc w:val="left"/>
        <w:rPr>
          <w:sz w:val="22"/>
        </w:rPr>
      </w:pPr>
      <w:r>
        <w:rPr>
          <w:sz w:val="22"/>
        </w:rPr>
        <w:t>përmbushja e së drejtës për përgjigje përfshin një ndëshkim, kapërcen rregullat e mirësjelljes, apo sjell dënimin e ofruesit të shërbimit mediatik në një proces gjyqësor</w:t>
      </w:r>
      <w:r>
        <w:rPr>
          <w:spacing w:val="-11"/>
          <w:sz w:val="22"/>
        </w:rPr>
        <w:t> </w:t>
      </w:r>
      <w:r>
        <w:rPr>
          <w:sz w:val="22"/>
        </w:rPr>
        <w:t>civil;</w:t>
      </w:r>
    </w:p>
    <w:p>
      <w:pPr>
        <w:pStyle w:val="BodyText"/>
        <w:ind w:left="119"/>
      </w:pPr>
      <w:r>
        <w:rPr/>
        <w:t>dh) përmbushja e së drejtës për përgjigje sjell shkeljen e kushteve të licencës së transmetimit të përcaktuar në kreun VII të këtij ligji;</w:t>
      </w:r>
    </w:p>
    <w:p>
      <w:pPr>
        <w:pStyle w:val="ListParagraph"/>
        <w:numPr>
          <w:ilvl w:val="0"/>
          <w:numId w:val="105"/>
        </w:numPr>
        <w:tabs>
          <w:tab w:pos="1090" w:val="left" w:leader="none"/>
        </w:tabs>
        <w:spacing w:line="251" w:lineRule="exact" w:before="0" w:after="0"/>
        <w:ind w:left="1089" w:right="0" w:hanging="251"/>
        <w:jc w:val="left"/>
        <w:rPr>
          <w:sz w:val="22"/>
        </w:rPr>
      </w:pPr>
      <w:r>
        <w:rPr>
          <w:sz w:val="22"/>
        </w:rPr>
        <w:t>personi i dëmtuar nga informacioni i kundërshtuar nuk ka interes të ligjshëm në momentin</w:t>
      </w:r>
      <w:r>
        <w:rPr>
          <w:spacing w:val="51"/>
          <w:sz w:val="22"/>
        </w:rPr>
        <w:t> </w:t>
      </w:r>
      <w:r>
        <w:rPr>
          <w:sz w:val="22"/>
        </w:rPr>
        <w:t>e</w:t>
      </w:r>
    </w:p>
    <w:p>
      <w:pPr>
        <w:spacing w:after="0" w:line="251" w:lineRule="exact"/>
        <w:jc w:val="left"/>
        <w:rPr>
          <w:sz w:val="22"/>
        </w:rPr>
        <w:sectPr>
          <w:pgSz w:w="12240" w:h="15840"/>
          <w:pgMar w:top="1360" w:bottom="280" w:left="1320" w:right="1320"/>
        </w:sectPr>
      </w:pPr>
    </w:p>
    <w:p>
      <w:pPr>
        <w:pStyle w:val="BodyText"/>
        <w:spacing w:line="252" w:lineRule="exact" w:before="74"/>
        <w:ind w:firstLine="0"/>
        <w:jc w:val="both"/>
      </w:pPr>
      <w:r>
        <w:rPr/>
        <w:t>kërkesës për ushtrimin e së drejtës së përgjigjes;</w:t>
      </w:r>
    </w:p>
    <w:p>
      <w:pPr>
        <w:pStyle w:val="BodyText"/>
        <w:ind w:left="119" w:right="113"/>
        <w:jc w:val="both"/>
      </w:pPr>
      <w:r>
        <w:rPr/>
        <w:t>ë) transmetimi i kundërshtuar përmban një thënie apo deklarim të personit të prekur, të tillë që konsiderohet i barasvlershëm me vetë përgjigjen e kërkuar ose kur personi ka dhënë pëlqimin paraprak në një mënyrë formale lidhur me përmbajtjen e transmetimit;</w:t>
      </w:r>
    </w:p>
    <w:p>
      <w:pPr>
        <w:pStyle w:val="ListParagraph"/>
        <w:numPr>
          <w:ilvl w:val="0"/>
          <w:numId w:val="105"/>
        </w:numPr>
        <w:tabs>
          <w:tab w:pos="1114" w:val="left" w:leader="none"/>
        </w:tabs>
        <w:spacing w:line="240" w:lineRule="auto" w:before="1" w:after="0"/>
        <w:ind w:left="120" w:right="115" w:firstLine="720"/>
        <w:jc w:val="both"/>
        <w:rPr>
          <w:sz w:val="22"/>
        </w:rPr>
      </w:pPr>
      <w:r>
        <w:rPr>
          <w:sz w:val="22"/>
        </w:rPr>
        <w:t>një korrigjim i barasvlershëm i të dhënave të informacionit të kundërshtuar është bërë paraprakisht dhe për këtë është njoftuar personi i prekur;</w:t>
      </w:r>
    </w:p>
    <w:p>
      <w:pPr>
        <w:pStyle w:val="ListParagraph"/>
        <w:numPr>
          <w:ilvl w:val="0"/>
          <w:numId w:val="105"/>
        </w:numPr>
        <w:tabs>
          <w:tab w:pos="1078" w:val="left" w:leader="none"/>
        </w:tabs>
        <w:spacing w:line="251" w:lineRule="exact" w:before="0" w:after="0"/>
        <w:ind w:left="1077" w:right="0" w:hanging="238"/>
        <w:jc w:val="both"/>
        <w:rPr>
          <w:sz w:val="22"/>
        </w:rPr>
      </w:pPr>
      <w:r>
        <w:rPr>
          <w:sz w:val="22"/>
        </w:rPr>
        <w:t>përmbajtja e përgjigjes së kërkuar dhunon të drejtat e një pale të</w:t>
      </w:r>
      <w:r>
        <w:rPr>
          <w:spacing w:val="-8"/>
          <w:sz w:val="22"/>
        </w:rPr>
        <w:t> </w:t>
      </w:r>
      <w:r>
        <w:rPr>
          <w:sz w:val="22"/>
        </w:rPr>
        <w:t>tretë;</w:t>
      </w:r>
    </w:p>
    <w:p>
      <w:pPr>
        <w:pStyle w:val="BodyText"/>
        <w:spacing w:before="1"/>
        <w:ind w:left="119" w:right="113"/>
        <w:jc w:val="both"/>
      </w:pPr>
      <w:r>
        <w:rPr/>
        <w:t>gj) çështja objekt ankese lidhet me thëniet gjatë veprimtarive parlamentare, zhvillimit të seancave gjyqësore apo transmetimit të veprimtarive të subjekteve politike;</w:t>
      </w:r>
    </w:p>
    <w:p>
      <w:pPr>
        <w:pStyle w:val="ListParagraph"/>
        <w:numPr>
          <w:ilvl w:val="0"/>
          <w:numId w:val="105"/>
        </w:numPr>
        <w:tabs>
          <w:tab w:pos="1081" w:val="left" w:leader="none"/>
        </w:tabs>
        <w:spacing w:line="252" w:lineRule="exact" w:before="0" w:after="0"/>
        <w:ind w:left="1080" w:right="0" w:hanging="241"/>
        <w:jc w:val="both"/>
        <w:rPr>
          <w:sz w:val="22"/>
        </w:rPr>
      </w:pPr>
      <w:r>
        <w:rPr>
          <w:sz w:val="22"/>
        </w:rPr>
        <w:t>transmetimi i së drejtës për përgjigje nuk është në interes të</w:t>
      </w:r>
      <w:r>
        <w:rPr>
          <w:spacing w:val="-9"/>
          <w:sz w:val="22"/>
        </w:rPr>
        <w:t> </w:t>
      </w:r>
      <w:r>
        <w:rPr>
          <w:sz w:val="22"/>
        </w:rPr>
        <w:t>publikut;</w:t>
      </w:r>
    </w:p>
    <w:p>
      <w:pPr>
        <w:pStyle w:val="ListParagraph"/>
        <w:numPr>
          <w:ilvl w:val="0"/>
          <w:numId w:val="105"/>
        </w:numPr>
        <w:tabs>
          <w:tab w:pos="1033" w:val="left" w:leader="none"/>
        </w:tabs>
        <w:spacing w:line="252" w:lineRule="exact" w:before="0" w:after="0"/>
        <w:ind w:left="1032" w:right="0" w:hanging="193"/>
        <w:jc w:val="both"/>
        <w:rPr>
          <w:sz w:val="22"/>
        </w:rPr>
      </w:pPr>
      <w:r>
        <w:rPr>
          <w:sz w:val="22"/>
        </w:rPr>
        <w:t>kërkesa është paraqitur në tejkalim të</w:t>
      </w:r>
      <w:r>
        <w:rPr>
          <w:spacing w:val="-6"/>
          <w:sz w:val="22"/>
        </w:rPr>
        <w:t> </w:t>
      </w:r>
      <w:r>
        <w:rPr>
          <w:sz w:val="22"/>
        </w:rPr>
        <w:t>afatit.</w:t>
      </w:r>
    </w:p>
    <w:p>
      <w:pPr>
        <w:pStyle w:val="ListParagraph"/>
        <w:numPr>
          <w:ilvl w:val="0"/>
          <w:numId w:val="103"/>
        </w:numPr>
        <w:tabs>
          <w:tab w:pos="1184" w:val="left" w:leader="none"/>
        </w:tabs>
        <w:spacing w:line="240" w:lineRule="auto" w:before="0" w:after="0"/>
        <w:ind w:left="120" w:right="114" w:firstLine="720"/>
        <w:jc w:val="both"/>
        <w:rPr>
          <w:sz w:val="22"/>
        </w:rPr>
      </w:pPr>
      <w:r>
        <w:rPr>
          <w:sz w:val="22"/>
        </w:rPr>
        <w:t>Kur Këshilli i Ankesave vëren se OSHMA-ja nuk i ka përmbushur detyrimet, sipas pikës 10 të këtij neni, njofton AMA-n. Kjo e fundit vendos në bazë të sugjerimit të Këshillit të Ankesave për rastin konkret.</w:t>
      </w:r>
    </w:p>
    <w:p>
      <w:pPr>
        <w:pStyle w:val="ListParagraph"/>
        <w:numPr>
          <w:ilvl w:val="0"/>
          <w:numId w:val="103"/>
        </w:numPr>
        <w:tabs>
          <w:tab w:pos="1172" w:val="left" w:leader="none"/>
        </w:tabs>
        <w:spacing w:line="252" w:lineRule="exact" w:before="2" w:after="0"/>
        <w:ind w:left="1171" w:right="0" w:hanging="332"/>
        <w:jc w:val="both"/>
        <w:rPr>
          <w:sz w:val="22"/>
        </w:rPr>
      </w:pPr>
      <w:r>
        <w:rPr>
          <w:sz w:val="22"/>
        </w:rPr>
        <w:t>Vendimi i AMA-s mund të kundërshtohet në Gjykatën e Rrethit Gjyqësor,</w:t>
      </w:r>
      <w:r>
        <w:rPr>
          <w:spacing w:val="-7"/>
          <w:sz w:val="22"/>
        </w:rPr>
        <w:t> </w:t>
      </w:r>
      <w:r>
        <w:rPr>
          <w:sz w:val="22"/>
        </w:rPr>
        <w:t>Tiranë.</w:t>
      </w:r>
    </w:p>
    <w:p>
      <w:pPr>
        <w:pStyle w:val="ListParagraph"/>
        <w:numPr>
          <w:ilvl w:val="0"/>
          <w:numId w:val="103"/>
        </w:numPr>
        <w:tabs>
          <w:tab w:pos="1172" w:val="left" w:leader="none"/>
        </w:tabs>
        <w:spacing w:line="252" w:lineRule="exact" w:before="0" w:after="0"/>
        <w:ind w:left="1171" w:right="0" w:hanging="332"/>
        <w:jc w:val="both"/>
        <w:rPr>
          <w:sz w:val="22"/>
        </w:rPr>
      </w:pPr>
      <w:r>
        <w:rPr>
          <w:sz w:val="22"/>
        </w:rPr>
        <w:t>Rregullorja, sipas pikës 2 të këtij neni, publikohet nga AMA në faqen zyrtare të</w:t>
      </w:r>
      <w:r>
        <w:rPr>
          <w:spacing w:val="-16"/>
          <w:sz w:val="22"/>
        </w:rPr>
        <w:t> </w:t>
      </w:r>
      <w:r>
        <w:rPr>
          <w:sz w:val="22"/>
        </w:rPr>
        <w:t>internetit.</w:t>
      </w:r>
    </w:p>
    <w:p>
      <w:pPr>
        <w:pStyle w:val="BodyText"/>
        <w:spacing w:line="252" w:lineRule="exact" w:before="93"/>
        <w:ind w:left="146" w:right="145" w:firstLine="0"/>
        <w:jc w:val="center"/>
      </w:pPr>
      <w:r>
        <w:rPr/>
        <w:t>KREU VII</w:t>
      </w:r>
    </w:p>
    <w:p>
      <w:pPr>
        <w:pStyle w:val="BodyText"/>
        <w:ind w:left="1107" w:right="1108" w:firstLine="0"/>
        <w:jc w:val="center"/>
      </w:pPr>
      <w:r>
        <w:rPr/>
        <w:t>LICENCAT E TRANSMETIMIT, LICENCAT E OFRIMIT TË PËRMBAJTJES DHE SHËRBIMEVE</w:t>
      </w:r>
    </w:p>
    <w:p>
      <w:pPr>
        <w:pStyle w:val="BodyText"/>
        <w:spacing w:before="185"/>
        <w:ind w:left="146" w:right="146" w:firstLine="0"/>
        <w:jc w:val="center"/>
      </w:pPr>
      <w:bookmarkStart w:name="Neni 54" w:id="4"/>
      <w:bookmarkEnd w:id="4"/>
      <w:r>
        <w:rPr/>
      </w:r>
      <w:r>
        <w:rPr/>
        <w:t>Neni 54</w:t>
      </w:r>
    </w:p>
    <w:p>
      <w:pPr>
        <w:pStyle w:val="Heading1"/>
      </w:pPr>
      <w:r>
        <w:rPr/>
        <w:t>Ofrimi i rrjeteve dhe shërbimeve audio dhe/ose audiovizive</w:t>
      </w:r>
    </w:p>
    <w:p>
      <w:pPr>
        <w:pStyle w:val="ListParagraph"/>
        <w:numPr>
          <w:ilvl w:val="0"/>
          <w:numId w:val="106"/>
        </w:numPr>
        <w:tabs>
          <w:tab w:pos="1124" w:val="left" w:leader="none"/>
        </w:tabs>
        <w:spacing w:line="240" w:lineRule="auto" w:before="179" w:after="0"/>
        <w:ind w:left="120" w:right="113" w:firstLine="720"/>
        <w:jc w:val="both"/>
        <w:rPr>
          <w:sz w:val="22"/>
        </w:rPr>
      </w:pPr>
      <w:r>
        <w:rPr>
          <w:sz w:val="22"/>
        </w:rPr>
        <w:t>Ofrimi i rrjeteve për transmetimet audio dhe/ose audiovizive, që kërkojnë përdorimin e frekuencave radiotelevizive, licencohet nga AMA, sipas përcaktimeve të këtij ligji. Në përcaktimin e frekuencave që mund të përdoren për transmetimet audio dhe/ose audiovizive, AMA mban parasysh që frekuencat janë një pasuri kombëtare, me vlerë ekonomike dhe rëndësi sociale e kulturore dhe duhet të garantojë shmangien e interferencave dhe shfrytëzimin efektiv të spektrit. Caktimi i frekuencave bëhet nga AMA mbi bazën e objektivitetit, transparencës, mosdiskriminimit, disponueshmërisë së frekuencave të lira dhe, në përputhje me përcaktimet e Planit Kombëtar të Frekuencave, vetëm në brezat e  frekuencave të përcaktuara për t’u administruar nga</w:t>
      </w:r>
      <w:r>
        <w:rPr>
          <w:spacing w:val="-7"/>
          <w:sz w:val="22"/>
        </w:rPr>
        <w:t> </w:t>
      </w:r>
      <w:r>
        <w:rPr>
          <w:sz w:val="22"/>
        </w:rPr>
        <w:t>AMA.</w:t>
      </w:r>
    </w:p>
    <w:p>
      <w:pPr>
        <w:pStyle w:val="ListParagraph"/>
        <w:numPr>
          <w:ilvl w:val="0"/>
          <w:numId w:val="106"/>
        </w:numPr>
        <w:tabs>
          <w:tab w:pos="1114" w:val="left" w:leader="none"/>
        </w:tabs>
        <w:spacing w:line="240" w:lineRule="auto" w:before="0" w:after="0"/>
        <w:ind w:left="120" w:right="114" w:firstLine="720"/>
        <w:jc w:val="both"/>
        <w:rPr>
          <w:sz w:val="22"/>
        </w:rPr>
      </w:pPr>
      <w:r>
        <w:rPr>
          <w:sz w:val="22"/>
        </w:rPr>
        <w:t>Ofrimi i rrjeteve për transmetimet audio dhe/ose audiovizive, që kërkojnë përdorimin e frekuencave jashtë brezave të frekuencave të caktuara për transmetimet radiotelevizive, sipas Planit Kombëtar të Frekuencave, i nënshtrohet rregullimit, sipas ligjit nr. 9918, datë 19.5.2008 “Për</w:t>
      </w:r>
      <w:bookmarkStart w:name="3. Ofrimi i rrjeteve për transmetimet au" w:id="5"/>
      <w:bookmarkEnd w:id="5"/>
      <w:r>
        <w:rPr>
          <w:sz w:val="22"/>
        </w:rPr>
      </w:r>
      <w:r>
        <w:rPr>
          <w:sz w:val="22"/>
        </w:rPr>
        <w:t> komunikimet elektronike”.</w:t>
      </w:r>
    </w:p>
    <w:p>
      <w:pPr>
        <w:pStyle w:val="ListParagraph"/>
        <w:numPr>
          <w:ilvl w:val="0"/>
          <w:numId w:val="106"/>
        </w:numPr>
        <w:tabs>
          <w:tab w:pos="1109" w:val="left" w:leader="none"/>
        </w:tabs>
        <w:spacing w:line="240" w:lineRule="auto" w:before="0" w:after="0"/>
        <w:ind w:left="120" w:right="115" w:firstLine="720"/>
        <w:jc w:val="both"/>
        <w:rPr>
          <w:sz w:val="22"/>
        </w:rPr>
      </w:pPr>
      <w:r>
        <w:rPr>
          <w:sz w:val="22"/>
        </w:rPr>
        <w:t>Ofrimi i rrjeteve për transmetimet audio dhe/ose audiovizive që nuk kërkojnë caktimin e frekuencave, si rrjetet e televizionit kabllor, satelitor, i nënshtrohen rregullimit sipas ligjit nr. 9918, datë</w:t>
      </w:r>
      <w:bookmarkStart w:name="4. Ofrimi i shërbimeve të programeve aud" w:id="6"/>
      <w:bookmarkEnd w:id="6"/>
      <w:r>
        <w:rPr>
          <w:sz w:val="22"/>
        </w:rPr>
      </w:r>
      <w:r>
        <w:rPr>
          <w:sz w:val="22"/>
        </w:rPr>
        <w:t> 19.5.2008 “Për komunikimet</w:t>
      </w:r>
      <w:r>
        <w:rPr>
          <w:spacing w:val="-2"/>
          <w:sz w:val="22"/>
        </w:rPr>
        <w:t> </w:t>
      </w:r>
      <w:r>
        <w:rPr>
          <w:sz w:val="22"/>
        </w:rPr>
        <w:t>elektronike”.</w:t>
      </w:r>
    </w:p>
    <w:p>
      <w:pPr>
        <w:pStyle w:val="ListParagraph"/>
        <w:numPr>
          <w:ilvl w:val="0"/>
          <w:numId w:val="106"/>
        </w:numPr>
        <w:tabs>
          <w:tab w:pos="1136" w:val="left" w:leader="none"/>
        </w:tabs>
        <w:spacing w:line="240" w:lineRule="auto" w:before="0" w:after="0"/>
        <w:ind w:left="120" w:right="113" w:firstLine="720"/>
        <w:jc w:val="both"/>
        <w:rPr>
          <w:sz w:val="22"/>
        </w:rPr>
      </w:pPr>
      <w:r>
        <w:rPr>
          <w:sz w:val="22"/>
        </w:rPr>
        <w:t>Ofrimi i shërbimeve të programeve audio dhe/ose audiovizive, mbështetur në rrjetet e përshkruara në pikën 1 të këtij neni, bëhet në përputhje me kërkesat e parashikuara nga ky ligj dhe rregullat e nxjerra nga AMA. Në këtë rast AMA</w:t>
      </w:r>
      <w:r>
        <w:rPr>
          <w:spacing w:val="-6"/>
          <w:sz w:val="22"/>
        </w:rPr>
        <w:t> </w:t>
      </w:r>
      <w:r>
        <w:rPr>
          <w:sz w:val="22"/>
        </w:rPr>
        <w:t>lëshon:</w:t>
      </w:r>
    </w:p>
    <w:p>
      <w:pPr>
        <w:pStyle w:val="ListParagraph"/>
        <w:numPr>
          <w:ilvl w:val="0"/>
          <w:numId w:val="107"/>
        </w:numPr>
        <w:tabs>
          <w:tab w:pos="1078" w:val="left" w:leader="none"/>
        </w:tabs>
        <w:spacing w:line="240" w:lineRule="auto" w:before="1" w:after="0"/>
        <w:ind w:left="120" w:right="114" w:firstLine="720"/>
        <w:jc w:val="both"/>
        <w:rPr>
          <w:sz w:val="22"/>
        </w:rPr>
      </w:pPr>
      <w:bookmarkStart w:name="a) licenca të transmetimit audio dhe lic" w:id="7"/>
      <w:bookmarkEnd w:id="7"/>
      <w:r>
        <w:rPr/>
      </w:r>
      <w:bookmarkStart w:name="a) licenca të transmetimit audio dhe lic" w:id="8"/>
      <w:bookmarkEnd w:id="8"/>
      <w:r>
        <w:rPr>
          <w:sz w:val="22"/>
        </w:rPr>
        <w:t>l</w:t>
      </w:r>
      <w:r>
        <w:rPr>
          <w:sz w:val="22"/>
        </w:rPr>
        <w:t>icenca të transmetimit audio dhe licenca të transmetimit audiovizive, kur licencohet rrjeti dhe programi ose programet e mbështetura në</w:t>
      </w:r>
      <w:r>
        <w:rPr>
          <w:spacing w:val="-1"/>
          <w:sz w:val="22"/>
        </w:rPr>
        <w:t> </w:t>
      </w:r>
      <w:r>
        <w:rPr>
          <w:sz w:val="22"/>
        </w:rPr>
        <w:t>të;</w:t>
      </w:r>
    </w:p>
    <w:p>
      <w:pPr>
        <w:pStyle w:val="ListParagraph"/>
        <w:numPr>
          <w:ilvl w:val="0"/>
          <w:numId w:val="107"/>
        </w:numPr>
        <w:tabs>
          <w:tab w:pos="1081" w:val="left" w:leader="none"/>
        </w:tabs>
        <w:spacing w:line="251" w:lineRule="exact" w:before="0" w:after="0"/>
        <w:ind w:left="1080" w:right="0" w:hanging="241"/>
        <w:jc w:val="both"/>
        <w:rPr>
          <w:sz w:val="22"/>
        </w:rPr>
      </w:pPr>
      <w:bookmarkStart w:name="b) licenca të shërbimit të programit aud" w:id="9"/>
      <w:bookmarkEnd w:id="9"/>
      <w:r>
        <w:rPr/>
      </w:r>
      <w:bookmarkStart w:name="b) licenca të shërbimit të programit aud" w:id="10"/>
      <w:bookmarkEnd w:id="10"/>
      <w:r>
        <w:rPr>
          <w:sz w:val="22"/>
        </w:rPr>
        <w:t>l</w:t>
      </w:r>
      <w:r>
        <w:rPr>
          <w:sz w:val="22"/>
        </w:rPr>
        <w:t>icenca të shërbimit të programit audio dhe/ose audioviziv, kur licencohet vetëm</w:t>
      </w:r>
      <w:r>
        <w:rPr>
          <w:spacing w:val="-19"/>
          <w:sz w:val="22"/>
        </w:rPr>
        <w:t> </w:t>
      </w:r>
      <w:r>
        <w:rPr>
          <w:sz w:val="22"/>
        </w:rPr>
        <w:t>programi.</w:t>
      </w:r>
    </w:p>
    <w:p>
      <w:pPr>
        <w:pStyle w:val="ListParagraph"/>
        <w:numPr>
          <w:ilvl w:val="0"/>
          <w:numId w:val="106"/>
        </w:numPr>
        <w:tabs>
          <w:tab w:pos="1136" w:val="left" w:leader="none"/>
        </w:tabs>
        <w:spacing w:line="240" w:lineRule="auto" w:before="1" w:after="0"/>
        <w:ind w:left="119" w:right="114" w:firstLine="720"/>
        <w:jc w:val="both"/>
        <w:rPr>
          <w:sz w:val="22"/>
        </w:rPr>
      </w:pPr>
      <w:bookmarkStart w:name="5. Ofrimi i shërbimeve të programeve aud" w:id="11"/>
      <w:bookmarkEnd w:id="11"/>
      <w:r>
        <w:rPr/>
      </w:r>
      <w:bookmarkStart w:name="5. Ofrimi i shërbimeve të programeve aud" w:id="12"/>
      <w:bookmarkEnd w:id="12"/>
      <w:r>
        <w:rPr>
          <w:sz w:val="22"/>
        </w:rPr>
        <w:t>O</w:t>
      </w:r>
      <w:r>
        <w:rPr>
          <w:sz w:val="22"/>
        </w:rPr>
        <w:t>frimi i shërbimeve të programeve audio dhe/ose audiovizive, mbështetur në rrjetet e përshkruara në pikat 2 dhe 3 të këtij neni, bëhet në përputhje me kërkesat e parashikuara nga ky ligj dhe rregullat e nxjerra nga AMA. Në këtë rast, AMA lëshon autorizime të shërbimit audio dhe autorizime të shërbimit të programit</w:t>
      </w:r>
      <w:r>
        <w:rPr>
          <w:spacing w:val="1"/>
          <w:sz w:val="22"/>
        </w:rPr>
        <w:t> </w:t>
      </w:r>
      <w:r>
        <w:rPr>
          <w:sz w:val="22"/>
        </w:rPr>
        <w:t>audioviziv.</w:t>
      </w:r>
    </w:p>
    <w:p>
      <w:pPr>
        <w:pStyle w:val="BodyText"/>
        <w:spacing w:line="252" w:lineRule="exact"/>
        <w:ind w:left="146" w:right="144" w:firstLine="0"/>
        <w:jc w:val="center"/>
      </w:pPr>
      <w:r>
        <w:rPr/>
        <w:t>Neni  55</w:t>
      </w:r>
    </w:p>
    <w:p>
      <w:pPr>
        <w:pStyle w:val="Heading1"/>
        <w:spacing w:before="6"/>
      </w:pPr>
      <w:r>
        <w:rPr/>
        <w:t>Llojet e licencave dhe autorizimeve dhe afatet e tyre</w:t>
      </w:r>
    </w:p>
    <w:p>
      <w:pPr>
        <w:spacing w:after="0"/>
        <w:sectPr>
          <w:pgSz w:w="12240" w:h="15840"/>
          <w:pgMar w:top="1360" w:bottom="280" w:left="1320" w:right="1320"/>
        </w:sectPr>
      </w:pPr>
    </w:p>
    <w:p>
      <w:pPr>
        <w:pStyle w:val="ListParagraph"/>
        <w:numPr>
          <w:ilvl w:val="0"/>
          <w:numId w:val="108"/>
        </w:numPr>
        <w:tabs>
          <w:tab w:pos="1061" w:val="left" w:leader="none"/>
        </w:tabs>
        <w:spacing w:line="252" w:lineRule="exact" w:before="74" w:after="0"/>
        <w:ind w:left="1060" w:right="0" w:hanging="221"/>
        <w:jc w:val="left"/>
        <w:rPr>
          <w:sz w:val="22"/>
        </w:rPr>
      </w:pPr>
      <w:r>
        <w:rPr>
          <w:sz w:val="22"/>
        </w:rPr>
        <w:t>Llojet e licencave që jep AMA-ja</w:t>
      </w:r>
      <w:r>
        <w:rPr>
          <w:spacing w:val="-12"/>
          <w:sz w:val="22"/>
        </w:rPr>
        <w:t> </w:t>
      </w:r>
      <w:r>
        <w:rPr>
          <w:sz w:val="22"/>
        </w:rPr>
        <w:t>janë:</w:t>
      </w:r>
    </w:p>
    <w:p>
      <w:pPr>
        <w:pStyle w:val="ListParagraph"/>
        <w:numPr>
          <w:ilvl w:val="0"/>
          <w:numId w:val="109"/>
        </w:numPr>
        <w:tabs>
          <w:tab w:pos="1069" w:val="left" w:leader="none"/>
        </w:tabs>
        <w:spacing w:line="252" w:lineRule="exact" w:before="0" w:after="0"/>
        <w:ind w:left="1068" w:right="0" w:hanging="229"/>
        <w:jc w:val="left"/>
        <w:rPr>
          <w:sz w:val="22"/>
        </w:rPr>
      </w:pPr>
      <w:r>
        <w:rPr>
          <w:sz w:val="22"/>
        </w:rPr>
        <w:t>licencë shërbimi programi audio, për ofrimin e një shërbimi programi</w:t>
      </w:r>
      <w:r>
        <w:rPr>
          <w:spacing w:val="-3"/>
          <w:sz w:val="22"/>
        </w:rPr>
        <w:t> </w:t>
      </w:r>
      <w:r>
        <w:rPr>
          <w:sz w:val="22"/>
        </w:rPr>
        <w:t>audio;</w:t>
      </w:r>
    </w:p>
    <w:p>
      <w:pPr>
        <w:pStyle w:val="ListParagraph"/>
        <w:numPr>
          <w:ilvl w:val="0"/>
          <w:numId w:val="109"/>
        </w:numPr>
        <w:tabs>
          <w:tab w:pos="1081" w:val="left" w:leader="none"/>
        </w:tabs>
        <w:spacing w:line="252" w:lineRule="exact" w:before="1" w:after="0"/>
        <w:ind w:left="1080" w:right="0" w:hanging="241"/>
        <w:jc w:val="left"/>
        <w:rPr>
          <w:sz w:val="22"/>
        </w:rPr>
      </w:pPr>
      <w:r>
        <w:rPr>
          <w:sz w:val="22"/>
        </w:rPr>
        <w:t>licencë shërbimi programi audioviziv, për ofrimin e një shërbimi programi</w:t>
      </w:r>
      <w:r>
        <w:rPr>
          <w:spacing w:val="-10"/>
          <w:sz w:val="22"/>
        </w:rPr>
        <w:t> </w:t>
      </w:r>
      <w:r>
        <w:rPr>
          <w:sz w:val="22"/>
        </w:rPr>
        <w:t>audioviziv;</w:t>
      </w:r>
    </w:p>
    <w:p>
      <w:pPr>
        <w:pStyle w:val="ListParagraph"/>
        <w:numPr>
          <w:ilvl w:val="0"/>
          <w:numId w:val="109"/>
        </w:numPr>
        <w:tabs>
          <w:tab w:pos="1069" w:val="left" w:leader="none"/>
        </w:tabs>
        <w:spacing w:line="252" w:lineRule="exact" w:before="0" w:after="0"/>
        <w:ind w:left="1068" w:right="0" w:hanging="229"/>
        <w:jc w:val="left"/>
        <w:rPr>
          <w:sz w:val="22"/>
        </w:rPr>
      </w:pPr>
      <w:r>
        <w:rPr>
          <w:sz w:val="22"/>
        </w:rPr>
        <w:t>licencë transmetimi audio, e cila përbëhet</w:t>
      </w:r>
      <w:r>
        <w:rPr>
          <w:spacing w:val="-3"/>
          <w:sz w:val="22"/>
        </w:rPr>
        <w:t> </w:t>
      </w:r>
      <w:r>
        <w:rPr>
          <w:sz w:val="22"/>
        </w:rPr>
        <w:t>nga:</w:t>
      </w:r>
    </w:p>
    <w:p>
      <w:pPr>
        <w:pStyle w:val="ListParagraph"/>
        <w:numPr>
          <w:ilvl w:val="0"/>
          <w:numId w:val="110"/>
        </w:numPr>
        <w:tabs>
          <w:tab w:pos="1030" w:val="left" w:leader="none"/>
        </w:tabs>
        <w:spacing w:line="252" w:lineRule="exact" w:before="1" w:after="0"/>
        <w:ind w:left="1029" w:right="0" w:hanging="190"/>
        <w:jc w:val="left"/>
        <w:rPr>
          <w:sz w:val="22"/>
        </w:rPr>
      </w:pPr>
      <w:r>
        <w:rPr>
          <w:sz w:val="22"/>
        </w:rPr>
        <w:t>licencë shërbimi programi audio, sipas shkronjës “a” të kësaj</w:t>
      </w:r>
      <w:r>
        <w:rPr>
          <w:spacing w:val="-2"/>
          <w:sz w:val="22"/>
        </w:rPr>
        <w:t> </w:t>
      </w:r>
      <w:r>
        <w:rPr>
          <w:sz w:val="22"/>
        </w:rPr>
        <w:t>pike;</w:t>
      </w:r>
    </w:p>
    <w:p>
      <w:pPr>
        <w:pStyle w:val="ListParagraph"/>
        <w:numPr>
          <w:ilvl w:val="0"/>
          <w:numId w:val="110"/>
        </w:numPr>
        <w:tabs>
          <w:tab w:pos="1093" w:val="left" w:leader="none"/>
        </w:tabs>
        <w:spacing w:line="240" w:lineRule="auto" w:before="0" w:after="0"/>
        <w:ind w:left="840" w:right="1396" w:firstLine="0"/>
        <w:jc w:val="left"/>
        <w:rPr>
          <w:sz w:val="22"/>
        </w:rPr>
      </w:pPr>
      <w:r>
        <w:rPr>
          <w:sz w:val="22"/>
        </w:rPr>
        <w:t>licencë për ndërtimin e operimin e rrjetit, i cili mund të jetë analog ose</w:t>
      </w:r>
      <w:r>
        <w:rPr>
          <w:spacing w:val="-24"/>
          <w:sz w:val="22"/>
        </w:rPr>
        <w:t> </w:t>
      </w:r>
      <w:r>
        <w:rPr>
          <w:sz w:val="22"/>
        </w:rPr>
        <w:t>numerik; ç) licencë transmetimi audioviziv, e cila përbëhet</w:t>
      </w:r>
      <w:r>
        <w:rPr>
          <w:spacing w:val="-1"/>
          <w:sz w:val="22"/>
        </w:rPr>
        <w:t> </w:t>
      </w:r>
      <w:r>
        <w:rPr>
          <w:sz w:val="22"/>
        </w:rPr>
        <w:t>nga:</w:t>
      </w:r>
    </w:p>
    <w:p>
      <w:pPr>
        <w:pStyle w:val="ListParagraph"/>
        <w:numPr>
          <w:ilvl w:val="0"/>
          <w:numId w:val="111"/>
        </w:numPr>
        <w:tabs>
          <w:tab w:pos="1030" w:val="left" w:leader="none"/>
        </w:tabs>
        <w:spacing w:line="252" w:lineRule="exact" w:before="0" w:after="0"/>
        <w:ind w:left="1029" w:right="0" w:hanging="190"/>
        <w:jc w:val="left"/>
        <w:rPr>
          <w:sz w:val="22"/>
        </w:rPr>
      </w:pPr>
      <w:r>
        <w:rPr>
          <w:sz w:val="22"/>
        </w:rPr>
        <w:t>licencë shërbimi programi audioviziv, sipas shkronjës “b” të kësaj</w:t>
      </w:r>
      <w:r>
        <w:rPr>
          <w:spacing w:val="-5"/>
          <w:sz w:val="22"/>
        </w:rPr>
        <w:t> </w:t>
      </w:r>
      <w:r>
        <w:rPr>
          <w:sz w:val="22"/>
        </w:rPr>
        <w:t>pike;</w:t>
      </w:r>
    </w:p>
    <w:p>
      <w:pPr>
        <w:pStyle w:val="ListParagraph"/>
        <w:numPr>
          <w:ilvl w:val="0"/>
          <w:numId w:val="111"/>
        </w:numPr>
        <w:tabs>
          <w:tab w:pos="1093" w:val="left" w:leader="none"/>
        </w:tabs>
        <w:spacing w:line="252" w:lineRule="exact" w:before="0" w:after="0"/>
        <w:ind w:left="1092" w:right="0" w:hanging="253"/>
        <w:jc w:val="left"/>
        <w:rPr>
          <w:sz w:val="22"/>
        </w:rPr>
      </w:pPr>
      <w:r>
        <w:rPr>
          <w:sz w:val="22"/>
        </w:rPr>
        <w:t>licencë për ndërtimin e operimin e</w:t>
      </w:r>
      <w:r>
        <w:rPr>
          <w:spacing w:val="-2"/>
          <w:sz w:val="22"/>
        </w:rPr>
        <w:t> </w:t>
      </w:r>
      <w:r>
        <w:rPr>
          <w:sz w:val="22"/>
        </w:rPr>
        <w:t>rrjetit.</w:t>
      </w:r>
    </w:p>
    <w:p>
      <w:pPr>
        <w:pStyle w:val="ListParagraph"/>
        <w:numPr>
          <w:ilvl w:val="0"/>
          <w:numId w:val="108"/>
        </w:numPr>
        <w:tabs>
          <w:tab w:pos="1061" w:val="left" w:leader="none"/>
        </w:tabs>
        <w:spacing w:line="252" w:lineRule="exact" w:before="1" w:after="0"/>
        <w:ind w:left="1060" w:right="0" w:hanging="221"/>
        <w:jc w:val="left"/>
        <w:rPr>
          <w:sz w:val="22"/>
        </w:rPr>
      </w:pPr>
      <w:r>
        <w:rPr>
          <w:sz w:val="22"/>
        </w:rPr>
        <w:t>Licencat kategorizohen si më</w:t>
      </w:r>
      <w:r>
        <w:rPr>
          <w:spacing w:val="1"/>
          <w:sz w:val="22"/>
        </w:rPr>
        <w:t> </w:t>
      </w:r>
      <w:r>
        <w:rPr>
          <w:sz w:val="22"/>
        </w:rPr>
        <w:t>poshtë:</w:t>
      </w:r>
    </w:p>
    <w:p>
      <w:pPr>
        <w:pStyle w:val="ListParagraph"/>
        <w:numPr>
          <w:ilvl w:val="0"/>
          <w:numId w:val="112"/>
        </w:numPr>
        <w:tabs>
          <w:tab w:pos="1073" w:val="left" w:leader="none"/>
        </w:tabs>
        <w:spacing w:line="240" w:lineRule="auto" w:before="0" w:after="0"/>
        <w:ind w:left="120" w:right="116" w:firstLine="720"/>
        <w:jc w:val="left"/>
        <w:rPr>
          <w:sz w:val="22"/>
        </w:rPr>
      </w:pPr>
      <w:r>
        <w:rPr>
          <w:sz w:val="22"/>
        </w:rPr>
        <w:t>licencat, sipas pikës 1/a dhe 1/b, janë kombëtare, rajonale apo lokale, në funksion të kategorisë së rrjetit tokësor, në të cilin</w:t>
      </w:r>
      <w:r>
        <w:rPr>
          <w:spacing w:val="-10"/>
          <w:sz w:val="22"/>
        </w:rPr>
        <w:t> </w:t>
      </w:r>
      <w:r>
        <w:rPr>
          <w:sz w:val="22"/>
        </w:rPr>
        <w:t>mbështeten;</w:t>
      </w:r>
    </w:p>
    <w:p>
      <w:pPr>
        <w:pStyle w:val="ListParagraph"/>
        <w:numPr>
          <w:ilvl w:val="0"/>
          <w:numId w:val="112"/>
        </w:numPr>
        <w:tabs>
          <w:tab w:pos="1081" w:val="left" w:leader="none"/>
        </w:tabs>
        <w:spacing w:line="252" w:lineRule="exact" w:before="0" w:after="0"/>
        <w:ind w:left="1080" w:right="0" w:hanging="241"/>
        <w:jc w:val="left"/>
        <w:rPr>
          <w:sz w:val="22"/>
        </w:rPr>
      </w:pPr>
      <w:r>
        <w:rPr>
          <w:sz w:val="22"/>
        </w:rPr>
        <w:t>licencat, sipas pikës 1/c dhe 1/ç, në funksion të kategorisë së rrjetit tokësor, ndahen</w:t>
      </w:r>
      <w:r>
        <w:rPr>
          <w:spacing w:val="-16"/>
          <w:sz w:val="22"/>
        </w:rPr>
        <w:t> </w:t>
      </w:r>
      <w:r>
        <w:rPr>
          <w:sz w:val="22"/>
        </w:rPr>
        <w:t>në:</w:t>
      </w:r>
    </w:p>
    <w:p>
      <w:pPr>
        <w:pStyle w:val="ListParagraph"/>
        <w:numPr>
          <w:ilvl w:val="0"/>
          <w:numId w:val="113"/>
        </w:numPr>
        <w:tabs>
          <w:tab w:pos="1033" w:val="left" w:leader="none"/>
        </w:tabs>
        <w:spacing w:line="252" w:lineRule="exact" w:before="0" w:after="0"/>
        <w:ind w:left="1032" w:right="0" w:hanging="193"/>
        <w:jc w:val="left"/>
        <w:rPr>
          <w:sz w:val="22"/>
        </w:rPr>
      </w:pPr>
      <w:r>
        <w:rPr>
          <w:sz w:val="22"/>
        </w:rPr>
        <w:t>kombëtare, kur mbulohet </w:t>
      </w:r>
      <w:r>
        <w:rPr>
          <w:spacing w:val="-3"/>
          <w:sz w:val="22"/>
        </w:rPr>
        <w:t>me </w:t>
      </w:r>
      <w:r>
        <w:rPr>
          <w:sz w:val="22"/>
        </w:rPr>
        <w:t>sinjal jo më pak se 80 për qind e territorit të</w:t>
      </w:r>
      <w:r>
        <w:rPr>
          <w:spacing w:val="-12"/>
          <w:sz w:val="22"/>
        </w:rPr>
        <w:t> </w:t>
      </w:r>
      <w:r>
        <w:rPr>
          <w:sz w:val="22"/>
        </w:rPr>
        <w:t>vendit;</w:t>
      </w:r>
    </w:p>
    <w:p>
      <w:pPr>
        <w:pStyle w:val="ListParagraph"/>
        <w:numPr>
          <w:ilvl w:val="0"/>
          <w:numId w:val="113"/>
        </w:numPr>
        <w:tabs>
          <w:tab w:pos="1093" w:val="left" w:leader="none"/>
        </w:tabs>
        <w:spacing w:line="252" w:lineRule="exact" w:before="2" w:after="0"/>
        <w:ind w:left="1092" w:right="0" w:hanging="253"/>
        <w:jc w:val="left"/>
        <w:rPr>
          <w:sz w:val="22"/>
        </w:rPr>
      </w:pPr>
      <w:r>
        <w:rPr>
          <w:sz w:val="22"/>
        </w:rPr>
        <w:t>rajonale, për mbulim deri në 4 qarqe me vazhdimësi</w:t>
      </w:r>
      <w:r>
        <w:rPr>
          <w:spacing w:val="-9"/>
          <w:sz w:val="22"/>
        </w:rPr>
        <w:t> </w:t>
      </w:r>
      <w:r>
        <w:rPr>
          <w:sz w:val="22"/>
        </w:rPr>
        <w:t>gjeografike;</w:t>
      </w:r>
    </w:p>
    <w:p>
      <w:pPr>
        <w:pStyle w:val="ListParagraph"/>
        <w:numPr>
          <w:ilvl w:val="0"/>
          <w:numId w:val="113"/>
        </w:numPr>
        <w:tabs>
          <w:tab w:pos="1153" w:val="left" w:leader="none"/>
        </w:tabs>
        <w:spacing w:line="252" w:lineRule="exact" w:before="0" w:after="0"/>
        <w:ind w:left="1152" w:right="0" w:hanging="313"/>
        <w:jc w:val="left"/>
        <w:rPr>
          <w:sz w:val="22"/>
        </w:rPr>
      </w:pPr>
      <w:r>
        <w:rPr>
          <w:sz w:val="22"/>
        </w:rPr>
        <w:t>lokale, për mbulimin e një</w:t>
      </w:r>
      <w:r>
        <w:rPr>
          <w:spacing w:val="-2"/>
          <w:sz w:val="22"/>
        </w:rPr>
        <w:t> </w:t>
      </w:r>
      <w:r>
        <w:rPr>
          <w:sz w:val="22"/>
        </w:rPr>
        <w:t>qarku.</w:t>
      </w:r>
    </w:p>
    <w:p>
      <w:pPr>
        <w:pStyle w:val="ListParagraph"/>
        <w:numPr>
          <w:ilvl w:val="0"/>
          <w:numId w:val="108"/>
        </w:numPr>
        <w:tabs>
          <w:tab w:pos="1073" w:val="left" w:leader="none"/>
        </w:tabs>
        <w:spacing w:line="240" w:lineRule="auto" w:before="1" w:after="0"/>
        <w:ind w:left="120" w:right="115" w:firstLine="719"/>
        <w:jc w:val="left"/>
        <w:rPr>
          <w:sz w:val="22"/>
        </w:rPr>
      </w:pPr>
      <w:r>
        <w:rPr>
          <w:sz w:val="22"/>
        </w:rPr>
        <w:t>Licencat për ndërtimin e rrjeteve numerike, sipas pikave 1/c/ii dhe 1/ç/ii i japin subjektit lejen për ndërtimin e operimin e një rrjeti numerik, përkatësisht audio ose</w:t>
      </w:r>
      <w:r>
        <w:rPr>
          <w:spacing w:val="-10"/>
          <w:sz w:val="22"/>
        </w:rPr>
        <w:t> </w:t>
      </w:r>
      <w:r>
        <w:rPr>
          <w:sz w:val="22"/>
        </w:rPr>
        <w:t>audioviziv.</w:t>
      </w:r>
    </w:p>
    <w:p>
      <w:pPr>
        <w:pStyle w:val="ListParagraph"/>
        <w:numPr>
          <w:ilvl w:val="0"/>
          <w:numId w:val="108"/>
        </w:numPr>
        <w:tabs>
          <w:tab w:pos="1148" w:val="left" w:leader="none"/>
        </w:tabs>
        <w:spacing w:line="242" w:lineRule="auto" w:before="0" w:after="0"/>
        <w:ind w:left="120" w:right="114" w:firstLine="720"/>
        <w:jc w:val="left"/>
        <w:rPr>
          <w:sz w:val="22"/>
        </w:rPr>
      </w:pPr>
      <w:r>
        <w:rPr>
          <w:sz w:val="22"/>
        </w:rPr>
        <w:t>Autorizimet e shërbimit të programit audio dhe autorizimet e shërbimit të programit audioviziv, kur shërbimi mbështetet në rrjetet e përcaktuara në pikat 2 dhe 3 të nenit 54 të këtij ligji,</w:t>
      </w:r>
      <w:r>
        <w:rPr>
          <w:spacing w:val="-25"/>
          <w:sz w:val="22"/>
        </w:rPr>
        <w:t> </w:t>
      </w:r>
      <w:r>
        <w:rPr>
          <w:sz w:val="22"/>
        </w:rPr>
        <w:t>janë:</w:t>
      </w:r>
    </w:p>
    <w:p>
      <w:pPr>
        <w:pStyle w:val="ListParagraph"/>
        <w:numPr>
          <w:ilvl w:val="0"/>
          <w:numId w:val="114"/>
        </w:numPr>
        <w:tabs>
          <w:tab w:pos="1069" w:val="left" w:leader="none"/>
        </w:tabs>
        <w:spacing w:line="248" w:lineRule="exact" w:before="0" w:after="0"/>
        <w:ind w:left="1068" w:right="0" w:hanging="229"/>
        <w:jc w:val="left"/>
        <w:rPr>
          <w:sz w:val="22"/>
        </w:rPr>
      </w:pPr>
      <w:r>
        <w:rPr>
          <w:sz w:val="22"/>
        </w:rPr>
        <w:t>satelitor, kur shërbimi mbështetet në një sistem</w:t>
      </w:r>
      <w:r>
        <w:rPr>
          <w:spacing w:val="-3"/>
          <w:sz w:val="22"/>
        </w:rPr>
        <w:t> </w:t>
      </w:r>
      <w:r>
        <w:rPr>
          <w:sz w:val="22"/>
        </w:rPr>
        <w:t>satelitor;</w:t>
      </w:r>
    </w:p>
    <w:p>
      <w:pPr>
        <w:pStyle w:val="ListParagraph"/>
        <w:numPr>
          <w:ilvl w:val="0"/>
          <w:numId w:val="114"/>
        </w:numPr>
        <w:tabs>
          <w:tab w:pos="1081" w:val="left" w:leader="none"/>
        </w:tabs>
        <w:spacing w:line="252" w:lineRule="exact" w:before="0" w:after="0"/>
        <w:ind w:left="1080" w:right="0" w:hanging="241"/>
        <w:jc w:val="left"/>
        <w:rPr>
          <w:sz w:val="22"/>
        </w:rPr>
      </w:pPr>
      <w:r>
        <w:rPr>
          <w:sz w:val="22"/>
        </w:rPr>
        <w:t>kabllor kur shërbimi mbështetet në një sistem</w:t>
      </w:r>
      <w:r>
        <w:rPr>
          <w:spacing w:val="-2"/>
          <w:sz w:val="22"/>
        </w:rPr>
        <w:t> </w:t>
      </w:r>
      <w:r>
        <w:rPr>
          <w:sz w:val="22"/>
        </w:rPr>
        <w:t>kabllor;</w:t>
      </w:r>
    </w:p>
    <w:p>
      <w:pPr>
        <w:pStyle w:val="ListParagraph"/>
        <w:numPr>
          <w:ilvl w:val="0"/>
          <w:numId w:val="114"/>
        </w:numPr>
        <w:tabs>
          <w:tab w:pos="1069" w:val="left" w:leader="none"/>
        </w:tabs>
        <w:spacing w:line="252" w:lineRule="exact" w:before="0" w:after="0"/>
        <w:ind w:left="1068" w:right="0" w:hanging="229"/>
        <w:jc w:val="left"/>
        <w:rPr>
          <w:sz w:val="22"/>
        </w:rPr>
      </w:pPr>
      <w:r>
        <w:rPr>
          <w:sz w:val="22"/>
        </w:rPr>
        <w:t>shërbimi </w:t>
      </w:r>
      <w:r>
        <w:rPr>
          <w:i/>
          <w:sz w:val="22"/>
        </w:rPr>
        <w:t>on line</w:t>
      </w:r>
      <w:r>
        <w:rPr>
          <w:sz w:val="22"/>
        </w:rPr>
        <w:t>, kur shërbimi mbështetet në</w:t>
      </w:r>
      <w:r>
        <w:rPr>
          <w:spacing w:val="-3"/>
          <w:sz w:val="22"/>
        </w:rPr>
        <w:t> </w:t>
      </w:r>
      <w:r>
        <w:rPr>
          <w:sz w:val="22"/>
        </w:rPr>
        <w:t>internet;</w:t>
      </w:r>
    </w:p>
    <w:p>
      <w:pPr>
        <w:pStyle w:val="BodyText"/>
        <w:spacing w:line="252" w:lineRule="exact"/>
        <w:ind w:left="840" w:firstLine="0"/>
      </w:pPr>
      <w:r>
        <w:rPr/>
        <w:t>ç) ofrues shërbimi, përfshirë shërbimin e aksesit të kushtëzuar.</w:t>
      </w:r>
    </w:p>
    <w:p>
      <w:pPr>
        <w:pStyle w:val="ListParagraph"/>
        <w:numPr>
          <w:ilvl w:val="0"/>
          <w:numId w:val="108"/>
        </w:numPr>
        <w:tabs>
          <w:tab w:pos="1105" w:val="left" w:leader="none"/>
        </w:tabs>
        <w:spacing w:line="240" w:lineRule="auto" w:before="1" w:after="0"/>
        <w:ind w:left="120" w:right="113" w:firstLine="720"/>
        <w:jc w:val="both"/>
        <w:rPr>
          <w:sz w:val="22"/>
        </w:rPr>
      </w:pPr>
      <w:r>
        <w:rPr>
          <w:sz w:val="22"/>
        </w:rPr>
        <w:t>Afati maksimal i kohëzgjatjes së licencave dhe/ose autorizimeve është 15 vjet. AMA, me vendim, përcakton kohëzgjatjen maksimale të licencave dhe autorizimeve, sipas klasifikimit të tyre. Në përcaktimin e këtyre afateve, AMA mban parasysh natyrën e shërbimeve dhe kohën e arsyeshme për kthimin e investimit. Kërkesa për rinovimin e licencës dhe/ose autorizimit bëhet 90 ditë para përfundimit të afatit të licencës ose</w:t>
      </w:r>
      <w:r>
        <w:rPr>
          <w:spacing w:val="-4"/>
          <w:sz w:val="22"/>
        </w:rPr>
        <w:t> </w:t>
      </w:r>
      <w:r>
        <w:rPr>
          <w:sz w:val="22"/>
        </w:rPr>
        <w:t>autorizimit.</w:t>
      </w:r>
    </w:p>
    <w:p>
      <w:pPr>
        <w:pStyle w:val="ListParagraph"/>
        <w:numPr>
          <w:ilvl w:val="0"/>
          <w:numId w:val="108"/>
        </w:numPr>
        <w:tabs>
          <w:tab w:pos="1119" w:val="left" w:leader="none"/>
        </w:tabs>
        <w:spacing w:line="240" w:lineRule="auto" w:before="0" w:after="0"/>
        <w:ind w:left="120" w:right="113" w:firstLine="720"/>
        <w:jc w:val="both"/>
        <w:rPr>
          <w:sz w:val="22"/>
        </w:rPr>
      </w:pPr>
      <w:r>
        <w:rPr>
          <w:sz w:val="22"/>
        </w:rPr>
        <w:t>Licencat dhe/ose autorizimet dhe çdo e drejtë apo detyrim i lidhur me to nuk mund të transferohet. Në rast se mbajtësi i licencës dhe/ose autorizimit, hyn në marrëdhënie juridike civile, objekt i të cilave është edhe veprimtaria e licencuar/autorizuar, atëherë për cedimin ose kalimin e të drejtave </w:t>
      </w:r>
      <w:r>
        <w:rPr>
          <w:spacing w:val="-3"/>
          <w:sz w:val="22"/>
        </w:rPr>
        <w:t>që </w:t>
      </w:r>
      <w:r>
        <w:rPr>
          <w:sz w:val="22"/>
        </w:rPr>
        <w:t>burojnë nga licenca dhe/ose autorizimi kërkohet miratimi i AMA-s. Subjektit që ka fituar këto të drejta, miratimi i jepet në formën e një licence dhe/ose autorizimi të ri me të njëjtën përmbajtje. Kur AMA nuk e miraton kalimin, për shkaqe të parashikuara në këtë ligj, licenca dhe/ose autorizimi bëhet e/i</w:t>
      </w:r>
      <w:r>
        <w:rPr>
          <w:spacing w:val="-22"/>
          <w:sz w:val="22"/>
        </w:rPr>
        <w:t> </w:t>
      </w:r>
      <w:r>
        <w:rPr>
          <w:sz w:val="22"/>
        </w:rPr>
        <w:t>pavlefshëm.</w:t>
      </w:r>
    </w:p>
    <w:p>
      <w:pPr>
        <w:pStyle w:val="BodyText"/>
        <w:spacing w:before="11"/>
        <w:ind w:left="0" w:firstLine="0"/>
        <w:rPr>
          <w:sz w:val="21"/>
        </w:rPr>
      </w:pPr>
    </w:p>
    <w:p>
      <w:pPr>
        <w:pStyle w:val="BodyText"/>
        <w:ind w:left="146" w:right="146" w:firstLine="0"/>
        <w:jc w:val="center"/>
      </w:pPr>
      <w:r>
        <w:rPr/>
        <w:t>Neni 56</w:t>
      </w:r>
    </w:p>
    <w:p>
      <w:pPr>
        <w:pStyle w:val="Heading1"/>
      </w:pPr>
      <w:r>
        <w:rPr/>
        <w:t>Kërkesat e përgjithshme të aplikimit për licencë dhe/ose autorizim</w:t>
      </w:r>
    </w:p>
    <w:p>
      <w:pPr>
        <w:pStyle w:val="BodyText"/>
        <w:spacing w:before="6"/>
        <w:ind w:left="0" w:firstLine="0"/>
        <w:rPr>
          <w:b/>
          <w:sz w:val="21"/>
        </w:rPr>
      </w:pPr>
    </w:p>
    <w:p>
      <w:pPr>
        <w:pStyle w:val="BodyText"/>
        <w:spacing w:line="252" w:lineRule="exact" w:before="1"/>
        <w:ind w:left="840" w:firstLine="0"/>
        <w:jc w:val="both"/>
      </w:pPr>
      <w:r>
        <w:rPr/>
        <w:t>Aplikimi për marrjen e çdo lloj licence dhe/ose autorizimi përmban:</w:t>
      </w:r>
    </w:p>
    <w:p>
      <w:pPr>
        <w:pStyle w:val="ListParagraph"/>
        <w:numPr>
          <w:ilvl w:val="0"/>
          <w:numId w:val="115"/>
        </w:numPr>
        <w:tabs>
          <w:tab w:pos="1086" w:val="left" w:leader="none"/>
        </w:tabs>
        <w:spacing w:line="240" w:lineRule="auto" w:before="0" w:after="0"/>
        <w:ind w:left="120" w:right="114" w:firstLine="720"/>
        <w:jc w:val="both"/>
        <w:rPr>
          <w:sz w:val="22"/>
        </w:rPr>
      </w:pPr>
      <w:r>
        <w:rPr>
          <w:sz w:val="22"/>
        </w:rPr>
        <w:t>Emërtimin, vendndodhjen, formën ligjore të subjektit që bën kërkesën bashkë me emrin dhe firmën e personit që ka të drejtë ta përfaqësojë</w:t>
      </w:r>
      <w:r>
        <w:rPr>
          <w:spacing w:val="-3"/>
          <w:sz w:val="22"/>
        </w:rPr>
        <w:t> </w:t>
      </w:r>
      <w:r>
        <w:rPr>
          <w:sz w:val="22"/>
        </w:rPr>
        <w:t>atë.</w:t>
      </w:r>
    </w:p>
    <w:p>
      <w:pPr>
        <w:pStyle w:val="ListParagraph"/>
        <w:numPr>
          <w:ilvl w:val="0"/>
          <w:numId w:val="115"/>
        </w:numPr>
        <w:tabs>
          <w:tab w:pos="1069" w:val="left" w:leader="none"/>
        </w:tabs>
        <w:spacing w:line="240" w:lineRule="auto" w:before="0" w:after="0"/>
        <w:ind w:left="120" w:right="112" w:firstLine="720"/>
        <w:jc w:val="both"/>
        <w:rPr>
          <w:sz w:val="22"/>
        </w:rPr>
      </w:pPr>
      <w:r>
        <w:rPr>
          <w:sz w:val="22"/>
        </w:rPr>
        <w:t>Dokumentet që vërtetojnë të dhëna zyrtare e bankare mbi kapitalin financiar të personit juridik apo fizik që bën</w:t>
      </w:r>
      <w:r>
        <w:rPr>
          <w:spacing w:val="-4"/>
          <w:sz w:val="22"/>
        </w:rPr>
        <w:t> </w:t>
      </w:r>
      <w:r>
        <w:rPr>
          <w:sz w:val="22"/>
        </w:rPr>
        <w:t>kërkesën.</w:t>
      </w:r>
    </w:p>
    <w:p>
      <w:pPr>
        <w:pStyle w:val="ListParagraph"/>
        <w:numPr>
          <w:ilvl w:val="0"/>
          <w:numId w:val="115"/>
        </w:numPr>
        <w:tabs>
          <w:tab w:pos="1117" w:val="left" w:leader="none"/>
        </w:tabs>
        <w:spacing w:line="252" w:lineRule="exact" w:before="0" w:after="0"/>
        <w:ind w:left="1116" w:right="0" w:hanging="277"/>
        <w:jc w:val="both"/>
        <w:rPr>
          <w:sz w:val="22"/>
        </w:rPr>
      </w:pPr>
      <w:r>
        <w:rPr>
          <w:sz w:val="22"/>
        </w:rPr>
        <w:t>Emërtimin e programit dhe të rrjetit ku do të</w:t>
      </w:r>
      <w:r>
        <w:rPr>
          <w:spacing w:val="-2"/>
          <w:sz w:val="22"/>
        </w:rPr>
        <w:t> </w:t>
      </w:r>
      <w:r>
        <w:rPr>
          <w:sz w:val="22"/>
        </w:rPr>
        <w:t>mbështetet.</w:t>
      </w:r>
    </w:p>
    <w:p>
      <w:pPr>
        <w:pStyle w:val="ListParagraph"/>
        <w:numPr>
          <w:ilvl w:val="0"/>
          <w:numId w:val="115"/>
        </w:numPr>
        <w:tabs>
          <w:tab w:pos="1143" w:val="left" w:leader="none"/>
        </w:tabs>
        <w:spacing w:line="240" w:lineRule="auto" w:before="0" w:after="0"/>
        <w:ind w:left="120" w:right="114" w:firstLine="720"/>
        <w:jc w:val="both"/>
        <w:rPr>
          <w:sz w:val="22"/>
        </w:rPr>
      </w:pPr>
      <w:r>
        <w:rPr>
          <w:sz w:val="22"/>
        </w:rPr>
        <w:t>Objektin dhe karakteristikat e përgjithshme të shërbimit, të dhëna për kohëzgjatjen e programeve dhe territorin që do të mbulojë, si dhe projektin teknik të instalimit dhe shfrytëzimit të aparaturave.</w:t>
      </w:r>
    </w:p>
    <w:p>
      <w:pPr>
        <w:pStyle w:val="ListParagraph"/>
        <w:numPr>
          <w:ilvl w:val="0"/>
          <w:numId w:val="115"/>
        </w:numPr>
        <w:tabs>
          <w:tab w:pos="1062" w:val="left" w:leader="none"/>
        </w:tabs>
        <w:spacing w:line="240" w:lineRule="auto" w:before="1" w:after="0"/>
        <w:ind w:left="120" w:right="114" w:firstLine="720"/>
        <w:jc w:val="both"/>
        <w:rPr>
          <w:sz w:val="22"/>
        </w:rPr>
      </w:pPr>
      <w:r>
        <w:rPr>
          <w:sz w:val="22"/>
        </w:rPr>
        <w:t>Listën e administratorëve, parashikimet për shpenzimet dhe të ardhurat, origjinën dhe shumën e financimeve të parashikuara për kohëzgjatjen për të cilën kërkohet licenca dhe/ose</w:t>
      </w:r>
      <w:r>
        <w:rPr>
          <w:spacing w:val="-9"/>
          <w:sz w:val="22"/>
        </w:rPr>
        <w:t> </w:t>
      </w:r>
      <w:r>
        <w:rPr>
          <w:sz w:val="22"/>
        </w:rPr>
        <w:t>autorizimi.</w:t>
      </w:r>
    </w:p>
    <w:p>
      <w:pPr>
        <w:pStyle w:val="ListParagraph"/>
        <w:numPr>
          <w:ilvl w:val="0"/>
          <w:numId w:val="115"/>
        </w:numPr>
        <w:tabs>
          <w:tab w:pos="1062" w:val="left" w:leader="none"/>
        </w:tabs>
        <w:spacing w:line="251" w:lineRule="exact" w:before="0" w:after="0"/>
        <w:ind w:left="1061" w:right="0" w:hanging="222"/>
        <w:jc w:val="both"/>
        <w:rPr>
          <w:sz w:val="22"/>
        </w:rPr>
      </w:pPr>
      <w:r>
        <w:rPr>
          <w:sz w:val="22"/>
        </w:rPr>
        <w:t>Listën emërore të anëtarëve të bordit drejtues dhe </w:t>
      </w:r>
      <w:r>
        <w:rPr>
          <w:i/>
          <w:sz w:val="22"/>
        </w:rPr>
        <w:t>curriculum vitae </w:t>
      </w:r>
      <w:r>
        <w:rPr>
          <w:sz w:val="22"/>
        </w:rPr>
        <w:t>të</w:t>
      </w:r>
      <w:r>
        <w:rPr>
          <w:spacing w:val="-20"/>
          <w:sz w:val="22"/>
        </w:rPr>
        <w:t> </w:t>
      </w:r>
      <w:r>
        <w:rPr>
          <w:sz w:val="22"/>
        </w:rPr>
        <w:t>tyre.</w:t>
      </w:r>
    </w:p>
    <w:p>
      <w:pPr>
        <w:spacing w:after="0" w:line="251" w:lineRule="exact"/>
        <w:jc w:val="both"/>
        <w:rPr>
          <w:sz w:val="22"/>
        </w:rPr>
        <w:sectPr>
          <w:pgSz w:w="12240" w:h="15840"/>
          <w:pgMar w:top="1360" w:bottom="280" w:left="1320" w:right="1320"/>
        </w:sectPr>
      </w:pPr>
    </w:p>
    <w:p>
      <w:pPr>
        <w:pStyle w:val="ListParagraph"/>
        <w:numPr>
          <w:ilvl w:val="0"/>
          <w:numId w:val="115"/>
        </w:numPr>
        <w:tabs>
          <w:tab w:pos="1078" w:val="left" w:leader="none"/>
        </w:tabs>
        <w:spacing w:line="240" w:lineRule="auto" w:before="74" w:after="0"/>
        <w:ind w:left="120" w:right="115" w:firstLine="720"/>
        <w:jc w:val="left"/>
        <w:rPr>
          <w:sz w:val="22"/>
        </w:rPr>
      </w:pPr>
      <w:r>
        <w:rPr>
          <w:sz w:val="22"/>
        </w:rPr>
        <w:t>Përmbajtjen e programeve që do të transmetohen dhe strukturën programore të propozuar për transmetim, të cilat të shprehin qartë pluralizmin në tërësinë e tyre dhe paanësinë e</w:t>
      </w:r>
      <w:r>
        <w:rPr>
          <w:spacing w:val="-14"/>
          <w:sz w:val="22"/>
        </w:rPr>
        <w:t> </w:t>
      </w:r>
      <w:r>
        <w:rPr>
          <w:sz w:val="22"/>
        </w:rPr>
        <w:t>informacionit.</w:t>
      </w:r>
    </w:p>
    <w:p>
      <w:pPr>
        <w:pStyle w:val="ListParagraph"/>
        <w:numPr>
          <w:ilvl w:val="0"/>
          <w:numId w:val="115"/>
        </w:numPr>
        <w:tabs>
          <w:tab w:pos="1138" w:val="left" w:leader="none"/>
        </w:tabs>
        <w:spacing w:line="240" w:lineRule="auto" w:before="0" w:after="0"/>
        <w:ind w:left="120" w:right="115" w:firstLine="720"/>
        <w:jc w:val="left"/>
        <w:rPr>
          <w:sz w:val="22"/>
        </w:rPr>
      </w:pPr>
      <w:r>
        <w:rPr>
          <w:sz w:val="22"/>
        </w:rPr>
        <w:t>Aplikimi duhet të përfshijë informacion mbi strukturën e pronësisë së kompanisë dhe aksionarëve të</w:t>
      </w:r>
      <w:r>
        <w:rPr>
          <w:spacing w:val="-2"/>
          <w:sz w:val="22"/>
        </w:rPr>
        <w:t> </w:t>
      </w:r>
      <w:r>
        <w:rPr>
          <w:sz w:val="22"/>
        </w:rPr>
        <w:t>saj.</w:t>
      </w:r>
    </w:p>
    <w:p>
      <w:pPr>
        <w:pStyle w:val="ListParagraph"/>
        <w:numPr>
          <w:ilvl w:val="0"/>
          <w:numId w:val="115"/>
        </w:numPr>
        <w:tabs>
          <w:tab w:pos="1061" w:val="left" w:leader="none"/>
        </w:tabs>
        <w:spacing w:line="240" w:lineRule="auto" w:before="0" w:after="0"/>
        <w:ind w:left="1060" w:right="0" w:hanging="221"/>
        <w:jc w:val="left"/>
        <w:rPr>
          <w:sz w:val="22"/>
        </w:rPr>
      </w:pPr>
      <w:r>
        <w:rPr>
          <w:sz w:val="22"/>
        </w:rPr>
        <w:t>Aplikanti duhet t’i përgjigjet çdo pyetjeje të autoritetit rregullator gjatë shqyrtimit të</w:t>
      </w:r>
      <w:r>
        <w:rPr>
          <w:spacing w:val="-23"/>
          <w:sz w:val="22"/>
        </w:rPr>
        <w:t> </w:t>
      </w:r>
      <w:r>
        <w:rPr>
          <w:sz w:val="22"/>
        </w:rPr>
        <w:t>aplikimit.</w:t>
      </w:r>
    </w:p>
    <w:p>
      <w:pPr>
        <w:pStyle w:val="BodyText"/>
        <w:spacing w:before="91"/>
        <w:ind w:left="146" w:right="146" w:firstLine="0"/>
        <w:jc w:val="center"/>
      </w:pPr>
      <w:r>
        <w:rPr/>
        <w:t>Neni 57</w:t>
      </w:r>
    </w:p>
    <w:p>
      <w:pPr>
        <w:pStyle w:val="Heading1"/>
        <w:spacing w:before="6"/>
      </w:pPr>
      <w:r>
        <w:rPr/>
        <w:t>Parime të përgjithshme të shërbimit të transmetimit audio të komunitetit</w:t>
      </w:r>
    </w:p>
    <w:p>
      <w:pPr>
        <w:pStyle w:val="BodyText"/>
        <w:spacing w:before="7"/>
        <w:ind w:left="0" w:firstLine="0"/>
        <w:rPr>
          <w:b/>
          <w:sz w:val="21"/>
        </w:rPr>
      </w:pPr>
    </w:p>
    <w:p>
      <w:pPr>
        <w:pStyle w:val="BodyText"/>
        <w:spacing w:line="252" w:lineRule="exact"/>
        <w:ind w:left="840" w:firstLine="0"/>
        <w:jc w:val="both"/>
      </w:pPr>
      <w:r>
        <w:rPr/>
        <w:t>Shërbimi i transmetimit audio i komunitetit:</w:t>
      </w:r>
    </w:p>
    <w:p>
      <w:pPr>
        <w:pStyle w:val="ListParagraph"/>
        <w:numPr>
          <w:ilvl w:val="0"/>
          <w:numId w:val="116"/>
        </w:numPr>
        <w:tabs>
          <w:tab w:pos="1062" w:val="left" w:leader="none"/>
        </w:tabs>
        <w:spacing w:line="252" w:lineRule="exact" w:before="0" w:after="0"/>
        <w:ind w:left="1061" w:right="0" w:hanging="222"/>
        <w:jc w:val="both"/>
        <w:rPr>
          <w:sz w:val="22"/>
        </w:rPr>
      </w:pPr>
      <w:r>
        <w:rPr>
          <w:sz w:val="22"/>
        </w:rPr>
        <w:t>Operohet, zotërohet dhe drejtohet nga komuniteti të cilit i</w:t>
      </w:r>
      <w:r>
        <w:rPr>
          <w:spacing w:val="-7"/>
          <w:sz w:val="22"/>
        </w:rPr>
        <w:t> </w:t>
      </w:r>
      <w:r>
        <w:rPr>
          <w:sz w:val="22"/>
        </w:rPr>
        <w:t>shërbejnë.</w:t>
      </w:r>
    </w:p>
    <w:p>
      <w:pPr>
        <w:pStyle w:val="ListParagraph"/>
        <w:numPr>
          <w:ilvl w:val="0"/>
          <w:numId w:val="116"/>
        </w:numPr>
        <w:tabs>
          <w:tab w:pos="1073" w:val="left" w:leader="none"/>
        </w:tabs>
        <w:spacing w:line="240" w:lineRule="auto" w:before="0" w:after="0"/>
        <w:ind w:left="120" w:right="116" w:firstLine="720"/>
        <w:jc w:val="both"/>
        <w:rPr>
          <w:sz w:val="22"/>
        </w:rPr>
      </w:pPr>
      <w:r>
        <w:rPr>
          <w:sz w:val="22"/>
        </w:rPr>
        <w:t>Ofrohet pa qëllim fitimi, duke reflektuar nevojat kulturore, gjuhësore, demografike, të besimit të komunitetit.</w:t>
      </w:r>
    </w:p>
    <w:p>
      <w:pPr>
        <w:pStyle w:val="ListParagraph"/>
        <w:numPr>
          <w:ilvl w:val="0"/>
          <w:numId w:val="116"/>
        </w:numPr>
        <w:tabs>
          <w:tab w:pos="1062" w:val="left" w:leader="none"/>
        </w:tabs>
        <w:spacing w:line="240" w:lineRule="auto" w:before="0" w:after="0"/>
        <w:ind w:left="1061" w:right="0" w:hanging="222"/>
        <w:jc w:val="both"/>
        <w:rPr>
          <w:sz w:val="22"/>
        </w:rPr>
      </w:pPr>
      <w:r>
        <w:rPr>
          <w:sz w:val="22"/>
        </w:rPr>
        <w:t>Ka karakter informues, edukativ dhe</w:t>
      </w:r>
      <w:r>
        <w:rPr>
          <w:spacing w:val="-8"/>
          <w:sz w:val="22"/>
        </w:rPr>
        <w:t> </w:t>
      </w:r>
      <w:r>
        <w:rPr>
          <w:sz w:val="22"/>
        </w:rPr>
        <w:t>argëtues.</w:t>
      </w:r>
    </w:p>
    <w:p>
      <w:pPr>
        <w:pStyle w:val="ListParagraph"/>
        <w:numPr>
          <w:ilvl w:val="0"/>
          <w:numId w:val="116"/>
        </w:numPr>
        <w:tabs>
          <w:tab w:pos="1083" w:val="left" w:leader="none"/>
        </w:tabs>
        <w:spacing w:line="240" w:lineRule="auto" w:before="1" w:after="0"/>
        <w:ind w:left="120" w:right="114" w:firstLine="720"/>
        <w:jc w:val="both"/>
        <w:rPr>
          <w:sz w:val="22"/>
        </w:rPr>
      </w:pPr>
      <w:r>
        <w:rPr>
          <w:sz w:val="22"/>
        </w:rPr>
        <w:t>Ofron programe me rëndësi të veçantë për komunitetin, duke përfshirë, por pa u kufizuar në çështje të zhvillimit, kujdesin shëndetësor, informacione bazë, edukim të përgjithshëm, çështje të ambientit, reflektim të kulturës lokale</w:t>
      </w:r>
      <w:r>
        <w:rPr>
          <w:spacing w:val="-9"/>
          <w:sz w:val="22"/>
        </w:rPr>
        <w:t> </w:t>
      </w:r>
      <w:r>
        <w:rPr>
          <w:sz w:val="22"/>
        </w:rPr>
        <w:t>etj.</w:t>
      </w:r>
    </w:p>
    <w:p>
      <w:pPr>
        <w:pStyle w:val="ListParagraph"/>
        <w:numPr>
          <w:ilvl w:val="0"/>
          <w:numId w:val="116"/>
        </w:numPr>
        <w:tabs>
          <w:tab w:pos="1062" w:val="left" w:leader="none"/>
        </w:tabs>
        <w:spacing w:line="252" w:lineRule="exact" w:before="0" w:after="0"/>
        <w:ind w:left="1061" w:right="0" w:hanging="222"/>
        <w:jc w:val="both"/>
        <w:rPr>
          <w:sz w:val="22"/>
        </w:rPr>
      </w:pPr>
      <w:r>
        <w:rPr>
          <w:sz w:val="22"/>
        </w:rPr>
        <w:t>Mbështetet në punën vullnetare të pjesëmarrësve të</w:t>
      </w:r>
      <w:r>
        <w:rPr>
          <w:spacing w:val="-3"/>
          <w:sz w:val="22"/>
        </w:rPr>
        <w:t> </w:t>
      </w:r>
      <w:r>
        <w:rPr>
          <w:sz w:val="22"/>
        </w:rPr>
        <w:t>komunitetit.</w:t>
      </w:r>
    </w:p>
    <w:p>
      <w:pPr>
        <w:pStyle w:val="ListParagraph"/>
        <w:numPr>
          <w:ilvl w:val="0"/>
          <w:numId w:val="116"/>
        </w:numPr>
        <w:tabs>
          <w:tab w:pos="1093" w:val="left" w:leader="none"/>
        </w:tabs>
        <w:spacing w:line="240" w:lineRule="auto" w:before="0" w:after="0"/>
        <w:ind w:left="120" w:right="115" w:firstLine="720"/>
        <w:jc w:val="both"/>
        <w:rPr>
          <w:sz w:val="22"/>
        </w:rPr>
      </w:pPr>
      <w:r>
        <w:rPr>
          <w:sz w:val="22"/>
        </w:rPr>
        <w:t>Mbështetet nga burime të ndryshme financiare të ligjshme, me përjashtim të reklamave për qëllime</w:t>
      </w:r>
      <w:r>
        <w:rPr>
          <w:spacing w:val="-1"/>
          <w:sz w:val="22"/>
        </w:rPr>
        <w:t> </w:t>
      </w:r>
      <w:r>
        <w:rPr>
          <w:sz w:val="22"/>
        </w:rPr>
        <w:t>fitimi.</w:t>
      </w:r>
    </w:p>
    <w:p>
      <w:pPr>
        <w:pStyle w:val="BodyText"/>
        <w:spacing w:before="185"/>
        <w:ind w:left="146" w:right="146" w:firstLine="0"/>
        <w:jc w:val="center"/>
      </w:pPr>
      <w:r>
        <w:rPr/>
        <w:t>Neni 58</w:t>
      </w:r>
    </w:p>
    <w:p>
      <w:pPr>
        <w:pStyle w:val="Heading1"/>
        <w:ind w:right="145"/>
      </w:pPr>
      <w:r>
        <w:rPr/>
        <w:t>Licencimi i shërbimeve të transmetimit audio të komunitetit</w:t>
      </w:r>
    </w:p>
    <w:p>
      <w:pPr>
        <w:pStyle w:val="BodyText"/>
        <w:spacing w:before="7"/>
        <w:ind w:left="0" w:firstLine="0"/>
        <w:rPr>
          <w:b/>
          <w:sz w:val="21"/>
        </w:rPr>
      </w:pPr>
    </w:p>
    <w:p>
      <w:pPr>
        <w:pStyle w:val="ListParagraph"/>
        <w:numPr>
          <w:ilvl w:val="0"/>
          <w:numId w:val="117"/>
        </w:numPr>
        <w:tabs>
          <w:tab w:pos="1088" w:val="left" w:leader="none"/>
        </w:tabs>
        <w:spacing w:line="240" w:lineRule="auto" w:before="0" w:after="0"/>
        <w:ind w:left="120" w:right="112" w:firstLine="720"/>
        <w:jc w:val="both"/>
        <w:rPr>
          <w:sz w:val="22"/>
        </w:rPr>
      </w:pPr>
      <w:r>
        <w:rPr>
          <w:sz w:val="22"/>
        </w:rPr>
        <w:t>Licencimi i shërbimit të transmetimit audio të komunitetit bëhet nga AMA me procedurë të hapur, transparente dhe jo diskriminuese. AMA miraton dhe publikon rregullat dhe procedurat e licencimit të transmetimeve audio të</w:t>
      </w:r>
      <w:r>
        <w:rPr>
          <w:spacing w:val="-5"/>
          <w:sz w:val="22"/>
        </w:rPr>
        <w:t> </w:t>
      </w:r>
      <w:r>
        <w:rPr>
          <w:sz w:val="22"/>
        </w:rPr>
        <w:t>komunitetit.</w:t>
      </w:r>
    </w:p>
    <w:p>
      <w:pPr>
        <w:pStyle w:val="ListParagraph"/>
        <w:numPr>
          <w:ilvl w:val="0"/>
          <w:numId w:val="117"/>
        </w:numPr>
        <w:tabs>
          <w:tab w:pos="1076" w:val="left" w:leader="none"/>
        </w:tabs>
        <w:spacing w:line="240" w:lineRule="auto" w:before="0" w:after="0"/>
        <w:ind w:left="120" w:right="114" w:firstLine="720"/>
        <w:jc w:val="both"/>
        <w:rPr>
          <w:sz w:val="22"/>
        </w:rPr>
      </w:pPr>
      <w:r>
        <w:rPr>
          <w:sz w:val="22"/>
        </w:rPr>
        <w:t>Licenca jepet për një zonë gjeografike të kufizuar. AMA përcakton, me anë të një dokumenti rregullator, sasinë e frekuencave në dispozicion të shërbimit të transmetimit audio të komunitetit, si dhe zonën gjeografike të ofrimit të shërbimit, në përputhje me Planin Kombëtar të</w:t>
      </w:r>
      <w:r>
        <w:rPr>
          <w:spacing w:val="-17"/>
          <w:sz w:val="22"/>
        </w:rPr>
        <w:t> </w:t>
      </w:r>
      <w:r>
        <w:rPr>
          <w:sz w:val="22"/>
        </w:rPr>
        <w:t>Frekuencave.</w:t>
      </w:r>
    </w:p>
    <w:p>
      <w:pPr>
        <w:pStyle w:val="ListParagraph"/>
        <w:numPr>
          <w:ilvl w:val="0"/>
          <w:numId w:val="117"/>
        </w:numPr>
        <w:tabs>
          <w:tab w:pos="1064" w:val="left" w:leader="none"/>
        </w:tabs>
        <w:spacing w:line="240" w:lineRule="auto" w:before="0" w:after="0"/>
        <w:ind w:left="120" w:right="114" w:firstLine="720"/>
        <w:jc w:val="both"/>
        <w:rPr>
          <w:sz w:val="22"/>
        </w:rPr>
      </w:pPr>
      <w:r>
        <w:rPr>
          <w:sz w:val="22"/>
        </w:rPr>
        <w:t>AMA, në procesin e licencimit, synon përmbushjen e objektivave të përcaktuara në nenin 18 të këtij ligji.</w:t>
      </w:r>
    </w:p>
    <w:p>
      <w:pPr>
        <w:pStyle w:val="ListParagraph"/>
        <w:numPr>
          <w:ilvl w:val="0"/>
          <w:numId w:val="117"/>
        </w:numPr>
        <w:tabs>
          <w:tab w:pos="1071" w:val="left" w:leader="none"/>
        </w:tabs>
        <w:spacing w:line="240" w:lineRule="auto" w:before="0" w:after="0"/>
        <w:ind w:left="120" w:right="115" w:firstLine="720"/>
        <w:jc w:val="both"/>
        <w:rPr>
          <w:sz w:val="22"/>
        </w:rPr>
      </w:pPr>
      <w:r>
        <w:rPr>
          <w:sz w:val="22"/>
        </w:rPr>
        <w:t>AMA, në vlerësimin e aplikimeve, kryen një proces konsultimi publik për një periudhë prej jo më pak se 60</w:t>
      </w:r>
      <w:r>
        <w:rPr>
          <w:spacing w:val="-3"/>
          <w:sz w:val="22"/>
        </w:rPr>
        <w:t> </w:t>
      </w:r>
      <w:r>
        <w:rPr>
          <w:sz w:val="22"/>
        </w:rPr>
        <w:t>ditë.</w:t>
      </w:r>
    </w:p>
    <w:p>
      <w:pPr>
        <w:pStyle w:val="ListParagraph"/>
        <w:numPr>
          <w:ilvl w:val="0"/>
          <w:numId w:val="117"/>
        </w:numPr>
        <w:tabs>
          <w:tab w:pos="1114" w:val="left" w:leader="none"/>
        </w:tabs>
        <w:spacing w:line="240" w:lineRule="auto" w:before="0" w:after="0"/>
        <w:ind w:left="120" w:right="115" w:firstLine="720"/>
        <w:jc w:val="both"/>
        <w:rPr>
          <w:sz w:val="22"/>
        </w:rPr>
      </w:pPr>
      <w:r>
        <w:rPr>
          <w:sz w:val="22"/>
        </w:rPr>
        <w:t>Refuzimi i aplikimit për shërbimin e transmetimit audio të komunitetit nga AMA, bëhet gjithmonë kundrejt një vendimi të</w:t>
      </w:r>
      <w:r>
        <w:rPr>
          <w:spacing w:val="1"/>
          <w:sz w:val="22"/>
        </w:rPr>
        <w:t> </w:t>
      </w:r>
      <w:r>
        <w:rPr>
          <w:sz w:val="22"/>
        </w:rPr>
        <w:t>arsyetuar.</w:t>
      </w:r>
    </w:p>
    <w:p>
      <w:pPr>
        <w:pStyle w:val="BodyText"/>
        <w:spacing w:before="10"/>
        <w:ind w:left="0" w:firstLine="0"/>
        <w:rPr>
          <w:sz w:val="21"/>
        </w:rPr>
      </w:pPr>
    </w:p>
    <w:p>
      <w:pPr>
        <w:pStyle w:val="BodyText"/>
        <w:ind w:left="146" w:right="146" w:firstLine="0"/>
        <w:jc w:val="center"/>
      </w:pPr>
      <w:r>
        <w:rPr/>
        <w:t>Neni 59</w:t>
      </w:r>
    </w:p>
    <w:p>
      <w:pPr>
        <w:pStyle w:val="Heading1"/>
        <w:spacing w:before="6"/>
        <w:ind w:right="143"/>
      </w:pPr>
      <w:r>
        <w:rPr/>
        <w:t>Aplikimi për licencën e transmetimit audio për rrjete analoge</w:t>
      </w:r>
    </w:p>
    <w:p>
      <w:pPr>
        <w:pStyle w:val="BodyText"/>
        <w:spacing w:before="5"/>
        <w:ind w:left="0" w:firstLine="0"/>
        <w:rPr>
          <w:b/>
          <w:sz w:val="21"/>
        </w:rPr>
      </w:pPr>
    </w:p>
    <w:p>
      <w:pPr>
        <w:pStyle w:val="ListParagraph"/>
        <w:numPr>
          <w:ilvl w:val="0"/>
          <w:numId w:val="118"/>
        </w:numPr>
        <w:tabs>
          <w:tab w:pos="1066" w:val="left" w:leader="none"/>
        </w:tabs>
        <w:spacing w:line="240" w:lineRule="auto" w:before="0" w:after="0"/>
        <w:ind w:left="120" w:right="114" w:firstLine="720"/>
        <w:jc w:val="both"/>
        <w:rPr>
          <w:sz w:val="22"/>
        </w:rPr>
      </w:pPr>
      <w:r>
        <w:rPr>
          <w:sz w:val="22"/>
        </w:rPr>
        <w:t>Për të siguruar zhvillimin e rregullt të shërbimeve audio dhe sigurimin e një larmie shërbimesh në hapësirën e mbulimit dhe respektimin e interesave të pakicave, AMA harton planin e përdorimit të frekuencave të destinuara për transmetimet audio, në përputhje me Planin Kombëtar të</w:t>
      </w:r>
      <w:r>
        <w:rPr>
          <w:spacing w:val="-18"/>
          <w:sz w:val="22"/>
        </w:rPr>
        <w:t> </w:t>
      </w:r>
      <w:r>
        <w:rPr>
          <w:sz w:val="22"/>
        </w:rPr>
        <w:t>Frekuencave.</w:t>
      </w:r>
    </w:p>
    <w:p>
      <w:pPr>
        <w:pStyle w:val="ListParagraph"/>
        <w:numPr>
          <w:ilvl w:val="0"/>
          <w:numId w:val="118"/>
        </w:numPr>
        <w:tabs>
          <w:tab w:pos="1090" w:val="left" w:leader="none"/>
        </w:tabs>
        <w:spacing w:line="240" w:lineRule="auto" w:before="2" w:after="0"/>
        <w:ind w:left="120" w:right="115" w:firstLine="720"/>
        <w:jc w:val="both"/>
        <w:rPr>
          <w:sz w:val="22"/>
        </w:rPr>
      </w:pPr>
      <w:r>
        <w:rPr>
          <w:sz w:val="22"/>
        </w:rPr>
        <w:t>AMA, duke pasur parasysh planin e përdorimit të frekuencave të përmendura në pikën 1 të këtij neni, duke marrë në konsideratë ekzistencën e frekuencave të lira për transmetimet audio, me nismën e vet ose me kërkesën e subjekteve të</w:t>
      </w:r>
      <w:r>
        <w:rPr>
          <w:spacing w:val="-3"/>
          <w:sz w:val="22"/>
        </w:rPr>
        <w:t> </w:t>
      </w:r>
      <w:r>
        <w:rPr>
          <w:sz w:val="22"/>
        </w:rPr>
        <w:t>interesuara:</w:t>
      </w:r>
    </w:p>
    <w:p>
      <w:pPr>
        <w:pStyle w:val="ListParagraph"/>
        <w:numPr>
          <w:ilvl w:val="0"/>
          <w:numId w:val="119"/>
        </w:numPr>
        <w:tabs>
          <w:tab w:pos="1129" w:val="left" w:leader="none"/>
        </w:tabs>
        <w:spacing w:line="240" w:lineRule="auto" w:before="0" w:after="0"/>
        <w:ind w:left="120" w:right="113" w:firstLine="720"/>
        <w:jc w:val="both"/>
        <w:rPr>
          <w:sz w:val="22"/>
        </w:rPr>
      </w:pPr>
      <w:r>
        <w:rPr>
          <w:sz w:val="22"/>
        </w:rPr>
        <w:t>përcakton hapësirën e mbulimit të licencës së transmetimit audio, për të cilën mund të aplikohet;</w:t>
      </w:r>
    </w:p>
    <w:p>
      <w:pPr>
        <w:pStyle w:val="ListParagraph"/>
        <w:numPr>
          <w:ilvl w:val="0"/>
          <w:numId w:val="119"/>
        </w:numPr>
        <w:tabs>
          <w:tab w:pos="1081" w:val="left" w:leader="none"/>
        </w:tabs>
        <w:spacing w:line="252" w:lineRule="exact" w:before="0" w:after="0"/>
        <w:ind w:left="1080" w:right="0" w:hanging="241"/>
        <w:jc w:val="both"/>
        <w:rPr>
          <w:sz w:val="22"/>
        </w:rPr>
      </w:pPr>
      <w:r>
        <w:rPr>
          <w:sz w:val="22"/>
        </w:rPr>
        <w:t>çel garën për dhënien e licencës së transmetimit</w:t>
      </w:r>
      <w:r>
        <w:rPr>
          <w:spacing w:val="-12"/>
          <w:sz w:val="22"/>
        </w:rPr>
        <w:t> </w:t>
      </w:r>
      <w:r>
        <w:rPr>
          <w:sz w:val="22"/>
        </w:rPr>
        <w:t>audio.</w:t>
      </w:r>
    </w:p>
    <w:p>
      <w:pPr>
        <w:pStyle w:val="ListParagraph"/>
        <w:numPr>
          <w:ilvl w:val="0"/>
          <w:numId w:val="118"/>
        </w:numPr>
        <w:tabs>
          <w:tab w:pos="1088" w:val="left" w:leader="none"/>
        </w:tabs>
        <w:spacing w:line="240" w:lineRule="auto" w:before="0" w:after="0"/>
        <w:ind w:left="120" w:right="115" w:firstLine="720"/>
        <w:jc w:val="both"/>
        <w:rPr>
          <w:sz w:val="22"/>
        </w:rPr>
      </w:pPr>
      <w:r>
        <w:rPr>
          <w:sz w:val="22"/>
        </w:rPr>
        <w:t>Në përcaktimin e hapësirës së mbulimit, të përmendur në pikën 2 të këtij neni, AMA duhet paraprakisht:</w:t>
      </w:r>
    </w:p>
    <w:p>
      <w:pPr>
        <w:pStyle w:val="ListParagraph"/>
        <w:numPr>
          <w:ilvl w:val="0"/>
          <w:numId w:val="120"/>
        </w:numPr>
        <w:tabs>
          <w:tab w:pos="1069" w:val="left" w:leader="none"/>
        </w:tabs>
        <w:spacing w:line="240" w:lineRule="auto" w:before="0" w:after="0"/>
        <w:ind w:left="1068" w:right="0" w:hanging="229"/>
        <w:jc w:val="both"/>
        <w:rPr>
          <w:sz w:val="22"/>
        </w:rPr>
      </w:pPr>
      <w:r>
        <w:rPr>
          <w:sz w:val="22"/>
        </w:rPr>
        <w:t>të realizojë studimin e interesave, pritshmërive dhe dëshirave të publikut në këtë zonë</w:t>
      </w:r>
      <w:r>
        <w:rPr>
          <w:spacing w:val="-27"/>
          <w:sz w:val="22"/>
        </w:rPr>
        <w:t> </w:t>
      </w:r>
      <w:r>
        <w:rPr>
          <w:sz w:val="22"/>
        </w:rPr>
        <w:t>mbulimi;</w:t>
      </w:r>
    </w:p>
    <w:p>
      <w:pPr>
        <w:spacing w:after="0" w:line="240" w:lineRule="auto"/>
        <w:jc w:val="both"/>
        <w:rPr>
          <w:sz w:val="22"/>
        </w:rPr>
        <w:sectPr>
          <w:pgSz w:w="12240" w:h="15840"/>
          <w:pgMar w:top="1360" w:bottom="280" w:left="1320" w:right="1320"/>
        </w:sectPr>
      </w:pPr>
    </w:p>
    <w:p>
      <w:pPr>
        <w:pStyle w:val="ListParagraph"/>
        <w:numPr>
          <w:ilvl w:val="0"/>
          <w:numId w:val="120"/>
        </w:numPr>
        <w:tabs>
          <w:tab w:pos="1081" w:val="left" w:leader="none"/>
        </w:tabs>
        <w:spacing w:line="252" w:lineRule="exact" w:before="74" w:after="0"/>
        <w:ind w:left="1080" w:right="0" w:hanging="241"/>
        <w:jc w:val="both"/>
        <w:rPr>
          <w:sz w:val="22"/>
        </w:rPr>
      </w:pPr>
      <w:r>
        <w:rPr>
          <w:sz w:val="22"/>
        </w:rPr>
        <w:t>të realizojë studimin e ndikimeve në sektorin e transmetimeve në këtë</w:t>
      </w:r>
      <w:r>
        <w:rPr>
          <w:spacing w:val="-10"/>
          <w:sz w:val="22"/>
        </w:rPr>
        <w:t> </w:t>
      </w:r>
      <w:r>
        <w:rPr>
          <w:sz w:val="22"/>
        </w:rPr>
        <w:t>zonë.</w:t>
      </w:r>
    </w:p>
    <w:p>
      <w:pPr>
        <w:pStyle w:val="ListParagraph"/>
        <w:numPr>
          <w:ilvl w:val="0"/>
          <w:numId w:val="118"/>
        </w:numPr>
        <w:tabs>
          <w:tab w:pos="1073" w:val="left" w:leader="none"/>
        </w:tabs>
        <w:spacing w:line="240" w:lineRule="auto" w:before="0" w:after="0"/>
        <w:ind w:left="119" w:right="115" w:firstLine="720"/>
        <w:jc w:val="both"/>
        <w:rPr>
          <w:sz w:val="22"/>
        </w:rPr>
      </w:pPr>
      <w:r>
        <w:rPr>
          <w:sz w:val="22"/>
        </w:rPr>
        <w:t>AMA publikon në faqen e vet të internetit rezultatet e studimeve, të përcaktuara në pikën 3 të këtij neni dhe mban në konsideratë këto të dhëna dhe ato të përcaktuara në pikën 2 të këtij neni për dhënien e licencës</w:t>
      </w:r>
      <w:r>
        <w:rPr>
          <w:spacing w:val="-3"/>
          <w:sz w:val="22"/>
        </w:rPr>
        <w:t> </w:t>
      </w:r>
      <w:r>
        <w:rPr>
          <w:sz w:val="22"/>
        </w:rPr>
        <w:t>përkatëse.</w:t>
      </w:r>
    </w:p>
    <w:p>
      <w:pPr>
        <w:pStyle w:val="ListParagraph"/>
        <w:numPr>
          <w:ilvl w:val="0"/>
          <w:numId w:val="118"/>
        </w:numPr>
        <w:tabs>
          <w:tab w:pos="1121" w:val="left" w:leader="none"/>
        </w:tabs>
        <w:spacing w:line="240" w:lineRule="auto" w:before="1" w:after="0"/>
        <w:ind w:left="119" w:right="114" w:firstLine="720"/>
        <w:jc w:val="both"/>
        <w:rPr>
          <w:sz w:val="22"/>
        </w:rPr>
      </w:pPr>
      <w:r>
        <w:rPr>
          <w:sz w:val="22"/>
        </w:rPr>
        <w:t>AMA shpall publikisht çeljen e garës për dhënien e licencës së transmetimit audio ose audiovizive sipas këtij ligji. Aplikimet për këtë licencë bëhen brenda 40 ditëve nga shpallja e garës dhe duhet të përshkruajnë mënyrën e planifikuar të ofrimit të shërbimit dhe plotësimit të kritereve të shpallura paraprakisht nga AMA.</w:t>
      </w:r>
    </w:p>
    <w:p>
      <w:pPr>
        <w:pStyle w:val="ListParagraph"/>
        <w:numPr>
          <w:ilvl w:val="0"/>
          <w:numId w:val="118"/>
        </w:numPr>
        <w:tabs>
          <w:tab w:pos="1078" w:val="left" w:leader="none"/>
        </w:tabs>
        <w:spacing w:line="240" w:lineRule="auto" w:before="0" w:after="0"/>
        <w:ind w:left="119" w:right="114" w:firstLine="720"/>
        <w:jc w:val="both"/>
        <w:rPr>
          <w:sz w:val="22"/>
        </w:rPr>
      </w:pPr>
      <w:r>
        <w:rPr>
          <w:sz w:val="22"/>
        </w:rPr>
        <w:t>Njoftimi për shpalljen e garës mund të përfshijë ftesën e të gjitha palëve të interesuara për të shprehur propozimet e tyre, në lidhje me natyrën e transmetimit audio, për të cilën është çelur</w:t>
      </w:r>
      <w:r>
        <w:rPr>
          <w:spacing w:val="-18"/>
          <w:sz w:val="22"/>
        </w:rPr>
        <w:t> </w:t>
      </w:r>
      <w:r>
        <w:rPr>
          <w:sz w:val="22"/>
        </w:rPr>
        <w:t>gara.</w:t>
      </w:r>
    </w:p>
    <w:p>
      <w:pPr>
        <w:pStyle w:val="ListParagraph"/>
        <w:numPr>
          <w:ilvl w:val="0"/>
          <w:numId w:val="118"/>
        </w:numPr>
        <w:tabs>
          <w:tab w:pos="1080" w:val="left" w:leader="none"/>
        </w:tabs>
        <w:spacing w:line="240" w:lineRule="auto" w:before="0" w:after="0"/>
        <w:ind w:left="119" w:right="116" w:firstLine="720"/>
        <w:jc w:val="both"/>
        <w:rPr>
          <w:sz w:val="22"/>
        </w:rPr>
      </w:pPr>
      <w:r>
        <w:rPr>
          <w:sz w:val="22"/>
        </w:rPr>
        <w:t>Gjatë shqyrtimit të aplikimeve për dhënien e licencës së transmetimit audio AMA vendos në përputhje me nenin 61 të këtij ligji dhe cakton pikët për çdo</w:t>
      </w:r>
      <w:r>
        <w:rPr>
          <w:spacing w:val="-7"/>
          <w:sz w:val="22"/>
        </w:rPr>
        <w:t> </w:t>
      </w:r>
      <w:r>
        <w:rPr>
          <w:sz w:val="22"/>
        </w:rPr>
        <w:t>aplikues.</w:t>
      </w:r>
    </w:p>
    <w:p>
      <w:pPr>
        <w:pStyle w:val="ListParagraph"/>
        <w:numPr>
          <w:ilvl w:val="0"/>
          <w:numId w:val="118"/>
        </w:numPr>
        <w:tabs>
          <w:tab w:pos="1083" w:val="left" w:leader="none"/>
        </w:tabs>
        <w:spacing w:line="240" w:lineRule="auto" w:before="0" w:after="0"/>
        <w:ind w:left="119" w:right="115" w:firstLine="720"/>
        <w:jc w:val="both"/>
        <w:rPr>
          <w:sz w:val="22"/>
        </w:rPr>
      </w:pPr>
      <w:r>
        <w:rPr>
          <w:sz w:val="22"/>
        </w:rPr>
        <w:t>Shpallja e garës publikohet në faqen e internetit të AMA-s dhe, nëse është e mundur, në një organ shtypi, që shpërndahet në zonën e mbulimit të licencës së</w:t>
      </w:r>
      <w:r>
        <w:rPr>
          <w:spacing w:val="-8"/>
          <w:sz w:val="22"/>
        </w:rPr>
        <w:t> </w:t>
      </w:r>
      <w:r>
        <w:rPr>
          <w:sz w:val="22"/>
        </w:rPr>
        <w:t>shërbimit.</w:t>
      </w:r>
    </w:p>
    <w:p>
      <w:pPr>
        <w:pStyle w:val="ListParagraph"/>
        <w:numPr>
          <w:ilvl w:val="0"/>
          <w:numId w:val="118"/>
        </w:numPr>
        <w:tabs>
          <w:tab w:pos="1114" w:val="left" w:leader="none"/>
        </w:tabs>
        <w:spacing w:line="240" w:lineRule="auto" w:before="0" w:after="0"/>
        <w:ind w:left="119" w:right="117" w:firstLine="720"/>
        <w:jc w:val="both"/>
        <w:rPr>
          <w:sz w:val="22"/>
        </w:rPr>
      </w:pPr>
      <w:r>
        <w:rPr>
          <w:sz w:val="22"/>
        </w:rPr>
        <w:t>Në njoftimin e shpalljes së garës përcaktohen procedurat që duhen ndjekur për bërjen e aplikimit dhe kërkesat</w:t>
      </w:r>
      <w:r>
        <w:rPr>
          <w:spacing w:val="-2"/>
          <w:sz w:val="22"/>
        </w:rPr>
        <w:t> </w:t>
      </w:r>
      <w:r>
        <w:rPr>
          <w:sz w:val="22"/>
        </w:rPr>
        <w:t>përkatëse.</w:t>
      </w:r>
    </w:p>
    <w:p>
      <w:pPr>
        <w:pStyle w:val="BodyText"/>
        <w:spacing w:before="10"/>
        <w:ind w:left="0" w:firstLine="0"/>
        <w:rPr>
          <w:sz w:val="21"/>
        </w:rPr>
      </w:pPr>
    </w:p>
    <w:p>
      <w:pPr>
        <w:pStyle w:val="BodyText"/>
        <w:ind w:left="146" w:right="146" w:firstLine="0"/>
        <w:jc w:val="center"/>
      </w:pPr>
      <w:r>
        <w:rPr/>
        <w:t>Neni 60</w:t>
      </w:r>
    </w:p>
    <w:p>
      <w:pPr>
        <w:pStyle w:val="Heading1"/>
        <w:ind w:right="145"/>
      </w:pPr>
      <w:r>
        <w:rPr/>
        <w:t>Aplikimi për licencën e shërbimit të programit audio dhe audioviziv</w:t>
      </w:r>
    </w:p>
    <w:p>
      <w:pPr>
        <w:pStyle w:val="BodyText"/>
        <w:spacing w:before="7"/>
        <w:ind w:left="0" w:firstLine="0"/>
        <w:rPr>
          <w:b/>
          <w:sz w:val="21"/>
        </w:rPr>
      </w:pPr>
    </w:p>
    <w:p>
      <w:pPr>
        <w:pStyle w:val="ListParagraph"/>
        <w:numPr>
          <w:ilvl w:val="0"/>
          <w:numId w:val="121"/>
        </w:numPr>
        <w:tabs>
          <w:tab w:pos="1090" w:val="left" w:leader="none"/>
        </w:tabs>
        <w:spacing w:line="240" w:lineRule="auto" w:before="0" w:after="0"/>
        <w:ind w:left="120" w:right="115" w:firstLine="720"/>
        <w:jc w:val="both"/>
        <w:rPr>
          <w:sz w:val="22"/>
        </w:rPr>
      </w:pPr>
      <w:r>
        <w:rPr>
          <w:sz w:val="22"/>
        </w:rPr>
        <w:t>Ofrimi i shërbimeve të programeve audio dhe audiovizive, që mbështeten në rrjete tokësore analoge ose numerike, bëhet sipas licencës së lëshuar nga AMA nëpërmjet konkurrimit të aplikimeve në përputhje me kërkesat e nenit 56 të këtij ligji dhe rregullat e veçanta të miratuara nga</w:t>
      </w:r>
      <w:r>
        <w:rPr>
          <w:spacing w:val="-15"/>
          <w:sz w:val="22"/>
        </w:rPr>
        <w:t> </w:t>
      </w:r>
      <w:r>
        <w:rPr>
          <w:sz w:val="22"/>
        </w:rPr>
        <w:t>AMA.</w:t>
      </w:r>
    </w:p>
    <w:p>
      <w:pPr>
        <w:pStyle w:val="ListParagraph"/>
        <w:numPr>
          <w:ilvl w:val="0"/>
          <w:numId w:val="121"/>
        </w:numPr>
        <w:tabs>
          <w:tab w:pos="1081" w:val="left" w:leader="none"/>
        </w:tabs>
        <w:spacing w:line="240" w:lineRule="auto" w:before="0" w:after="0"/>
        <w:ind w:left="120" w:right="114" w:firstLine="720"/>
        <w:jc w:val="both"/>
        <w:rPr>
          <w:sz w:val="22"/>
        </w:rPr>
      </w:pPr>
      <w:r>
        <w:rPr>
          <w:sz w:val="22"/>
        </w:rPr>
        <w:t>AMA, me nismën e vet ose me kërkesën e subjekteve të interesuara, çel garën për dhënien e licencës së shërbimit të programit audio ose audioviziv.</w:t>
      </w:r>
    </w:p>
    <w:p>
      <w:pPr>
        <w:pStyle w:val="ListParagraph"/>
        <w:numPr>
          <w:ilvl w:val="0"/>
          <w:numId w:val="121"/>
        </w:numPr>
        <w:tabs>
          <w:tab w:pos="1097" w:val="left" w:leader="none"/>
        </w:tabs>
        <w:spacing w:line="240" w:lineRule="auto" w:before="0" w:after="0"/>
        <w:ind w:left="120" w:right="113" w:firstLine="720"/>
        <w:jc w:val="both"/>
        <w:rPr>
          <w:sz w:val="22"/>
        </w:rPr>
      </w:pPr>
      <w:r>
        <w:rPr>
          <w:sz w:val="22"/>
        </w:rPr>
        <w:t>AMA shpall publikisht çeljen e garës për dhënien e licencës së shërbimeve të programeve audio ose audiovizive sipas këtij ligji. Aplikimet për këtë licencë bëhen brenda 40 ditëve nga shpallja e garës dhe duhet të përshkruajnë mënyrën e planifikuar të ofrimit të shërbimit dhe plotësimit të kritereve të shpallura paraprakisht nga</w:t>
      </w:r>
      <w:r>
        <w:rPr>
          <w:spacing w:val="-2"/>
          <w:sz w:val="22"/>
        </w:rPr>
        <w:t> </w:t>
      </w:r>
      <w:r>
        <w:rPr>
          <w:sz w:val="22"/>
        </w:rPr>
        <w:t>AMA.</w:t>
      </w:r>
    </w:p>
    <w:p>
      <w:pPr>
        <w:pStyle w:val="ListParagraph"/>
        <w:numPr>
          <w:ilvl w:val="0"/>
          <w:numId w:val="121"/>
        </w:numPr>
        <w:tabs>
          <w:tab w:pos="1078" w:val="left" w:leader="none"/>
        </w:tabs>
        <w:spacing w:line="240" w:lineRule="auto" w:before="0" w:after="0"/>
        <w:ind w:left="120" w:right="114" w:firstLine="720"/>
        <w:jc w:val="both"/>
        <w:rPr>
          <w:sz w:val="22"/>
        </w:rPr>
      </w:pPr>
      <w:r>
        <w:rPr>
          <w:sz w:val="22"/>
        </w:rPr>
        <w:t>Njoftimi për shpalljen e garës përfshin ftesën e të gjitha palëve të interesuara për të shprehur propozimet e tyre, në lidhje me natyrën e shërbimit të programit audio ose audioviziv, për të cilën është çelur gara.</w:t>
      </w:r>
    </w:p>
    <w:p>
      <w:pPr>
        <w:pStyle w:val="ListParagraph"/>
        <w:numPr>
          <w:ilvl w:val="0"/>
          <w:numId w:val="121"/>
        </w:numPr>
        <w:tabs>
          <w:tab w:pos="1102" w:val="left" w:leader="none"/>
        </w:tabs>
        <w:spacing w:line="240" w:lineRule="auto" w:before="0" w:after="0"/>
        <w:ind w:left="120" w:right="118" w:firstLine="720"/>
        <w:jc w:val="both"/>
        <w:rPr>
          <w:sz w:val="22"/>
        </w:rPr>
      </w:pPr>
      <w:r>
        <w:rPr>
          <w:sz w:val="22"/>
        </w:rPr>
        <w:t>Gjatë shqyrtimit të aplikimeve për dhënien e licencës së shërbimit të programit audio ose audioviziv AMA vendos në përputhje me nenin 61 të këtij ligji dhe cakton pikët për çdo</w:t>
      </w:r>
      <w:r>
        <w:rPr>
          <w:spacing w:val="-19"/>
          <w:sz w:val="22"/>
        </w:rPr>
        <w:t> </w:t>
      </w:r>
      <w:r>
        <w:rPr>
          <w:sz w:val="22"/>
        </w:rPr>
        <w:t>rezultat.</w:t>
      </w:r>
    </w:p>
    <w:p>
      <w:pPr>
        <w:pStyle w:val="BodyText"/>
        <w:spacing w:before="10"/>
        <w:ind w:left="0" w:firstLine="0"/>
        <w:rPr>
          <w:sz w:val="21"/>
        </w:rPr>
      </w:pPr>
    </w:p>
    <w:p>
      <w:pPr>
        <w:pStyle w:val="BodyText"/>
        <w:ind w:left="146" w:right="146" w:firstLine="0"/>
        <w:jc w:val="center"/>
      </w:pPr>
      <w:r>
        <w:rPr/>
        <w:t>Neni 61</w:t>
      </w:r>
    </w:p>
    <w:p>
      <w:pPr>
        <w:pStyle w:val="Heading1"/>
        <w:spacing w:before="6"/>
      </w:pPr>
      <w:r>
        <w:rPr/>
        <w:t>Shqyrtimi dhe vendimmarrja për dhënien e licencave të transmetimeve audio për rrjete analoge dhe të shërbimit të programeve audio e audiovizive</w:t>
      </w:r>
    </w:p>
    <w:p>
      <w:pPr>
        <w:pStyle w:val="BodyText"/>
        <w:spacing w:before="6"/>
        <w:ind w:left="0" w:firstLine="0"/>
        <w:rPr>
          <w:b/>
          <w:sz w:val="21"/>
        </w:rPr>
      </w:pPr>
    </w:p>
    <w:p>
      <w:pPr>
        <w:pStyle w:val="ListParagraph"/>
        <w:numPr>
          <w:ilvl w:val="0"/>
          <w:numId w:val="122"/>
        </w:numPr>
        <w:tabs>
          <w:tab w:pos="1085" w:val="left" w:leader="none"/>
        </w:tabs>
        <w:spacing w:line="240" w:lineRule="auto" w:before="1" w:after="0"/>
        <w:ind w:left="119" w:right="112" w:firstLine="720"/>
        <w:jc w:val="left"/>
        <w:rPr>
          <w:sz w:val="22"/>
        </w:rPr>
      </w:pPr>
      <w:r>
        <w:rPr>
          <w:sz w:val="22"/>
        </w:rPr>
        <w:t>Gjatë shqyrtimit të aplikimeve dhe vendimmarrjes për përzgjedhjen e aplikuesit fitues AMA mban</w:t>
      </w:r>
      <w:r>
        <w:rPr>
          <w:spacing w:val="-1"/>
          <w:sz w:val="22"/>
        </w:rPr>
        <w:t> </w:t>
      </w:r>
      <w:r>
        <w:rPr>
          <w:sz w:val="22"/>
        </w:rPr>
        <w:t>parasysh:</w:t>
      </w:r>
    </w:p>
    <w:p>
      <w:pPr>
        <w:pStyle w:val="ListParagraph"/>
        <w:numPr>
          <w:ilvl w:val="0"/>
          <w:numId w:val="123"/>
        </w:numPr>
        <w:tabs>
          <w:tab w:pos="1121" w:val="left" w:leader="none"/>
        </w:tabs>
        <w:spacing w:line="240" w:lineRule="auto" w:before="0" w:after="0"/>
        <w:ind w:left="119" w:right="115" w:firstLine="720"/>
        <w:jc w:val="left"/>
        <w:rPr>
          <w:sz w:val="22"/>
        </w:rPr>
      </w:pPr>
      <w:r>
        <w:rPr>
          <w:sz w:val="22"/>
        </w:rPr>
        <w:t>vetitë, ekspertizën dhe eksperiencën e aplikuesit ose, nëse aplikuesi është një shoqëri, të organeve drejtuesve, administratorëve apo agjencive të tjera të shoqërisë dhe të</w:t>
      </w:r>
      <w:r>
        <w:rPr>
          <w:spacing w:val="-12"/>
          <w:sz w:val="22"/>
        </w:rPr>
        <w:t> </w:t>
      </w:r>
      <w:r>
        <w:rPr>
          <w:sz w:val="22"/>
        </w:rPr>
        <w:t>pronarëve;</w:t>
      </w:r>
    </w:p>
    <w:p>
      <w:pPr>
        <w:pStyle w:val="ListParagraph"/>
        <w:numPr>
          <w:ilvl w:val="0"/>
          <w:numId w:val="123"/>
        </w:numPr>
        <w:tabs>
          <w:tab w:pos="1090" w:val="left" w:leader="none"/>
        </w:tabs>
        <w:spacing w:line="240" w:lineRule="auto" w:before="0" w:after="0"/>
        <w:ind w:left="119" w:right="115" w:firstLine="720"/>
        <w:jc w:val="left"/>
        <w:rPr>
          <w:sz w:val="22"/>
        </w:rPr>
      </w:pPr>
      <w:r>
        <w:rPr>
          <w:sz w:val="22"/>
        </w:rPr>
        <w:t>burimet financiare që zotërojnë aplikuesit dhe aspektet e funksionimit ekonomik dhe financiar të aplikimit;</w:t>
      </w:r>
    </w:p>
    <w:p>
      <w:pPr>
        <w:pStyle w:val="ListParagraph"/>
        <w:numPr>
          <w:ilvl w:val="0"/>
          <w:numId w:val="123"/>
        </w:numPr>
        <w:tabs>
          <w:tab w:pos="1102" w:val="left" w:leader="none"/>
        </w:tabs>
        <w:spacing w:line="242" w:lineRule="auto" w:before="0" w:after="0"/>
        <w:ind w:left="119" w:right="117" w:firstLine="720"/>
        <w:jc w:val="left"/>
        <w:rPr>
          <w:sz w:val="22"/>
        </w:rPr>
      </w:pPr>
      <w:r>
        <w:rPr>
          <w:sz w:val="22"/>
        </w:rPr>
        <w:t>cilësinë, llojet dhe shtrirjen e programeve në gjuhën shqipe dhe hapësirën e programeve të propozuara, që lidhen me tiparet dhe nevojat e kulturës</w:t>
      </w:r>
      <w:r>
        <w:rPr>
          <w:spacing w:val="-4"/>
          <w:sz w:val="22"/>
        </w:rPr>
        <w:t> </w:t>
      </w:r>
      <w:r>
        <w:rPr>
          <w:sz w:val="22"/>
        </w:rPr>
        <w:t>kombëtare;</w:t>
      </w:r>
    </w:p>
    <w:p>
      <w:pPr>
        <w:pStyle w:val="BodyText"/>
        <w:ind w:left="119" w:right="114"/>
        <w:jc w:val="both"/>
      </w:pPr>
      <w:r>
        <w:rPr/>
        <w:t>ç) hapësirën që aplikimi krijon brenda shërbimit të transmetimit të propozuar, për mundësinë e krijuesve të rinj në fushën e muzikës, të shfaqjeve teatrore dhe sidomos ato të lidhura me kulturën kombëtare;</w:t>
      </w:r>
    </w:p>
    <w:p>
      <w:pPr>
        <w:pStyle w:val="ListParagraph"/>
        <w:numPr>
          <w:ilvl w:val="0"/>
          <w:numId w:val="123"/>
        </w:numPr>
        <w:tabs>
          <w:tab w:pos="1140" w:val="left" w:leader="none"/>
        </w:tabs>
        <w:spacing w:line="252" w:lineRule="exact" w:before="0" w:after="0"/>
        <w:ind w:left="1139" w:right="0" w:hanging="301"/>
        <w:jc w:val="both"/>
        <w:rPr>
          <w:sz w:val="22"/>
        </w:rPr>
      </w:pPr>
      <w:r>
        <w:rPr>
          <w:sz w:val="22"/>
        </w:rPr>
        <w:t>gatishmërinë për të ofruar një shumëllojshmëri shërbimesh në hapësirën e mbulimit</w:t>
      </w:r>
      <w:r>
        <w:rPr>
          <w:spacing w:val="24"/>
          <w:sz w:val="22"/>
        </w:rPr>
        <w:t> </w:t>
      </w:r>
      <w:r>
        <w:rPr>
          <w:sz w:val="22"/>
        </w:rPr>
        <w:t>për</w:t>
      </w:r>
    </w:p>
    <w:p>
      <w:pPr>
        <w:spacing w:after="0" w:line="252" w:lineRule="exact"/>
        <w:jc w:val="both"/>
        <w:rPr>
          <w:sz w:val="22"/>
        </w:rPr>
        <w:sectPr>
          <w:pgSz w:w="12240" w:h="15840"/>
          <w:pgMar w:top="1360" w:bottom="280" w:left="1320" w:right="1320"/>
        </w:sectPr>
      </w:pPr>
    </w:p>
    <w:p>
      <w:pPr>
        <w:pStyle w:val="BodyText"/>
        <w:spacing w:line="252" w:lineRule="exact" w:before="74"/>
        <w:ind w:firstLine="0"/>
      </w:pPr>
      <w:r>
        <w:rPr/>
        <w:t>kategoritë e ndryshme shoqërore, përfshirë këtu interesat e pakicave;</w:t>
      </w:r>
    </w:p>
    <w:p>
      <w:pPr>
        <w:pStyle w:val="BodyText"/>
        <w:ind w:right="171" w:firstLine="719"/>
      </w:pPr>
      <w:r>
        <w:rPr/>
        <w:t>dh) gatishmërinë për t’i dhënë mundësinë çdo personi apo grupi personash për të pasur interesa  në një numër shërbimesh të transmetimit audioviziv, sipas kritereve të përcaktuara në këtë</w:t>
      </w:r>
      <w:r>
        <w:rPr>
          <w:spacing w:val="-15"/>
        </w:rPr>
        <w:t> </w:t>
      </w:r>
      <w:r>
        <w:rPr/>
        <w:t>ligj;</w:t>
      </w:r>
    </w:p>
    <w:p>
      <w:pPr>
        <w:pStyle w:val="ListParagraph"/>
        <w:numPr>
          <w:ilvl w:val="0"/>
          <w:numId w:val="123"/>
        </w:numPr>
        <w:tabs>
          <w:tab w:pos="1086" w:val="left" w:leader="none"/>
        </w:tabs>
        <w:spacing w:line="240" w:lineRule="auto" w:before="0" w:after="0"/>
        <w:ind w:left="120" w:right="114" w:firstLine="720"/>
        <w:jc w:val="left"/>
        <w:rPr>
          <w:sz w:val="22"/>
        </w:rPr>
      </w:pPr>
      <w:r>
        <w:rPr>
          <w:sz w:val="22"/>
        </w:rPr>
        <w:t>masat, në të cilat shërbimi i propozuar realizon interesat e ndryshëm në komunitetin përkatës lokal, ose si i shërben këtyre</w:t>
      </w:r>
      <w:r>
        <w:rPr>
          <w:spacing w:val="-2"/>
          <w:sz w:val="22"/>
        </w:rPr>
        <w:t> </w:t>
      </w:r>
      <w:r>
        <w:rPr>
          <w:sz w:val="22"/>
        </w:rPr>
        <w:t>interesave;</w:t>
      </w:r>
    </w:p>
    <w:p>
      <w:pPr>
        <w:pStyle w:val="BodyText"/>
        <w:ind w:right="377"/>
      </w:pPr>
      <w:r>
        <w:rPr/>
        <w:t>ë) ofrimin e teknologjisë digjitale në transmetim, si dhe plotësimin e kërkesave teknike për pajisjet për transmetimin dhe për realizimin e mbulimit të zonës së</w:t>
      </w:r>
      <w:r>
        <w:rPr>
          <w:spacing w:val="-4"/>
        </w:rPr>
        <w:t> </w:t>
      </w:r>
      <w:r>
        <w:rPr/>
        <w:t>licencimit;</w:t>
      </w:r>
    </w:p>
    <w:p>
      <w:pPr>
        <w:pStyle w:val="ListParagraph"/>
        <w:numPr>
          <w:ilvl w:val="0"/>
          <w:numId w:val="123"/>
        </w:numPr>
        <w:tabs>
          <w:tab w:pos="1042" w:val="left" w:leader="none"/>
        </w:tabs>
        <w:spacing w:line="252" w:lineRule="exact" w:before="0" w:after="0"/>
        <w:ind w:left="1041" w:right="0" w:hanging="202"/>
        <w:jc w:val="left"/>
        <w:rPr>
          <w:sz w:val="22"/>
        </w:rPr>
      </w:pPr>
      <w:r>
        <w:rPr>
          <w:sz w:val="22"/>
        </w:rPr>
        <w:t>të mos jenë në proces falimentimi apo</w:t>
      </w:r>
      <w:r>
        <w:rPr>
          <w:spacing w:val="-2"/>
          <w:sz w:val="22"/>
        </w:rPr>
        <w:t> </w:t>
      </w:r>
      <w:r>
        <w:rPr>
          <w:sz w:val="22"/>
        </w:rPr>
        <w:t>likuidimi;</w:t>
      </w:r>
    </w:p>
    <w:p>
      <w:pPr>
        <w:pStyle w:val="ListParagraph"/>
        <w:numPr>
          <w:ilvl w:val="0"/>
          <w:numId w:val="123"/>
        </w:numPr>
        <w:tabs>
          <w:tab w:pos="1078" w:val="left" w:leader="none"/>
        </w:tabs>
        <w:spacing w:line="252" w:lineRule="exact" w:before="0" w:after="0"/>
        <w:ind w:left="1077" w:right="0" w:hanging="238"/>
        <w:jc w:val="left"/>
        <w:rPr>
          <w:sz w:val="22"/>
        </w:rPr>
      </w:pPr>
      <w:r>
        <w:rPr>
          <w:sz w:val="22"/>
        </w:rPr>
        <w:t>të kenë kapital të regjistruar e të deklaruar në QKR në shumën 3 500 000</w:t>
      </w:r>
      <w:r>
        <w:rPr>
          <w:spacing w:val="-14"/>
          <w:sz w:val="22"/>
        </w:rPr>
        <w:t> </w:t>
      </w:r>
      <w:r>
        <w:rPr>
          <w:sz w:val="22"/>
        </w:rPr>
        <w:t>lekë.</w:t>
      </w:r>
    </w:p>
    <w:p>
      <w:pPr>
        <w:pStyle w:val="ListParagraph"/>
        <w:numPr>
          <w:ilvl w:val="0"/>
          <w:numId w:val="122"/>
        </w:numPr>
        <w:tabs>
          <w:tab w:pos="1071" w:val="left" w:leader="none"/>
        </w:tabs>
        <w:spacing w:line="240" w:lineRule="auto" w:before="1" w:after="0"/>
        <w:ind w:left="120" w:right="115" w:firstLine="720"/>
        <w:jc w:val="left"/>
        <w:rPr>
          <w:sz w:val="22"/>
        </w:rPr>
      </w:pPr>
      <w:r>
        <w:rPr>
          <w:sz w:val="22"/>
        </w:rPr>
        <w:t>Përveç përcaktimeve në pikën 1 të këtij neni, AMA duhet të vlerësojë edhe cilësinë e kryerjes së shërbimit të transmetimit nga ana e aplikuesit, mbajtës të një licence të</w:t>
      </w:r>
      <w:r>
        <w:rPr>
          <w:spacing w:val="-12"/>
          <w:sz w:val="22"/>
        </w:rPr>
        <w:t> </w:t>
      </w:r>
      <w:r>
        <w:rPr>
          <w:sz w:val="22"/>
        </w:rPr>
        <w:t>mëparshme.</w:t>
      </w:r>
    </w:p>
    <w:p>
      <w:pPr>
        <w:pStyle w:val="ListParagraph"/>
        <w:numPr>
          <w:ilvl w:val="0"/>
          <w:numId w:val="122"/>
        </w:numPr>
        <w:tabs>
          <w:tab w:pos="1062" w:val="left" w:leader="none"/>
        </w:tabs>
        <w:spacing w:line="251" w:lineRule="exact" w:before="0" w:after="0"/>
        <w:ind w:left="1061" w:right="0" w:hanging="222"/>
        <w:jc w:val="left"/>
        <w:rPr>
          <w:sz w:val="22"/>
        </w:rPr>
      </w:pPr>
      <w:r>
        <w:rPr>
          <w:sz w:val="22"/>
        </w:rPr>
        <w:t>Kur AMA vendos mosmiratimin e aplikimit, duhet të njoftojë aplikuesit</w:t>
      </w:r>
      <w:r>
        <w:rPr>
          <w:spacing w:val="-5"/>
          <w:sz w:val="22"/>
        </w:rPr>
        <w:t> </w:t>
      </w:r>
      <w:r>
        <w:rPr>
          <w:sz w:val="22"/>
        </w:rPr>
        <w:t>për:</w:t>
      </w:r>
    </w:p>
    <w:p>
      <w:pPr>
        <w:pStyle w:val="ListParagraph"/>
        <w:numPr>
          <w:ilvl w:val="0"/>
          <w:numId w:val="124"/>
        </w:numPr>
        <w:tabs>
          <w:tab w:pos="1069" w:val="left" w:leader="none"/>
        </w:tabs>
        <w:spacing w:line="252" w:lineRule="exact" w:before="2" w:after="0"/>
        <w:ind w:left="1068" w:right="0" w:hanging="229"/>
        <w:jc w:val="left"/>
        <w:rPr>
          <w:sz w:val="22"/>
        </w:rPr>
      </w:pPr>
      <w:r>
        <w:rPr>
          <w:sz w:val="22"/>
        </w:rPr>
        <w:t>arsyet e vendimit;</w:t>
      </w:r>
    </w:p>
    <w:p>
      <w:pPr>
        <w:pStyle w:val="ListParagraph"/>
        <w:numPr>
          <w:ilvl w:val="0"/>
          <w:numId w:val="124"/>
        </w:numPr>
        <w:tabs>
          <w:tab w:pos="1081" w:val="left" w:leader="none"/>
        </w:tabs>
        <w:spacing w:line="252" w:lineRule="exact" w:before="0" w:after="0"/>
        <w:ind w:left="1080" w:right="0" w:hanging="241"/>
        <w:jc w:val="left"/>
        <w:rPr>
          <w:sz w:val="22"/>
        </w:rPr>
      </w:pPr>
      <w:r>
        <w:rPr>
          <w:sz w:val="22"/>
        </w:rPr>
        <w:t>rezultatin e vlerësimit të</w:t>
      </w:r>
      <w:r>
        <w:rPr>
          <w:spacing w:val="-2"/>
          <w:sz w:val="22"/>
        </w:rPr>
        <w:t> </w:t>
      </w:r>
      <w:r>
        <w:rPr>
          <w:sz w:val="22"/>
        </w:rPr>
        <w:t>aplikuesit;</w:t>
      </w:r>
    </w:p>
    <w:p>
      <w:pPr>
        <w:pStyle w:val="ListParagraph"/>
        <w:numPr>
          <w:ilvl w:val="0"/>
          <w:numId w:val="124"/>
        </w:numPr>
        <w:tabs>
          <w:tab w:pos="1069" w:val="left" w:leader="none"/>
        </w:tabs>
        <w:spacing w:line="252" w:lineRule="exact" w:before="1" w:after="0"/>
        <w:ind w:left="1068" w:right="0" w:hanging="229"/>
        <w:jc w:val="left"/>
        <w:rPr>
          <w:sz w:val="22"/>
        </w:rPr>
      </w:pPr>
      <w:r>
        <w:rPr>
          <w:sz w:val="22"/>
        </w:rPr>
        <w:t>rezultatin e aplikimit fitues.</w:t>
      </w:r>
    </w:p>
    <w:p>
      <w:pPr>
        <w:pStyle w:val="ListParagraph"/>
        <w:numPr>
          <w:ilvl w:val="0"/>
          <w:numId w:val="122"/>
        </w:numPr>
        <w:tabs>
          <w:tab w:pos="1093" w:val="left" w:leader="none"/>
        </w:tabs>
        <w:spacing w:line="240" w:lineRule="auto" w:before="0" w:after="0"/>
        <w:ind w:left="120" w:right="116" w:firstLine="720"/>
        <w:jc w:val="both"/>
        <w:rPr>
          <w:sz w:val="22"/>
        </w:rPr>
      </w:pPr>
      <w:r>
        <w:rPr>
          <w:sz w:val="22"/>
        </w:rPr>
        <w:t>Licenca e transmetimit audio dhe audioviziv nuk u jepet personave të dënuar për një vepër penale, nëse nuk kanë kaluar 5 vjet nga përfundimi i këtij</w:t>
      </w:r>
      <w:r>
        <w:rPr>
          <w:spacing w:val="-1"/>
          <w:sz w:val="22"/>
        </w:rPr>
        <w:t> </w:t>
      </w:r>
      <w:r>
        <w:rPr>
          <w:sz w:val="22"/>
        </w:rPr>
        <w:t>dënimi.</w:t>
      </w:r>
    </w:p>
    <w:p>
      <w:pPr>
        <w:pStyle w:val="ListParagraph"/>
        <w:numPr>
          <w:ilvl w:val="0"/>
          <w:numId w:val="122"/>
        </w:numPr>
        <w:tabs>
          <w:tab w:pos="1074" w:val="left" w:leader="none"/>
        </w:tabs>
        <w:spacing w:line="240" w:lineRule="auto" w:before="0" w:after="0"/>
        <w:ind w:left="120" w:right="112" w:firstLine="720"/>
        <w:jc w:val="both"/>
        <w:rPr>
          <w:sz w:val="22"/>
        </w:rPr>
      </w:pPr>
      <w:r>
        <w:rPr>
          <w:sz w:val="22"/>
        </w:rPr>
        <w:t>Licenca e transmetimit nuk u jepet subjekteve që u është hequr ose u është bërë e pavlefshme licenca, me vendim të AMA-s, nëse nuk ka kaluar të paktën një periudhë 10-vjeçare nga data kur iu është hequr licenca e transmetimit. I njëjti kufizim zbatohet edhe ndaj subjekteve juridike, aksionarë të të cilëve janë individë që kanë qenë aksionarë në subjektet të cilëve iu është hequr licenca me vendim të</w:t>
      </w:r>
      <w:r>
        <w:rPr>
          <w:spacing w:val="-28"/>
          <w:sz w:val="22"/>
        </w:rPr>
        <w:t> </w:t>
      </w:r>
      <w:r>
        <w:rPr>
          <w:sz w:val="22"/>
        </w:rPr>
        <w:t>AMA-s.</w:t>
      </w:r>
    </w:p>
    <w:p>
      <w:pPr>
        <w:pStyle w:val="ListParagraph"/>
        <w:numPr>
          <w:ilvl w:val="0"/>
          <w:numId w:val="122"/>
        </w:numPr>
        <w:tabs>
          <w:tab w:pos="1071" w:val="left" w:leader="none"/>
        </w:tabs>
        <w:spacing w:line="240" w:lineRule="auto" w:before="1" w:after="0"/>
        <w:ind w:left="120" w:right="115" w:firstLine="720"/>
        <w:jc w:val="both"/>
        <w:rPr>
          <w:sz w:val="22"/>
        </w:rPr>
      </w:pPr>
      <w:r>
        <w:rPr>
          <w:sz w:val="22"/>
        </w:rPr>
        <w:t>Për shqyrtimin e aplikimeve të përcaktuara në këtë nen, AMA duhet të vendosë jo më vonë se 60 ditë nga dita e</w:t>
      </w:r>
      <w:r>
        <w:rPr>
          <w:spacing w:val="-3"/>
          <w:sz w:val="22"/>
        </w:rPr>
        <w:t> </w:t>
      </w:r>
      <w:r>
        <w:rPr>
          <w:sz w:val="22"/>
        </w:rPr>
        <w:t>aplikimit.</w:t>
      </w:r>
    </w:p>
    <w:p>
      <w:pPr>
        <w:pStyle w:val="BodyText"/>
        <w:spacing w:before="10"/>
        <w:ind w:left="0" w:firstLine="0"/>
        <w:rPr>
          <w:sz w:val="21"/>
        </w:rPr>
      </w:pPr>
    </w:p>
    <w:p>
      <w:pPr>
        <w:pStyle w:val="BodyText"/>
        <w:ind w:left="146" w:right="146" w:firstLine="0"/>
        <w:jc w:val="center"/>
      </w:pPr>
      <w:r>
        <w:rPr/>
        <w:t>Neni 62</w:t>
      </w:r>
    </w:p>
    <w:p>
      <w:pPr>
        <w:pStyle w:val="Heading1"/>
        <w:spacing w:line="251" w:lineRule="exact"/>
        <w:ind w:right="144"/>
      </w:pPr>
      <w:r>
        <w:rPr/>
        <w:t>Rregullimi i pronësisë në transmetimet audio dhe audiovizive tokësore</w:t>
      </w:r>
    </w:p>
    <w:p>
      <w:pPr>
        <w:spacing w:line="251" w:lineRule="exact" w:before="0"/>
        <w:ind w:left="146" w:right="145" w:firstLine="0"/>
        <w:jc w:val="center"/>
        <w:rPr>
          <w:i/>
          <w:sz w:val="22"/>
        </w:rPr>
      </w:pPr>
      <w:r>
        <w:rPr>
          <w:i/>
          <w:sz w:val="22"/>
        </w:rPr>
        <w:t>(shfuqizuar paragrafi i tretë me vendimin e Gjykatës Kushtetuese nr. 56, datë 27.7.2016)</w:t>
      </w:r>
    </w:p>
    <w:p>
      <w:pPr>
        <w:pStyle w:val="BodyText"/>
        <w:spacing w:before="10"/>
        <w:ind w:left="0" w:firstLine="0"/>
        <w:rPr>
          <w:i/>
          <w:sz w:val="21"/>
        </w:rPr>
      </w:pPr>
    </w:p>
    <w:p>
      <w:pPr>
        <w:pStyle w:val="ListParagraph"/>
        <w:numPr>
          <w:ilvl w:val="0"/>
          <w:numId w:val="125"/>
        </w:numPr>
        <w:tabs>
          <w:tab w:pos="1093" w:val="left" w:leader="none"/>
        </w:tabs>
        <w:spacing w:line="240" w:lineRule="auto" w:before="0" w:after="0"/>
        <w:ind w:left="120" w:right="113" w:firstLine="720"/>
        <w:jc w:val="both"/>
        <w:rPr>
          <w:sz w:val="22"/>
        </w:rPr>
      </w:pPr>
      <w:r>
        <w:rPr>
          <w:sz w:val="22"/>
        </w:rPr>
        <w:t>Licenca kombëtare e transmetimit audio dhe licenca kombëtare e transmetimit audioviziv u jepen vetëm shoqërive aksionare të regjistruara në Republikën e Shqipërisë, të cilat kanë si objekt ekskluziv veprimtarinë</w:t>
      </w:r>
      <w:r>
        <w:rPr>
          <w:spacing w:val="-3"/>
          <w:sz w:val="22"/>
        </w:rPr>
        <w:t> </w:t>
      </w:r>
      <w:r>
        <w:rPr>
          <w:sz w:val="22"/>
        </w:rPr>
        <w:t>audiovizive.</w:t>
      </w:r>
    </w:p>
    <w:p>
      <w:pPr>
        <w:pStyle w:val="ListParagraph"/>
        <w:numPr>
          <w:ilvl w:val="0"/>
          <w:numId w:val="125"/>
        </w:numPr>
        <w:tabs>
          <w:tab w:pos="1112" w:val="left" w:leader="none"/>
        </w:tabs>
        <w:spacing w:line="240" w:lineRule="auto" w:before="2" w:after="0"/>
        <w:ind w:left="120" w:right="115" w:firstLine="720"/>
        <w:jc w:val="both"/>
        <w:rPr>
          <w:sz w:val="22"/>
        </w:rPr>
      </w:pPr>
      <w:r>
        <w:rPr>
          <w:sz w:val="22"/>
        </w:rPr>
        <w:t>Aksionet që përfaqësojnë kapitalin në një shoqëri, mbajtëse të një licence kombëtare për transmetim audio apo licencë kombëtare e transmetimit audioviziv, janë</w:t>
      </w:r>
      <w:r>
        <w:rPr>
          <w:spacing w:val="-8"/>
          <w:sz w:val="22"/>
        </w:rPr>
        <w:t> </w:t>
      </w:r>
      <w:r>
        <w:rPr>
          <w:sz w:val="22"/>
        </w:rPr>
        <w:t>nominative.</w:t>
      </w:r>
    </w:p>
    <w:p>
      <w:pPr>
        <w:pStyle w:val="ListParagraph"/>
        <w:numPr>
          <w:ilvl w:val="0"/>
          <w:numId w:val="125"/>
        </w:numPr>
        <w:tabs>
          <w:tab w:pos="1062" w:val="left" w:leader="none"/>
        </w:tabs>
        <w:spacing w:line="251" w:lineRule="exact" w:before="0" w:after="0"/>
        <w:ind w:left="1061" w:right="0" w:hanging="222"/>
        <w:jc w:val="both"/>
        <w:rPr>
          <w:sz w:val="22"/>
        </w:rPr>
      </w:pPr>
      <w:r>
        <w:rPr>
          <w:sz w:val="22"/>
        </w:rPr>
        <w:t>Shfuqizuar.</w:t>
      </w:r>
    </w:p>
    <w:p>
      <w:pPr>
        <w:pStyle w:val="ListParagraph"/>
        <w:numPr>
          <w:ilvl w:val="0"/>
          <w:numId w:val="125"/>
        </w:numPr>
        <w:tabs>
          <w:tab w:pos="1081" w:val="left" w:leader="none"/>
        </w:tabs>
        <w:spacing w:line="240" w:lineRule="auto" w:before="1" w:after="0"/>
        <w:ind w:left="120" w:right="116" w:firstLine="720"/>
        <w:jc w:val="both"/>
        <w:rPr>
          <w:sz w:val="22"/>
        </w:rPr>
      </w:pPr>
      <w:r>
        <w:rPr>
          <w:sz w:val="22"/>
        </w:rPr>
        <w:t>Një person fizik ose juridik, që ka aksione në një shoqëri që disponon një licencë kombëtare transmetimi audio ose licencë kombëtare transmetimi audioviziv, nuk mund të ketë më shumë se 20 për qind të kapitalit të përgjithshëm në një shoqëri të dytë, që zotëron një licencë kombëtare transmetimi audio ose licencë kombëtare të transmetimit audioviziv. Për transmetimet analoge audio lejohet pjesëmarrja në masën deri në 10 për qind në një shoqëri të tretë kombëtare. Një person i tillë nuk lejohet të marrë licencë transmetimi audio, lokale apo rajonale ose licencë transmetimi audioviziv, lokale apo rajonale.</w:t>
      </w:r>
    </w:p>
    <w:p>
      <w:pPr>
        <w:pStyle w:val="ListParagraph"/>
        <w:numPr>
          <w:ilvl w:val="0"/>
          <w:numId w:val="125"/>
        </w:numPr>
        <w:tabs>
          <w:tab w:pos="1105" w:val="left" w:leader="none"/>
        </w:tabs>
        <w:spacing w:line="240" w:lineRule="auto" w:before="0" w:after="0"/>
        <w:ind w:left="120" w:right="116" w:firstLine="720"/>
        <w:jc w:val="both"/>
        <w:rPr>
          <w:sz w:val="22"/>
        </w:rPr>
      </w:pPr>
      <w:r>
        <w:rPr>
          <w:sz w:val="22"/>
        </w:rPr>
        <w:t>Kushteve të mësipërme u nënshtrohen edhe licencat kombëtare për shërbimin e programit audio dhe/ose</w:t>
      </w:r>
      <w:r>
        <w:rPr>
          <w:spacing w:val="-5"/>
          <w:sz w:val="22"/>
        </w:rPr>
        <w:t> </w:t>
      </w:r>
      <w:r>
        <w:rPr>
          <w:sz w:val="22"/>
        </w:rPr>
        <w:t>audioviziv.</w:t>
      </w:r>
    </w:p>
    <w:p>
      <w:pPr>
        <w:pStyle w:val="ListParagraph"/>
        <w:numPr>
          <w:ilvl w:val="0"/>
          <w:numId w:val="125"/>
        </w:numPr>
        <w:tabs>
          <w:tab w:pos="1069" w:val="left" w:leader="none"/>
        </w:tabs>
        <w:spacing w:line="240" w:lineRule="auto" w:before="0" w:after="0"/>
        <w:ind w:left="120" w:right="111" w:firstLine="720"/>
        <w:jc w:val="both"/>
        <w:rPr>
          <w:sz w:val="22"/>
        </w:rPr>
      </w:pPr>
      <w:r>
        <w:rPr>
          <w:sz w:val="22"/>
        </w:rPr>
        <w:t>Licenca lokale apo rajonale e transmetimit audio dhe licenca lokale apo rajonale e shërbimit të transmetimit audioviziv u jepen personave juridikë të regjistruar në Republikën e Shqipërisë, me objekt ekskluziv veprimtarinë</w:t>
      </w:r>
      <w:r>
        <w:rPr>
          <w:spacing w:val="-3"/>
          <w:sz w:val="22"/>
        </w:rPr>
        <w:t> </w:t>
      </w:r>
      <w:r>
        <w:rPr>
          <w:sz w:val="22"/>
        </w:rPr>
        <w:t>audiovizive.</w:t>
      </w:r>
    </w:p>
    <w:p>
      <w:pPr>
        <w:pStyle w:val="ListParagraph"/>
        <w:numPr>
          <w:ilvl w:val="0"/>
          <w:numId w:val="125"/>
        </w:numPr>
        <w:tabs>
          <w:tab w:pos="1093" w:val="left" w:leader="none"/>
        </w:tabs>
        <w:spacing w:line="240" w:lineRule="auto" w:before="0" w:after="0"/>
        <w:ind w:left="120" w:right="111" w:firstLine="720"/>
        <w:jc w:val="both"/>
        <w:rPr>
          <w:sz w:val="22"/>
        </w:rPr>
      </w:pPr>
      <w:r>
        <w:rPr>
          <w:sz w:val="22"/>
        </w:rPr>
        <w:t>Një person fizik ose juridik që ka 100 për qind të aksioneve në një shoqëri që zotëron një licencë transmetimi audioviziv lokale apo rajonale, mund të marrë vetëm një licencë të dytë për transmetim audio lokale apo rajonale. Një person fizik ose juridik që ka 100 për qind të aksioneve në një shoqëri që zotëron një licencë transmetimi audio lokale apo rajonale, mund të marrë vetëm një licencë transmetimi audiovizive lokale apo</w:t>
      </w:r>
      <w:r>
        <w:rPr>
          <w:spacing w:val="-3"/>
          <w:sz w:val="22"/>
        </w:rPr>
        <w:t> </w:t>
      </w:r>
      <w:r>
        <w:rPr>
          <w:sz w:val="22"/>
        </w:rPr>
        <w:t>rajonale.</w:t>
      </w:r>
    </w:p>
    <w:p>
      <w:pPr>
        <w:spacing w:after="0" w:line="240" w:lineRule="auto"/>
        <w:jc w:val="both"/>
        <w:rPr>
          <w:sz w:val="22"/>
        </w:rPr>
        <w:sectPr>
          <w:pgSz w:w="12240" w:h="15840"/>
          <w:pgMar w:top="1360" w:bottom="280" w:left="1320" w:right="1320"/>
        </w:sectPr>
      </w:pPr>
    </w:p>
    <w:p>
      <w:pPr>
        <w:pStyle w:val="ListParagraph"/>
        <w:numPr>
          <w:ilvl w:val="0"/>
          <w:numId w:val="125"/>
        </w:numPr>
        <w:tabs>
          <w:tab w:pos="1085" w:val="left" w:leader="none"/>
        </w:tabs>
        <w:spacing w:line="240" w:lineRule="auto" w:before="74" w:after="0"/>
        <w:ind w:left="120" w:right="114" w:firstLine="720"/>
        <w:jc w:val="both"/>
        <w:rPr>
          <w:sz w:val="22"/>
        </w:rPr>
      </w:pPr>
      <w:r>
        <w:rPr>
          <w:sz w:val="22"/>
        </w:rPr>
        <w:t>Një person fizik ose juridik që ka aksione në një subjekt që zotëron një licencë transmetimi audio lokale apo rajonale, nuk mund të ketë më shumë se 40 për qind të kapitalit të përgjithshëm në një shoqëri të dytë, që zotëron një licencë transmetimi audio lokale apo</w:t>
      </w:r>
      <w:r>
        <w:rPr>
          <w:spacing w:val="-11"/>
          <w:sz w:val="22"/>
        </w:rPr>
        <w:t> </w:t>
      </w:r>
      <w:r>
        <w:rPr>
          <w:sz w:val="22"/>
        </w:rPr>
        <w:t>rajonale.</w:t>
      </w:r>
    </w:p>
    <w:p>
      <w:pPr>
        <w:pStyle w:val="ListParagraph"/>
        <w:numPr>
          <w:ilvl w:val="0"/>
          <w:numId w:val="125"/>
        </w:numPr>
        <w:tabs>
          <w:tab w:pos="1085" w:val="left" w:leader="none"/>
        </w:tabs>
        <w:spacing w:line="240" w:lineRule="auto" w:before="0" w:after="0"/>
        <w:ind w:left="120" w:right="114" w:firstLine="720"/>
        <w:jc w:val="both"/>
        <w:rPr>
          <w:sz w:val="22"/>
        </w:rPr>
      </w:pPr>
      <w:r>
        <w:rPr>
          <w:sz w:val="22"/>
        </w:rPr>
        <w:t>Një person fizik ose juridik që ka aksione në një subjekt që zotëron një licencë transmetimi audioviziv lokale apo rajonale nuk mund të ketë më shumë se 40 për qind të kapitalit të përgjithshëm në një shoqëri të dytë që zotëron një licencë transmetimi audioviziv lokale apo</w:t>
      </w:r>
      <w:r>
        <w:rPr>
          <w:spacing w:val="-14"/>
          <w:sz w:val="22"/>
        </w:rPr>
        <w:t> </w:t>
      </w:r>
      <w:r>
        <w:rPr>
          <w:sz w:val="22"/>
        </w:rPr>
        <w:t>rajonale.</w:t>
      </w:r>
    </w:p>
    <w:p>
      <w:pPr>
        <w:pStyle w:val="ListParagraph"/>
        <w:numPr>
          <w:ilvl w:val="0"/>
          <w:numId w:val="125"/>
        </w:numPr>
        <w:tabs>
          <w:tab w:pos="1177" w:val="left" w:leader="none"/>
        </w:tabs>
        <w:spacing w:line="240" w:lineRule="auto" w:before="0" w:after="0"/>
        <w:ind w:left="120" w:right="116" w:firstLine="720"/>
        <w:jc w:val="both"/>
        <w:rPr>
          <w:sz w:val="22"/>
        </w:rPr>
      </w:pPr>
      <w:r>
        <w:rPr>
          <w:sz w:val="22"/>
        </w:rPr>
        <w:t>Në kuptim të këtij neni, aksionar konsiderohet mbajtësi i aksioneve dhe personat e lidhur me të deri në shkallën e</w:t>
      </w:r>
      <w:r>
        <w:rPr>
          <w:spacing w:val="-3"/>
          <w:sz w:val="22"/>
        </w:rPr>
        <w:t> </w:t>
      </w:r>
      <w:r>
        <w:rPr>
          <w:sz w:val="22"/>
        </w:rPr>
        <w:t>dytë.</w:t>
      </w:r>
    </w:p>
    <w:p>
      <w:pPr>
        <w:pStyle w:val="ListParagraph"/>
        <w:numPr>
          <w:ilvl w:val="0"/>
          <w:numId w:val="125"/>
        </w:numPr>
        <w:tabs>
          <w:tab w:pos="1203" w:val="left" w:leader="none"/>
        </w:tabs>
        <w:spacing w:line="240" w:lineRule="auto" w:before="0" w:after="0"/>
        <w:ind w:left="120" w:right="113" w:firstLine="720"/>
        <w:jc w:val="both"/>
        <w:rPr>
          <w:sz w:val="22"/>
        </w:rPr>
      </w:pPr>
      <w:r>
        <w:rPr>
          <w:sz w:val="22"/>
        </w:rPr>
        <w:t>Kushteve të mësipërme u nënshtrohen edhe subjektet juridike të autorizuara për ofrimin e shërbimeve të programit audio dhe autorizimet e shërbimit të programit audioviziv të mbështetura në rrjete</w:t>
      </w:r>
      <w:r>
        <w:rPr>
          <w:spacing w:val="-1"/>
          <w:sz w:val="22"/>
        </w:rPr>
        <w:t> </w:t>
      </w:r>
      <w:r>
        <w:rPr>
          <w:sz w:val="22"/>
        </w:rPr>
        <w:t>satelitore.</w:t>
      </w:r>
    </w:p>
    <w:p>
      <w:pPr>
        <w:pStyle w:val="ListParagraph"/>
        <w:numPr>
          <w:ilvl w:val="0"/>
          <w:numId w:val="125"/>
        </w:numPr>
        <w:tabs>
          <w:tab w:pos="1210" w:val="left" w:leader="none"/>
        </w:tabs>
        <w:spacing w:line="240" w:lineRule="auto" w:before="0" w:after="0"/>
        <w:ind w:left="120" w:right="112" w:firstLine="720"/>
        <w:jc w:val="both"/>
        <w:rPr>
          <w:sz w:val="22"/>
        </w:rPr>
      </w:pPr>
      <w:r>
        <w:rPr>
          <w:sz w:val="22"/>
        </w:rPr>
        <w:t>Asnjë zotërues i licencave kombëtare të transmetimeve audio dhe licencave kombëtare të transmetimit audioviziv, përfshirë OSHMA-të, të licencuar për shërbimin e programit audioviziv dhe/ose të autorizuar për shërbimin e programeve të mbështetura në rrjete satelitore, në bazë të këtij ligji, nuk mund të transmetojë më shumë se 30 për qind të reklamave në tregun e transmetimeve audiovizive. AMA monitoron dhe publikon informacion periodik mbi volumin e reklamave të transmetuara nga OSHMA-të kombëtare.</w:t>
      </w:r>
    </w:p>
    <w:p>
      <w:pPr>
        <w:pStyle w:val="BodyText"/>
        <w:spacing w:before="9"/>
        <w:ind w:left="0" w:firstLine="0"/>
        <w:rPr>
          <w:sz w:val="21"/>
        </w:rPr>
      </w:pPr>
    </w:p>
    <w:p>
      <w:pPr>
        <w:pStyle w:val="BodyText"/>
        <w:ind w:left="146" w:right="146" w:firstLine="0"/>
        <w:jc w:val="center"/>
      </w:pPr>
      <w:r>
        <w:rPr/>
        <w:t>Neni 63</w:t>
      </w:r>
    </w:p>
    <w:p>
      <w:pPr>
        <w:pStyle w:val="Heading1"/>
        <w:spacing w:before="6"/>
        <w:ind w:right="145"/>
      </w:pPr>
      <w:r>
        <w:rPr/>
        <w:t>Shfrytëzimi i multipleksit</w:t>
      </w:r>
    </w:p>
    <w:p>
      <w:pPr>
        <w:pStyle w:val="BodyText"/>
        <w:spacing w:before="7"/>
        <w:ind w:left="0" w:firstLine="0"/>
        <w:rPr>
          <w:b/>
          <w:sz w:val="21"/>
        </w:rPr>
      </w:pPr>
    </w:p>
    <w:p>
      <w:pPr>
        <w:pStyle w:val="ListParagraph"/>
        <w:numPr>
          <w:ilvl w:val="0"/>
          <w:numId w:val="126"/>
        </w:numPr>
        <w:tabs>
          <w:tab w:pos="1114" w:val="left" w:leader="none"/>
        </w:tabs>
        <w:spacing w:line="240" w:lineRule="auto" w:before="0" w:after="0"/>
        <w:ind w:left="120" w:right="114" w:firstLine="720"/>
        <w:jc w:val="both"/>
        <w:rPr>
          <w:sz w:val="22"/>
        </w:rPr>
      </w:pPr>
      <w:r>
        <w:rPr>
          <w:sz w:val="22"/>
        </w:rPr>
        <w:t>Mbajtësit e licencave kombëtare, rajonale e lokale të transmetimeve numerike audio dhe licencave kombëtare numerike të transmetimit audioviziv janë të detyruar t’u japin akses në kushte të drejta, të arsyeshme dhe jodiskriminuese, në jo më pak se 40 për qind të kapacitetit të multipleksit të tyre, OSHMA-ve që zotërojnë licencë shërbimi programi audio dhe/ose licencë shërbimi programi</w:t>
      </w:r>
      <w:r>
        <w:rPr>
          <w:spacing w:val="-24"/>
          <w:sz w:val="22"/>
        </w:rPr>
        <w:t> </w:t>
      </w:r>
      <w:r>
        <w:rPr>
          <w:sz w:val="22"/>
        </w:rPr>
        <w:t>audioviziv.</w:t>
      </w:r>
    </w:p>
    <w:p>
      <w:pPr>
        <w:pStyle w:val="ListParagraph"/>
        <w:numPr>
          <w:ilvl w:val="0"/>
          <w:numId w:val="126"/>
        </w:numPr>
        <w:tabs>
          <w:tab w:pos="1109" w:val="left" w:leader="none"/>
        </w:tabs>
        <w:spacing w:line="240" w:lineRule="auto" w:before="0" w:after="0"/>
        <w:ind w:left="120" w:right="115" w:firstLine="720"/>
        <w:jc w:val="both"/>
        <w:rPr>
          <w:sz w:val="22"/>
        </w:rPr>
      </w:pPr>
      <w:r>
        <w:rPr>
          <w:sz w:val="22"/>
        </w:rPr>
        <w:t>Pavarësisht përcaktimeve të pikës 1 të këtij neni, një subjekt i licencuar për transmetime numerike ose për ofrimin e shërbimit të programit audio ose audioviziv, nuk mund të ketë më shumë se një të tretën e sasisë së përgjithshme të programeve përkatëse lokale, rajonale dhe</w:t>
      </w:r>
      <w:r>
        <w:rPr>
          <w:spacing w:val="-19"/>
          <w:sz w:val="22"/>
        </w:rPr>
        <w:t> </w:t>
      </w:r>
      <w:r>
        <w:rPr>
          <w:sz w:val="22"/>
        </w:rPr>
        <w:t>kombëtare.</w:t>
      </w:r>
    </w:p>
    <w:p>
      <w:pPr>
        <w:pStyle w:val="ListParagraph"/>
        <w:numPr>
          <w:ilvl w:val="0"/>
          <w:numId w:val="126"/>
        </w:numPr>
        <w:tabs>
          <w:tab w:pos="1114" w:val="left" w:leader="none"/>
        </w:tabs>
        <w:spacing w:line="240" w:lineRule="auto" w:before="0" w:after="0"/>
        <w:ind w:left="119" w:right="112" w:firstLine="720"/>
        <w:jc w:val="both"/>
        <w:rPr>
          <w:sz w:val="22"/>
        </w:rPr>
      </w:pPr>
      <w:r>
        <w:rPr>
          <w:sz w:val="22"/>
        </w:rPr>
        <w:t>Mbajtësit e licencave kombëtare, rajonale e lokale të transmetimeve numerike audio dhe licencave kombëtare numerike të transmetimit audioviziv ofrojnë aksesin për transmetim në rrjetin numerik, mbi bazën e marrëveshjeve tregtare me OSHMA-të. Tarifat për dhënien e aksesit për transmetim në rrjetin numerik duhet të orientohen në</w:t>
      </w:r>
      <w:r>
        <w:rPr>
          <w:spacing w:val="-8"/>
          <w:sz w:val="22"/>
        </w:rPr>
        <w:t> </w:t>
      </w:r>
      <w:r>
        <w:rPr>
          <w:sz w:val="22"/>
        </w:rPr>
        <w:t>kosto.</w:t>
      </w:r>
    </w:p>
    <w:p>
      <w:pPr>
        <w:pStyle w:val="ListParagraph"/>
        <w:numPr>
          <w:ilvl w:val="0"/>
          <w:numId w:val="126"/>
        </w:numPr>
        <w:tabs>
          <w:tab w:pos="1078" w:val="left" w:leader="none"/>
        </w:tabs>
        <w:spacing w:line="240" w:lineRule="auto" w:before="0" w:after="0"/>
        <w:ind w:left="119" w:right="114" w:firstLine="720"/>
        <w:jc w:val="both"/>
        <w:rPr>
          <w:sz w:val="22"/>
        </w:rPr>
      </w:pPr>
      <w:r>
        <w:rPr>
          <w:sz w:val="22"/>
        </w:rPr>
        <w:t>AMA siguron që të gjitha shërbimet që u ofrohen OSHMA-ve, që zotërojnë licencë shërbimi programi audio dhe ose licencë shërbimi programi audioviziv, nga mbajtësit e licencave kombëtare, rajonale e lokale të transmetimeve numerike audio dhe licencave kombëtare numerike të transmetimit audioviziv, bazohen në kushte të drejta, të arsyeshme dhe</w:t>
      </w:r>
      <w:r>
        <w:rPr>
          <w:spacing w:val="-10"/>
          <w:sz w:val="22"/>
        </w:rPr>
        <w:t> </w:t>
      </w:r>
      <w:r>
        <w:rPr>
          <w:sz w:val="22"/>
        </w:rPr>
        <w:t>jodiskriminuese.</w:t>
      </w:r>
    </w:p>
    <w:p>
      <w:pPr>
        <w:pStyle w:val="ListParagraph"/>
        <w:numPr>
          <w:ilvl w:val="0"/>
          <w:numId w:val="126"/>
        </w:numPr>
        <w:tabs>
          <w:tab w:pos="1066" w:val="left" w:leader="none"/>
        </w:tabs>
        <w:spacing w:line="240" w:lineRule="auto" w:before="0" w:after="0"/>
        <w:ind w:left="120" w:right="114" w:firstLine="720"/>
        <w:jc w:val="both"/>
        <w:rPr>
          <w:sz w:val="22"/>
        </w:rPr>
      </w:pPr>
      <w:r>
        <w:rPr>
          <w:sz w:val="22"/>
        </w:rPr>
        <w:t>Në rast mosmarrëveshjesh midis OSHMA-ve dhe mbajtësve të licencave kombëtare, rajonale e lokale të transmetimeve numerike audio dhe licencave kombëtare numerike të transmetimit audioviziv, palët i drejtohen</w:t>
      </w:r>
      <w:r>
        <w:rPr>
          <w:spacing w:val="-2"/>
          <w:sz w:val="22"/>
        </w:rPr>
        <w:t> </w:t>
      </w:r>
      <w:r>
        <w:rPr>
          <w:sz w:val="22"/>
        </w:rPr>
        <w:t>AMA-s.</w:t>
      </w:r>
    </w:p>
    <w:p>
      <w:pPr>
        <w:pStyle w:val="ListParagraph"/>
        <w:numPr>
          <w:ilvl w:val="0"/>
          <w:numId w:val="126"/>
        </w:numPr>
        <w:tabs>
          <w:tab w:pos="1131" w:val="left" w:leader="none"/>
        </w:tabs>
        <w:spacing w:line="240" w:lineRule="auto" w:before="0" w:after="0"/>
        <w:ind w:left="119" w:right="114" w:firstLine="720"/>
        <w:jc w:val="both"/>
        <w:rPr>
          <w:sz w:val="22"/>
        </w:rPr>
      </w:pPr>
      <w:r>
        <w:rPr>
          <w:sz w:val="22"/>
        </w:rPr>
        <w:t>AMA, duke mbajtur parasysh garantimin e aksesit të barabartë dhe jodiskriminues për OSHMA-të, garantimin e konkurrencës së ndershme dhe shumëllojshmërisë së shërbimeve, pasi dëgjon pretendimet e palëve, vendos për zgjidhjen e</w:t>
      </w:r>
      <w:r>
        <w:rPr>
          <w:spacing w:val="-3"/>
          <w:sz w:val="22"/>
        </w:rPr>
        <w:t> </w:t>
      </w:r>
      <w:r>
        <w:rPr>
          <w:sz w:val="22"/>
        </w:rPr>
        <w:t>mosmarrëveshjes.</w:t>
      </w:r>
    </w:p>
    <w:p>
      <w:pPr>
        <w:pStyle w:val="ListParagraph"/>
        <w:numPr>
          <w:ilvl w:val="0"/>
          <w:numId w:val="126"/>
        </w:numPr>
        <w:tabs>
          <w:tab w:pos="1061" w:val="left" w:leader="none"/>
        </w:tabs>
        <w:spacing w:line="252" w:lineRule="exact" w:before="0" w:after="0"/>
        <w:ind w:left="1060" w:right="0" w:hanging="222"/>
        <w:jc w:val="both"/>
        <w:rPr>
          <w:sz w:val="22"/>
        </w:rPr>
      </w:pPr>
      <w:r>
        <w:rPr>
          <w:sz w:val="22"/>
        </w:rPr>
        <w:t>Kundër vendimit të AMA-s, palët mund të bëjnë ankim</w:t>
      </w:r>
      <w:r>
        <w:rPr>
          <w:spacing w:val="-7"/>
          <w:sz w:val="22"/>
        </w:rPr>
        <w:t> </w:t>
      </w:r>
      <w:r>
        <w:rPr>
          <w:sz w:val="22"/>
        </w:rPr>
        <w:t>gjykatë.</w:t>
      </w:r>
    </w:p>
    <w:p>
      <w:pPr>
        <w:pStyle w:val="BodyText"/>
        <w:spacing w:before="10"/>
        <w:ind w:left="0" w:firstLine="0"/>
        <w:rPr>
          <w:sz w:val="21"/>
        </w:rPr>
      </w:pPr>
    </w:p>
    <w:p>
      <w:pPr>
        <w:pStyle w:val="BodyText"/>
        <w:ind w:left="146" w:right="146" w:firstLine="0"/>
        <w:jc w:val="center"/>
      </w:pPr>
      <w:r>
        <w:rPr/>
        <w:t>Neni 64</w:t>
      </w:r>
    </w:p>
    <w:p>
      <w:pPr>
        <w:pStyle w:val="Heading1"/>
      </w:pPr>
      <w:r>
        <w:rPr/>
        <w:t>Autorizimet për shërbimet e programeve audio dhe audiovizive</w:t>
      </w:r>
    </w:p>
    <w:p>
      <w:pPr>
        <w:pStyle w:val="BodyText"/>
        <w:spacing w:before="7"/>
        <w:ind w:left="0" w:firstLine="0"/>
        <w:rPr>
          <w:b/>
          <w:sz w:val="21"/>
        </w:rPr>
      </w:pPr>
    </w:p>
    <w:p>
      <w:pPr>
        <w:pStyle w:val="ListParagraph"/>
        <w:numPr>
          <w:ilvl w:val="0"/>
          <w:numId w:val="127"/>
        </w:numPr>
        <w:tabs>
          <w:tab w:pos="1066" w:val="left" w:leader="none"/>
        </w:tabs>
        <w:spacing w:line="240" w:lineRule="auto" w:before="0" w:after="0"/>
        <w:ind w:left="120" w:right="115" w:firstLine="720"/>
        <w:jc w:val="both"/>
        <w:rPr>
          <w:sz w:val="22"/>
        </w:rPr>
      </w:pPr>
      <w:r>
        <w:rPr>
          <w:sz w:val="22"/>
        </w:rPr>
        <w:t>Ofrimi i shërbimeve të programeve audio dhe audiovizive që mbështeten në rrjete të ndryshme nga rrjetet tokësore analoge apo numerike, sipas përcaktimeve të pikave 2 dhe 3 të nenit 54 të këtij ligji, bëhet me autorizim të AMA-s pa garë, mbi bazën e kërkesës. Subjekti që bën kërkesën duhet të jetë paraprakisht</w:t>
      </w:r>
      <w:r>
        <w:rPr>
          <w:spacing w:val="27"/>
          <w:sz w:val="22"/>
        </w:rPr>
        <w:t> </w:t>
      </w:r>
      <w:r>
        <w:rPr>
          <w:sz w:val="22"/>
        </w:rPr>
        <w:t>i</w:t>
      </w:r>
      <w:r>
        <w:rPr>
          <w:spacing w:val="27"/>
          <w:sz w:val="22"/>
        </w:rPr>
        <w:t> </w:t>
      </w:r>
      <w:r>
        <w:rPr>
          <w:sz w:val="22"/>
        </w:rPr>
        <w:t>regjistruar</w:t>
      </w:r>
      <w:r>
        <w:rPr>
          <w:spacing w:val="24"/>
          <w:sz w:val="22"/>
        </w:rPr>
        <w:t> </w:t>
      </w:r>
      <w:r>
        <w:rPr>
          <w:sz w:val="22"/>
        </w:rPr>
        <w:t>në</w:t>
      </w:r>
      <w:r>
        <w:rPr>
          <w:spacing w:val="26"/>
          <w:sz w:val="22"/>
        </w:rPr>
        <w:t> </w:t>
      </w:r>
      <w:r>
        <w:rPr>
          <w:sz w:val="22"/>
        </w:rPr>
        <w:t>AKEP,</w:t>
      </w:r>
      <w:r>
        <w:rPr>
          <w:spacing w:val="25"/>
          <w:sz w:val="22"/>
        </w:rPr>
        <w:t> </w:t>
      </w:r>
      <w:r>
        <w:rPr>
          <w:sz w:val="22"/>
        </w:rPr>
        <w:t>sipas</w:t>
      </w:r>
      <w:r>
        <w:rPr>
          <w:spacing w:val="27"/>
          <w:sz w:val="22"/>
        </w:rPr>
        <w:t> </w:t>
      </w:r>
      <w:r>
        <w:rPr>
          <w:sz w:val="22"/>
        </w:rPr>
        <w:t>përcaktimeve</w:t>
      </w:r>
      <w:r>
        <w:rPr>
          <w:spacing w:val="26"/>
          <w:sz w:val="22"/>
        </w:rPr>
        <w:t> </w:t>
      </w:r>
      <w:r>
        <w:rPr>
          <w:sz w:val="22"/>
        </w:rPr>
        <w:t>të</w:t>
      </w:r>
      <w:r>
        <w:rPr>
          <w:spacing w:val="26"/>
          <w:sz w:val="22"/>
        </w:rPr>
        <w:t> </w:t>
      </w:r>
      <w:r>
        <w:rPr>
          <w:sz w:val="22"/>
        </w:rPr>
        <w:t>ligjit</w:t>
      </w:r>
      <w:r>
        <w:rPr>
          <w:spacing w:val="26"/>
          <w:sz w:val="22"/>
        </w:rPr>
        <w:t> </w:t>
      </w:r>
      <w:r>
        <w:rPr>
          <w:sz w:val="22"/>
        </w:rPr>
        <w:t>nr.</w:t>
      </w:r>
      <w:r>
        <w:rPr>
          <w:spacing w:val="25"/>
          <w:sz w:val="22"/>
        </w:rPr>
        <w:t> </w:t>
      </w:r>
      <w:r>
        <w:rPr>
          <w:sz w:val="22"/>
        </w:rPr>
        <w:t>9918,</w:t>
      </w:r>
      <w:r>
        <w:rPr>
          <w:spacing w:val="26"/>
          <w:sz w:val="22"/>
        </w:rPr>
        <w:t> </w:t>
      </w:r>
      <w:r>
        <w:rPr>
          <w:sz w:val="22"/>
        </w:rPr>
        <w:t>datë</w:t>
      </w:r>
      <w:r>
        <w:rPr>
          <w:spacing w:val="26"/>
          <w:sz w:val="22"/>
        </w:rPr>
        <w:t> </w:t>
      </w:r>
      <w:r>
        <w:rPr>
          <w:sz w:val="22"/>
        </w:rPr>
        <w:t>19.05.2008</w:t>
      </w:r>
      <w:r>
        <w:rPr>
          <w:spacing w:val="25"/>
          <w:sz w:val="22"/>
        </w:rPr>
        <w:t> </w:t>
      </w:r>
      <w:r>
        <w:rPr>
          <w:sz w:val="22"/>
        </w:rPr>
        <w:t>“Për</w:t>
      </w:r>
    </w:p>
    <w:p>
      <w:pPr>
        <w:spacing w:after="0" w:line="240" w:lineRule="auto"/>
        <w:jc w:val="both"/>
        <w:rPr>
          <w:sz w:val="22"/>
        </w:rPr>
        <w:sectPr>
          <w:pgSz w:w="12240" w:h="15840"/>
          <w:pgMar w:top="1360" w:bottom="280" w:left="1320" w:right="1320"/>
        </w:sectPr>
      </w:pPr>
    </w:p>
    <w:p>
      <w:pPr>
        <w:pStyle w:val="BodyText"/>
        <w:spacing w:line="252" w:lineRule="exact" w:before="74"/>
        <w:ind w:firstLine="0"/>
        <w:jc w:val="both"/>
      </w:pPr>
      <w:r>
        <w:rPr/>
        <w:t>komunikimet elektronike në Republikën e Shqipërisë”.</w:t>
      </w:r>
    </w:p>
    <w:p>
      <w:pPr>
        <w:pStyle w:val="ListParagraph"/>
        <w:numPr>
          <w:ilvl w:val="0"/>
          <w:numId w:val="127"/>
        </w:numPr>
        <w:tabs>
          <w:tab w:pos="1061" w:val="left" w:leader="none"/>
        </w:tabs>
        <w:spacing w:line="252" w:lineRule="exact" w:before="0" w:after="0"/>
        <w:ind w:left="1060" w:right="0" w:hanging="221"/>
        <w:jc w:val="both"/>
        <w:rPr>
          <w:sz w:val="22"/>
        </w:rPr>
      </w:pPr>
      <w:r>
        <w:rPr>
          <w:sz w:val="22"/>
        </w:rPr>
        <w:t>AMA garanton që i</w:t>
      </w:r>
      <w:r>
        <w:rPr>
          <w:spacing w:val="-3"/>
          <w:sz w:val="22"/>
        </w:rPr>
        <w:t> </w:t>
      </w:r>
      <w:r>
        <w:rPr>
          <w:sz w:val="22"/>
        </w:rPr>
        <w:t>autorizuari:</w:t>
      </w:r>
    </w:p>
    <w:p>
      <w:pPr>
        <w:pStyle w:val="ListParagraph"/>
        <w:numPr>
          <w:ilvl w:val="0"/>
          <w:numId w:val="128"/>
        </w:numPr>
        <w:tabs>
          <w:tab w:pos="1081" w:val="left" w:leader="none"/>
        </w:tabs>
        <w:spacing w:line="240" w:lineRule="auto" w:before="1" w:after="0"/>
        <w:ind w:left="120" w:right="113" w:firstLine="720"/>
        <w:jc w:val="both"/>
        <w:rPr>
          <w:sz w:val="22"/>
        </w:rPr>
      </w:pPr>
      <w:r>
        <w:rPr>
          <w:sz w:val="22"/>
        </w:rPr>
        <w:t>të jetë përgjegjës në lidhje me interesat dhe ndjeshmërinë publike, të respektojë mirëkuptimin dhe bashkekzistencën shoqërore të të gjithë individëve në Republikën e Shqipërisë, të respektojë kërkesat e këtij ligji dhe kushtet e autorizimit, të përcaktuara nga</w:t>
      </w:r>
      <w:r>
        <w:rPr>
          <w:spacing w:val="-3"/>
          <w:sz w:val="22"/>
        </w:rPr>
        <w:t> </w:t>
      </w:r>
      <w:r>
        <w:rPr>
          <w:sz w:val="22"/>
        </w:rPr>
        <w:t>AMA;</w:t>
      </w:r>
    </w:p>
    <w:p>
      <w:pPr>
        <w:pStyle w:val="ListParagraph"/>
        <w:numPr>
          <w:ilvl w:val="0"/>
          <w:numId w:val="128"/>
        </w:numPr>
        <w:tabs>
          <w:tab w:pos="1126" w:val="left" w:leader="none"/>
        </w:tabs>
        <w:spacing w:line="240" w:lineRule="auto" w:before="0" w:after="0"/>
        <w:ind w:left="120" w:right="115" w:firstLine="720"/>
        <w:jc w:val="both"/>
        <w:rPr>
          <w:sz w:val="22"/>
        </w:rPr>
      </w:pPr>
      <w:r>
        <w:rPr>
          <w:sz w:val="22"/>
        </w:rPr>
        <w:t>të nxisë vlerat demokratike të përcaktuara në Kushtetutën e Shqipërisë dhe në veçanti të drejtën e lirisë së shprehjes dhe të</w:t>
      </w:r>
      <w:r>
        <w:rPr>
          <w:spacing w:val="-8"/>
          <w:sz w:val="22"/>
        </w:rPr>
        <w:t> </w:t>
      </w:r>
      <w:r>
        <w:rPr>
          <w:sz w:val="22"/>
        </w:rPr>
        <w:t>informimit.</w:t>
      </w:r>
    </w:p>
    <w:p>
      <w:pPr>
        <w:pStyle w:val="ListParagraph"/>
        <w:numPr>
          <w:ilvl w:val="0"/>
          <w:numId w:val="127"/>
        </w:numPr>
        <w:tabs>
          <w:tab w:pos="1076" w:val="left" w:leader="none"/>
        </w:tabs>
        <w:spacing w:line="240" w:lineRule="auto" w:before="0" w:after="0"/>
        <w:ind w:left="120" w:right="115" w:firstLine="720"/>
        <w:jc w:val="both"/>
        <w:rPr>
          <w:sz w:val="22"/>
        </w:rPr>
      </w:pPr>
      <w:r>
        <w:rPr>
          <w:sz w:val="22"/>
        </w:rPr>
        <w:t>Autorizimi u jepet mbi bazën e kërkesës, subjekteve që plotësojnë kërkesat e këtij ligji lidhur me programet audio dhe</w:t>
      </w:r>
      <w:r>
        <w:rPr>
          <w:spacing w:val="-2"/>
          <w:sz w:val="22"/>
        </w:rPr>
        <w:t> </w:t>
      </w:r>
      <w:r>
        <w:rPr>
          <w:sz w:val="22"/>
        </w:rPr>
        <w:t>audiovizive.</w:t>
      </w:r>
    </w:p>
    <w:p>
      <w:pPr>
        <w:pStyle w:val="ListParagraph"/>
        <w:numPr>
          <w:ilvl w:val="0"/>
          <w:numId w:val="127"/>
        </w:numPr>
        <w:tabs>
          <w:tab w:pos="1078" w:val="left" w:leader="none"/>
        </w:tabs>
        <w:spacing w:line="240" w:lineRule="auto" w:before="0" w:after="0"/>
        <w:ind w:left="120" w:right="117" w:firstLine="719"/>
        <w:jc w:val="both"/>
        <w:rPr>
          <w:sz w:val="22"/>
        </w:rPr>
      </w:pPr>
      <w:r>
        <w:rPr>
          <w:sz w:val="22"/>
        </w:rPr>
        <w:t>Autorizimi jepet pas shqyrtimit të dokumentacionit të plotësuar sipas kritereve të përcaktuara nga AMA me rregullore të</w:t>
      </w:r>
      <w:r>
        <w:rPr>
          <w:spacing w:val="-4"/>
          <w:sz w:val="22"/>
        </w:rPr>
        <w:t> </w:t>
      </w:r>
      <w:r>
        <w:rPr>
          <w:sz w:val="22"/>
        </w:rPr>
        <w:t>veçantë.</w:t>
      </w:r>
    </w:p>
    <w:p>
      <w:pPr>
        <w:pStyle w:val="ListParagraph"/>
        <w:numPr>
          <w:ilvl w:val="0"/>
          <w:numId w:val="127"/>
        </w:numPr>
        <w:tabs>
          <w:tab w:pos="1098" w:val="left" w:leader="none"/>
        </w:tabs>
        <w:spacing w:line="240" w:lineRule="auto" w:before="0" w:after="0"/>
        <w:ind w:left="120" w:right="114" w:firstLine="720"/>
        <w:jc w:val="both"/>
        <w:rPr>
          <w:sz w:val="22"/>
        </w:rPr>
      </w:pPr>
      <w:r>
        <w:rPr>
          <w:sz w:val="22"/>
        </w:rPr>
        <w:t>Autorizimi jepet brenda 30 ditëve nga marrja e kërkesës së plotësuar. Refuzimi i aplikimit bëhet gjithmonë kundrejt një vendimi të arsyetuar. Nëse AMA nuk shprehet brenda afatit të mësipërm, nga data e marrjes së aplikimit të plotë, autorizimi konsiderohet i</w:t>
      </w:r>
      <w:r>
        <w:rPr>
          <w:spacing w:val="-6"/>
          <w:sz w:val="22"/>
        </w:rPr>
        <w:t> </w:t>
      </w:r>
      <w:r>
        <w:rPr>
          <w:sz w:val="22"/>
        </w:rPr>
        <w:t>miratuar.</w:t>
      </w:r>
    </w:p>
    <w:p>
      <w:pPr>
        <w:pStyle w:val="ListParagraph"/>
        <w:numPr>
          <w:ilvl w:val="0"/>
          <w:numId w:val="127"/>
        </w:numPr>
        <w:tabs>
          <w:tab w:pos="1062" w:val="left" w:leader="none"/>
        </w:tabs>
        <w:spacing w:line="252" w:lineRule="exact" w:before="0" w:after="0"/>
        <w:ind w:left="1061" w:right="0" w:hanging="222"/>
        <w:jc w:val="both"/>
        <w:rPr>
          <w:sz w:val="22"/>
        </w:rPr>
      </w:pPr>
      <w:r>
        <w:rPr>
          <w:sz w:val="22"/>
        </w:rPr>
        <w:t>Autorizimi jepet për një afat 5-vjeçar me të drejtë</w:t>
      </w:r>
      <w:r>
        <w:rPr>
          <w:spacing w:val="-6"/>
          <w:sz w:val="22"/>
        </w:rPr>
        <w:t> </w:t>
      </w:r>
      <w:r>
        <w:rPr>
          <w:sz w:val="22"/>
        </w:rPr>
        <w:t>rinovimi.</w:t>
      </w:r>
    </w:p>
    <w:p>
      <w:pPr>
        <w:pStyle w:val="ListParagraph"/>
        <w:numPr>
          <w:ilvl w:val="0"/>
          <w:numId w:val="127"/>
        </w:numPr>
        <w:tabs>
          <w:tab w:pos="1061" w:val="left" w:leader="none"/>
        </w:tabs>
        <w:spacing w:line="240" w:lineRule="auto" w:before="0" w:after="0"/>
        <w:ind w:left="120" w:right="113" w:firstLine="720"/>
        <w:jc w:val="both"/>
        <w:rPr>
          <w:sz w:val="22"/>
        </w:rPr>
      </w:pPr>
      <w:r>
        <w:rPr>
          <w:sz w:val="22"/>
        </w:rPr>
        <w:t>AMA mund të rinovojë këtë autorizim në bazë të plotësimit të kushteve të mësipërme dhe sipas procedurave të vendosura paraprakisht prej</w:t>
      </w:r>
      <w:r>
        <w:rPr>
          <w:spacing w:val="1"/>
          <w:sz w:val="22"/>
        </w:rPr>
        <w:t> </w:t>
      </w:r>
      <w:r>
        <w:rPr>
          <w:sz w:val="22"/>
        </w:rPr>
        <w:t>saj.</w:t>
      </w:r>
    </w:p>
    <w:p>
      <w:pPr>
        <w:pStyle w:val="ListParagraph"/>
        <w:numPr>
          <w:ilvl w:val="0"/>
          <w:numId w:val="127"/>
        </w:numPr>
        <w:tabs>
          <w:tab w:pos="1061" w:val="left" w:leader="none"/>
        </w:tabs>
        <w:spacing w:line="240" w:lineRule="auto" w:before="0" w:after="0"/>
        <w:ind w:left="120" w:right="113" w:firstLine="720"/>
        <w:jc w:val="both"/>
        <w:rPr>
          <w:sz w:val="22"/>
        </w:rPr>
      </w:pPr>
      <w:r>
        <w:rPr>
          <w:sz w:val="22"/>
        </w:rPr>
        <w:t>Mbajtësi i licencës për transmetime audio ose për transmetime audiovizive ka të drejtë të ofrojë shërbime satelitore kundrejt regjistrimit, në përputhje me procedurat e përcaktuara nga</w:t>
      </w:r>
      <w:r>
        <w:rPr>
          <w:spacing w:val="-15"/>
          <w:sz w:val="22"/>
        </w:rPr>
        <w:t> </w:t>
      </w:r>
      <w:r>
        <w:rPr>
          <w:sz w:val="22"/>
        </w:rPr>
        <w:t>AMA.</w:t>
      </w:r>
    </w:p>
    <w:p>
      <w:pPr>
        <w:pStyle w:val="BodyText"/>
        <w:spacing w:before="10"/>
        <w:ind w:left="0" w:firstLine="0"/>
        <w:rPr>
          <w:sz w:val="21"/>
        </w:rPr>
      </w:pPr>
    </w:p>
    <w:p>
      <w:pPr>
        <w:pStyle w:val="BodyText"/>
        <w:ind w:left="146" w:right="146" w:firstLine="0"/>
        <w:jc w:val="center"/>
      </w:pPr>
      <w:r>
        <w:rPr/>
        <w:t>Neni 65</w:t>
      </w:r>
    </w:p>
    <w:p>
      <w:pPr>
        <w:pStyle w:val="Heading1"/>
        <w:spacing w:before="6"/>
        <w:ind w:right="144"/>
      </w:pPr>
      <w:r>
        <w:rPr/>
        <w:t>Kushtet e licencës së transmetimit audio</w:t>
      </w:r>
    </w:p>
    <w:p>
      <w:pPr>
        <w:pStyle w:val="BodyText"/>
        <w:spacing w:before="5"/>
        <w:ind w:left="0" w:firstLine="0"/>
        <w:rPr>
          <w:b/>
          <w:sz w:val="21"/>
        </w:rPr>
      </w:pPr>
    </w:p>
    <w:p>
      <w:pPr>
        <w:pStyle w:val="ListParagraph"/>
        <w:numPr>
          <w:ilvl w:val="0"/>
          <w:numId w:val="129"/>
        </w:numPr>
        <w:tabs>
          <w:tab w:pos="1076" w:val="left" w:leader="none"/>
        </w:tabs>
        <w:spacing w:line="240" w:lineRule="auto" w:before="0" w:after="0"/>
        <w:ind w:left="120" w:right="115" w:firstLine="720"/>
        <w:jc w:val="both"/>
        <w:rPr>
          <w:sz w:val="22"/>
        </w:rPr>
      </w:pPr>
      <w:r>
        <w:rPr>
          <w:sz w:val="22"/>
        </w:rPr>
        <w:t>Licenca e transmetimit audio mund të përmbajë kushte dhe kërkesa që AMA i vlerëson dhe i përcakton si të nevojshme në licencë. AMA publikon paraprakisht termat dhe kushtet e licencës së transmetimeve</w:t>
      </w:r>
      <w:r>
        <w:rPr>
          <w:spacing w:val="-1"/>
          <w:sz w:val="22"/>
        </w:rPr>
        <w:t> </w:t>
      </w:r>
      <w:r>
        <w:rPr>
          <w:sz w:val="22"/>
        </w:rPr>
        <w:t>audio.</w:t>
      </w:r>
    </w:p>
    <w:p>
      <w:pPr>
        <w:pStyle w:val="ListParagraph"/>
        <w:numPr>
          <w:ilvl w:val="0"/>
          <w:numId w:val="129"/>
        </w:numPr>
        <w:tabs>
          <w:tab w:pos="1061" w:val="left" w:leader="none"/>
        </w:tabs>
        <w:spacing w:line="252" w:lineRule="exact" w:before="2" w:after="0"/>
        <w:ind w:left="1060" w:right="0" w:hanging="221"/>
        <w:jc w:val="both"/>
        <w:rPr>
          <w:sz w:val="22"/>
        </w:rPr>
      </w:pPr>
      <w:r>
        <w:rPr>
          <w:sz w:val="22"/>
        </w:rPr>
        <w:t>Përveç të tjerave, në një licencë transmetimi audio AMA</w:t>
      </w:r>
      <w:r>
        <w:rPr>
          <w:spacing w:val="-8"/>
          <w:sz w:val="22"/>
        </w:rPr>
        <w:t> </w:t>
      </w:r>
      <w:r>
        <w:rPr>
          <w:sz w:val="22"/>
        </w:rPr>
        <w:t>përcakton:</w:t>
      </w:r>
    </w:p>
    <w:p>
      <w:pPr>
        <w:pStyle w:val="ListParagraph"/>
        <w:numPr>
          <w:ilvl w:val="0"/>
          <w:numId w:val="130"/>
        </w:numPr>
        <w:tabs>
          <w:tab w:pos="1069" w:val="left" w:leader="none"/>
        </w:tabs>
        <w:spacing w:line="252" w:lineRule="exact" w:before="0" w:after="0"/>
        <w:ind w:left="1068" w:right="0" w:hanging="229"/>
        <w:jc w:val="both"/>
        <w:rPr>
          <w:sz w:val="22"/>
        </w:rPr>
      </w:pPr>
      <w:r>
        <w:rPr>
          <w:sz w:val="22"/>
        </w:rPr>
        <w:t>afatin e</w:t>
      </w:r>
      <w:r>
        <w:rPr>
          <w:spacing w:val="-4"/>
          <w:sz w:val="22"/>
        </w:rPr>
        <w:t> </w:t>
      </w:r>
      <w:r>
        <w:rPr>
          <w:sz w:val="22"/>
        </w:rPr>
        <w:t>licencës;</w:t>
      </w:r>
    </w:p>
    <w:p>
      <w:pPr>
        <w:pStyle w:val="ListParagraph"/>
        <w:numPr>
          <w:ilvl w:val="0"/>
          <w:numId w:val="130"/>
        </w:numPr>
        <w:tabs>
          <w:tab w:pos="1107" w:val="left" w:leader="none"/>
        </w:tabs>
        <w:spacing w:line="240" w:lineRule="auto" w:before="0" w:after="0"/>
        <w:ind w:left="120" w:right="114" w:firstLine="720"/>
        <w:jc w:val="both"/>
        <w:rPr>
          <w:sz w:val="22"/>
        </w:rPr>
      </w:pPr>
      <w:r>
        <w:rPr>
          <w:sz w:val="22"/>
        </w:rPr>
        <w:t>kur një licencë mund të rinovohet, mënyrën, kushtet dhe kohën për të cilën mund të kryhet rinovimi;</w:t>
      </w:r>
    </w:p>
    <w:p>
      <w:pPr>
        <w:pStyle w:val="ListParagraph"/>
        <w:numPr>
          <w:ilvl w:val="0"/>
          <w:numId w:val="130"/>
        </w:numPr>
        <w:tabs>
          <w:tab w:pos="1069" w:val="left" w:leader="none"/>
        </w:tabs>
        <w:spacing w:line="240" w:lineRule="auto" w:before="0" w:after="0"/>
        <w:ind w:left="840" w:right="600" w:firstLine="0"/>
        <w:jc w:val="both"/>
        <w:rPr>
          <w:sz w:val="22"/>
        </w:rPr>
      </w:pPr>
      <w:r>
        <w:rPr>
          <w:sz w:val="22"/>
        </w:rPr>
        <w:t>kushtet për ndalimin e transferimit të të drejtave dhe detyrimeve që lindin nga kjo licencë; ç) kushtet për sigurimin e cilësisë, shtrirjes dhe llojeve të</w:t>
      </w:r>
      <w:r>
        <w:rPr>
          <w:spacing w:val="-6"/>
          <w:sz w:val="22"/>
        </w:rPr>
        <w:t> </w:t>
      </w:r>
      <w:r>
        <w:rPr>
          <w:sz w:val="22"/>
        </w:rPr>
        <w:t>programeve;</w:t>
      </w:r>
    </w:p>
    <w:p>
      <w:pPr>
        <w:pStyle w:val="ListParagraph"/>
        <w:numPr>
          <w:ilvl w:val="0"/>
          <w:numId w:val="130"/>
        </w:numPr>
        <w:tabs>
          <w:tab w:pos="1081" w:val="left" w:leader="none"/>
        </w:tabs>
        <w:spacing w:line="252" w:lineRule="exact" w:before="0" w:after="0"/>
        <w:ind w:left="1080" w:right="0" w:hanging="241"/>
        <w:jc w:val="both"/>
        <w:rPr>
          <w:sz w:val="22"/>
        </w:rPr>
      </w:pPr>
      <w:r>
        <w:rPr>
          <w:sz w:val="22"/>
        </w:rPr>
        <w:t>pagesat që i licencuari duhet të kryejë në favor të</w:t>
      </w:r>
      <w:r>
        <w:rPr>
          <w:spacing w:val="47"/>
          <w:sz w:val="22"/>
        </w:rPr>
        <w:t> </w:t>
      </w:r>
      <w:r>
        <w:rPr>
          <w:sz w:val="22"/>
        </w:rPr>
        <w:t>AMA-s.</w:t>
      </w:r>
    </w:p>
    <w:p>
      <w:pPr>
        <w:pStyle w:val="ListParagraph"/>
        <w:numPr>
          <w:ilvl w:val="0"/>
          <w:numId w:val="129"/>
        </w:numPr>
        <w:tabs>
          <w:tab w:pos="1090" w:val="left" w:leader="none"/>
        </w:tabs>
        <w:spacing w:line="240" w:lineRule="auto" w:before="0" w:after="0"/>
        <w:ind w:left="119" w:right="118" w:firstLine="720"/>
        <w:jc w:val="both"/>
        <w:rPr>
          <w:sz w:val="22"/>
        </w:rPr>
      </w:pPr>
      <w:r>
        <w:rPr>
          <w:sz w:val="22"/>
        </w:rPr>
        <w:t>Subjekti i licencuar duhet të njoftojë AMA-n për çdo ndryshim në të dhënat e shoqërisë së licencuar brenda një afati 30-ditor nga bërja e</w:t>
      </w:r>
      <w:r>
        <w:rPr>
          <w:spacing w:val="-1"/>
          <w:sz w:val="22"/>
        </w:rPr>
        <w:t> </w:t>
      </w:r>
      <w:r>
        <w:rPr>
          <w:sz w:val="22"/>
        </w:rPr>
        <w:t>ndryshimeve.</w:t>
      </w:r>
    </w:p>
    <w:p>
      <w:pPr>
        <w:pStyle w:val="ListParagraph"/>
        <w:numPr>
          <w:ilvl w:val="0"/>
          <w:numId w:val="129"/>
        </w:numPr>
        <w:tabs>
          <w:tab w:pos="1063" w:val="left" w:leader="none"/>
        </w:tabs>
        <w:spacing w:line="240" w:lineRule="auto" w:before="0" w:after="0"/>
        <w:ind w:left="119" w:right="114" w:firstLine="720"/>
        <w:jc w:val="both"/>
        <w:rPr>
          <w:sz w:val="22"/>
        </w:rPr>
      </w:pPr>
      <w:r>
        <w:rPr>
          <w:sz w:val="22"/>
        </w:rPr>
        <w:t>Çdo licencë transmetimi audio duhet të parashikojë detyrimin e të licencuarit për të paraqitur të dhënat mbi llogaritë e veta, bilancin ose informacionet e tjera që AMA vlerëson si të nevojshme për realizimin e funksioneve të</w:t>
      </w:r>
      <w:r>
        <w:rPr>
          <w:spacing w:val="-3"/>
          <w:sz w:val="22"/>
        </w:rPr>
        <w:t> </w:t>
      </w:r>
      <w:r>
        <w:rPr>
          <w:sz w:val="22"/>
        </w:rPr>
        <w:t>veta.</w:t>
      </w:r>
    </w:p>
    <w:p>
      <w:pPr>
        <w:pStyle w:val="ListParagraph"/>
        <w:numPr>
          <w:ilvl w:val="0"/>
          <w:numId w:val="129"/>
        </w:numPr>
        <w:tabs>
          <w:tab w:pos="1145" w:val="left" w:leader="none"/>
        </w:tabs>
        <w:spacing w:line="240" w:lineRule="auto" w:before="0" w:after="0"/>
        <w:ind w:left="119" w:right="116" w:firstLine="720"/>
        <w:jc w:val="both"/>
        <w:rPr>
          <w:sz w:val="22"/>
        </w:rPr>
      </w:pPr>
      <w:r>
        <w:rPr>
          <w:sz w:val="22"/>
        </w:rPr>
        <w:t>Licenca e transmetimit audio është dokument zyrtar, i administruar nga AMA, sipas përcaktimit të ligjit nr. 8503 datë 30.6.1999 “Për të drejtën e informimit për dokumentet</w:t>
      </w:r>
      <w:r>
        <w:rPr>
          <w:spacing w:val="-14"/>
          <w:sz w:val="22"/>
        </w:rPr>
        <w:t> </w:t>
      </w:r>
      <w:r>
        <w:rPr>
          <w:sz w:val="22"/>
        </w:rPr>
        <w:t>zyrtare”.</w:t>
      </w:r>
    </w:p>
    <w:p>
      <w:pPr>
        <w:pStyle w:val="ListParagraph"/>
        <w:numPr>
          <w:ilvl w:val="0"/>
          <w:numId w:val="129"/>
        </w:numPr>
        <w:tabs>
          <w:tab w:pos="1116" w:val="left" w:leader="none"/>
        </w:tabs>
        <w:spacing w:line="240" w:lineRule="auto" w:before="0" w:after="0"/>
        <w:ind w:left="119" w:right="113" w:firstLine="720"/>
        <w:jc w:val="both"/>
        <w:rPr>
          <w:sz w:val="22"/>
        </w:rPr>
      </w:pPr>
      <w:r>
        <w:rPr>
          <w:sz w:val="22"/>
        </w:rPr>
        <w:t>Pavarësisht përcaktimeve të nenit 37 të këtij ligji, licenca e transmetimit audio duhet të përfshijë një kusht që detyron të licencuarit e transmetimit të realizojnë regjistrimin dhe arkivimin e disa kategorive të programeve, të cilat mund të kontrollohen nga AMA gjatë kohëzgjatjes së licencës së transmetimit dhe për një afat deri në 6 vjet pas përfundimit të kësaj</w:t>
      </w:r>
      <w:r>
        <w:rPr>
          <w:spacing w:val="-9"/>
          <w:sz w:val="22"/>
        </w:rPr>
        <w:t> </w:t>
      </w:r>
      <w:r>
        <w:rPr>
          <w:sz w:val="22"/>
        </w:rPr>
        <w:t>licence.</w:t>
      </w:r>
    </w:p>
    <w:p>
      <w:pPr>
        <w:pStyle w:val="ListParagraph"/>
        <w:numPr>
          <w:ilvl w:val="0"/>
          <w:numId w:val="129"/>
        </w:numPr>
        <w:tabs>
          <w:tab w:pos="1063" w:val="left" w:leader="none"/>
        </w:tabs>
        <w:spacing w:line="240" w:lineRule="auto" w:before="0" w:after="0"/>
        <w:ind w:left="119" w:right="114" w:firstLine="720"/>
        <w:jc w:val="both"/>
        <w:rPr>
          <w:sz w:val="22"/>
        </w:rPr>
      </w:pPr>
      <w:r>
        <w:rPr>
          <w:sz w:val="22"/>
        </w:rPr>
        <w:t>AMA, brenda një viti nga miratimi i këtij ligji, përgatit një udhëzim me format dhe kategoritë e programeve të kërkuara për regjistrim dhe arkivim nga ana e subjekteve të licencuara të transmetimeve, sipas pikës 6 të këtij</w:t>
      </w:r>
      <w:r>
        <w:rPr>
          <w:spacing w:val="-3"/>
          <w:sz w:val="22"/>
        </w:rPr>
        <w:t> </w:t>
      </w:r>
      <w:r>
        <w:rPr>
          <w:sz w:val="22"/>
        </w:rPr>
        <w:t>neni.</w:t>
      </w:r>
    </w:p>
    <w:p>
      <w:pPr>
        <w:pStyle w:val="ListParagraph"/>
        <w:numPr>
          <w:ilvl w:val="0"/>
          <w:numId w:val="129"/>
        </w:numPr>
        <w:tabs>
          <w:tab w:pos="1073" w:val="left" w:leader="none"/>
        </w:tabs>
        <w:spacing w:line="240" w:lineRule="auto" w:before="0" w:after="0"/>
        <w:ind w:left="119" w:right="115" w:firstLine="720"/>
        <w:jc w:val="both"/>
        <w:rPr>
          <w:sz w:val="22"/>
        </w:rPr>
      </w:pPr>
      <w:r>
        <w:rPr>
          <w:sz w:val="22"/>
        </w:rPr>
        <w:t>Në hartimin e rregullave të përcaktuara në pikën 7 të këtij neni, AMA mban parasysh natyrën dhe sasinë e programeve të transmetuara nga i licencuari, si dhe shpenzimet financiare për këtë</w:t>
      </w:r>
      <w:r>
        <w:rPr>
          <w:spacing w:val="-20"/>
          <w:sz w:val="22"/>
        </w:rPr>
        <w:t> </w:t>
      </w:r>
      <w:r>
        <w:rPr>
          <w:sz w:val="22"/>
        </w:rPr>
        <w:t>qëllim.</w:t>
      </w:r>
    </w:p>
    <w:p>
      <w:pPr>
        <w:pStyle w:val="ListParagraph"/>
        <w:numPr>
          <w:ilvl w:val="0"/>
          <w:numId w:val="129"/>
        </w:numPr>
        <w:tabs>
          <w:tab w:pos="1102" w:val="left" w:leader="none"/>
        </w:tabs>
        <w:spacing w:line="240" w:lineRule="auto" w:before="0" w:after="0"/>
        <w:ind w:left="119" w:right="113" w:firstLine="720"/>
        <w:jc w:val="both"/>
        <w:rPr>
          <w:sz w:val="22"/>
        </w:rPr>
      </w:pPr>
      <w:r>
        <w:rPr>
          <w:sz w:val="22"/>
        </w:rPr>
        <w:t>Në realizimin e funksioneve të përcaktuara në pikat 7 dhe 8 të këtij neni, AMA vlerëson përmbajtjen e programeve, të</w:t>
      </w:r>
      <w:r>
        <w:rPr>
          <w:spacing w:val="-4"/>
          <w:sz w:val="22"/>
        </w:rPr>
        <w:t> </w:t>
      </w:r>
      <w:r>
        <w:rPr>
          <w:sz w:val="22"/>
        </w:rPr>
        <w:t>cilat:</w:t>
      </w:r>
    </w:p>
    <w:p>
      <w:pPr>
        <w:spacing w:after="0" w:line="240" w:lineRule="auto"/>
        <w:jc w:val="both"/>
        <w:rPr>
          <w:sz w:val="22"/>
        </w:rPr>
        <w:sectPr>
          <w:pgSz w:w="12240" w:h="15840"/>
          <w:pgMar w:top="1360" w:bottom="280" w:left="1320" w:right="1320"/>
        </w:sectPr>
      </w:pPr>
    </w:p>
    <w:p>
      <w:pPr>
        <w:pStyle w:val="ListParagraph"/>
        <w:numPr>
          <w:ilvl w:val="0"/>
          <w:numId w:val="131"/>
        </w:numPr>
        <w:tabs>
          <w:tab w:pos="1066" w:val="left" w:leader="none"/>
        </w:tabs>
        <w:spacing w:line="252" w:lineRule="exact" w:before="74" w:after="0"/>
        <w:ind w:left="1065" w:right="0" w:hanging="226"/>
        <w:jc w:val="both"/>
        <w:rPr>
          <w:sz w:val="22"/>
        </w:rPr>
      </w:pPr>
      <w:r>
        <w:rPr>
          <w:sz w:val="22"/>
        </w:rPr>
        <w:t>janë në gjuhën shqipe, apo lidhen me kulturën dhe aktualitetin</w:t>
      </w:r>
      <w:r>
        <w:rPr>
          <w:spacing w:val="-10"/>
          <w:sz w:val="22"/>
        </w:rPr>
        <w:t> </w:t>
      </w:r>
      <w:r>
        <w:rPr>
          <w:sz w:val="22"/>
        </w:rPr>
        <w:t>kombëtar;</w:t>
      </w:r>
    </w:p>
    <w:p>
      <w:pPr>
        <w:pStyle w:val="ListParagraph"/>
        <w:numPr>
          <w:ilvl w:val="0"/>
          <w:numId w:val="131"/>
        </w:numPr>
        <w:tabs>
          <w:tab w:pos="1081" w:val="left" w:leader="none"/>
        </w:tabs>
        <w:spacing w:line="252" w:lineRule="exact" w:before="0" w:after="0"/>
        <w:ind w:left="1080" w:right="0" w:hanging="241"/>
        <w:jc w:val="both"/>
        <w:rPr>
          <w:sz w:val="22"/>
        </w:rPr>
      </w:pPr>
      <w:r>
        <w:rPr>
          <w:sz w:val="22"/>
        </w:rPr>
        <w:t>lidhen me zhvillimet në fushën e muzikës, teatrit, shfaqjeve dhe veprimtari të tjera</w:t>
      </w:r>
      <w:r>
        <w:rPr>
          <w:spacing w:val="-22"/>
          <w:sz w:val="22"/>
        </w:rPr>
        <w:t> </w:t>
      </w:r>
      <w:r>
        <w:rPr>
          <w:sz w:val="22"/>
        </w:rPr>
        <w:t>kombëtare;</w:t>
      </w:r>
    </w:p>
    <w:p>
      <w:pPr>
        <w:pStyle w:val="ListParagraph"/>
        <w:numPr>
          <w:ilvl w:val="0"/>
          <w:numId w:val="131"/>
        </w:numPr>
        <w:tabs>
          <w:tab w:pos="1069" w:val="left" w:leader="none"/>
        </w:tabs>
        <w:spacing w:line="240" w:lineRule="auto" w:before="1" w:after="0"/>
        <w:ind w:left="120" w:right="114" w:firstLine="720"/>
        <w:jc w:val="both"/>
        <w:rPr>
          <w:sz w:val="22"/>
        </w:rPr>
      </w:pPr>
      <w:r>
        <w:rPr>
          <w:sz w:val="22"/>
        </w:rPr>
        <w:t>janë lajme, dokumentarë apo raportime, si dhe çdo kategori tjetër të përmbajtjes programore që AMA vlerëson se është e domosdoshme për t’u regjistruar dhe arkivuar nga ana e të</w:t>
      </w:r>
      <w:r>
        <w:rPr>
          <w:spacing w:val="-19"/>
          <w:sz w:val="22"/>
        </w:rPr>
        <w:t> </w:t>
      </w:r>
      <w:r>
        <w:rPr>
          <w:sz w:val="22"/>
        </w:rPr>
        <w:t>licencuarit.</w:t>
      </w:r>
    </w:p>
    <w:p>
      <w:pPr>
        <w:pStyle w:val="ListParagraph"/>
        <w:numPr>
          <w:ilvl w:val="0"/>
          <w:numId w:val="129"/>
        </w:numPr>
        <w:tabs>
          <w:tab w:pos="1234" w:val="left" w:leader="none"/>
        </w:tabs>
        <w:spacing w:line="240" w:lineRule="auto" w:before="0" w:after="0"/>
        <w:ind w:left="120" w:right="114" w:firstLine="720"/>
        <w:jc w:val="both"/>
        <w:rPr>
          <w:sz w:val="22"/>
        </w:rPr>
      </w:pPr>
      <w:r>
        <w:rPr>
          <w:sz w:val="22"/>
        </w:rPr>
        <w:t>AMA mund të realizojë me mjetet e veta regjistrimin dhe arkivimin e programeve të përcaktuara më sipër dhe administron këto programe, në përputhje me legjislacionin në fuqi për të drejtën e autorit dhe të drejtat e tjera të lidhura me</w:t>
      </w:r>
      <w:r>
        <w:rPr>
          <w:spacing w:val="-3"/>
          <w:sz w:val="22"/>
        </w:rPr>
        <w:t> </w:t>
      </w:r>
      <w:r>
        <w:rPr>
          <w:sz w:val="22"/>
        </w:rPr>
        <w:t>të.</w:t>
      </w:r>
    </w:p>
    <w:p>
      <w:pPr>
        <w:pStyle w:val="ListParagraph"/>
        <w:numPr>
          <w:ilvl w:val="0"/>
          <w:numId w:val="129"/>
        </w:numPr>
        <w:tabs>
          <w:tab w:pos="1172" w:val="left" w:leader="none"/>
        </w:tabs>
        <w:spacing w:line="252" w:lineRule="exact" w:before="0" w:after="0"/>
        <w:ind w:left="1171" w:right="0" w:hanging="332"/>
        <w:jc w:val="both"/>
        <w:rPr>
          <w:sz w:val="22"/>
        </w:rPr>
      </w:pPr>
      <w:r>
        <w:rPr>
          <w:sz w:val="22"/>
        </w:rPr>
        <w:t>AMA raporton në Kuvend çdo vit në lidhje me zbatimin e detyrimeve që rrjedhin nga ky</w:t>
      </w:r>
      <w:r>
        <w:rPr>
          <w:spacing w:val="-22"/>
          <w:sz w:val="22"/>
        </w:rPr>
        <w:t> </w:t>
      </w:r>
      <w:r>
        <w:rPr>
          <w:sz w:val="22"/>
        </w:rPr>
        <w:t>nen.</w:t>
      </w:r>
    </w:p>
    <w:p>
      <w:pPr>
        <w:pStyle w:val="BodyText"/>
        <w:ind w:left="0" w:firstLine="0"/>
      </w:pPr>
    </w:p>
    <w:p>
      <w:pPr>
        <w:pStyle w:val="BodyText"/>
        <w:spacing w:before="1"/>
        <w:ind w:left="146" w:right="146" w:firstLine="0"/>
        <w:jc w:val="center"/>
      </w:pPr>
      <w:r>
        <w:rPr/>
        <w:t>Neni 66</w:t>
      </w:r>
    </w:p>
    <w:p>
      <w:pPr>
        <w:pStyle w:val="Heading1"/>
        <w:spacing w:before="3"/>
      </w:pPr>
      <w:r>
        <w:rPr/>
        <w:t>Licencat e transmetimit audio për qëllime të përkohshme dhe nevoja institucionale</w:t>
      </w:r>
    </w:p>
    <w:p>
      <w:pPr>
        <w:pStyle w:val="BodyText"/>
        <w:spacing w:before="7"/>
        <w:ind w:left="0" w:firstLine="0"/>
        <w:rPr>
          <w:b/>
          <w:sz w:val="21"/>
        </w:rPr>
      </w:pPr>
    </w:p>
    <w:p>
      <w:pPr>
        <w:pStyle w:val="ListParagraph"/>
        <w:numPr>
          <w:ilvl w:val="0"/>
          <w:numId w:val="132"/>
        </w:numPr>
        <w:tabs>
          <w:tab w:pos="1148" w:val="left" w:leader="none"/>
        </w:tabs>
        <w:spacing w:line="240" w:lineRule="auto" w:before="0" w:after="0"/>
        <w:ind w:left="119" w:right="115" w:firstLine="720"/>
        <w:jc w:val="both"/>
        <w:rPr>
          <w:sz w:val="22"/>
        </w:rPr>
      </w:pPr>
      <w:r>
        <w:rPr>
          <w:sz w:val="22"/>
        </w:rPr>
        <w:t>Për sigurimin e nevojave të përkohshme të institucioneve publike, AMA jep licencë transmetimi të përkohshme për mbulimin e një hapësire të caktuar. Afatet e licencave të përkohshme</w:t>
      </w:r>
      <w:r>
        <w:rPr>
          <w:spacing w:val="-25"/>
          <w:sz w:val="22"/>
        </w:rPr>
        <w:t> </w:t>
      </w:r>
      <w:r>
        <w:rPr>
          <w:sz w:val="22"/>
        </w:rPr>
        <w:t>janë:</w:t>
      </w:r>
    </w:p>
    <w:p>
      <w:pPr>
        <w:pStyle w:val="ListParagraph"/>
        <w:numPr>
          <w:ilvl w:val="0"/>
          <w:numId w:val="133"/>
        </w:numPr>
        <w:tabs>
          <w:tab w:pos="1069" w:val="left" w:leader="none"/>
        </w:tabs>
        <w:spacing w:line="252" w:lineRule="exact" w:before="1" w:after="0"/>
        <w:ind w:left="1068" w:right="0" w:hanging="229"/>
        <w:jc w:val="both"/>
        <w:rPr>
          <w:sz w:val="22"/>
        </w:rPr>
      </w:pPr>
      <w:r>
        <w:rPr>
          <w:sz w:val="22"/>
        </w:rPr>
        <w:t>deri në 60 ditë brenda një viti kalendarik për një shërbim transmetimi audio</w:t>
      </w:r>
      <w:r>
        <w:rPr>
          <w:spacing w:val="-20"/>
          <w:sz w:val="22"/>
        </w:rPr>
        <w:t> </w:t>
      </w:r>
      <w:r>
        <w:rPr>
          <w:sz w:val="22"/>
        </w:rPr>
        <w:t>rajonal;</w:t>
      </w:r>
    </w:p>
    <w:p>
      <w:pPr>
        <w:pStyle w:val="ListParagraph"/>
        <w:numPr>
          <w:ilvl w:val="0"/>
          <w:numId w:val="133"/>
        </w:numPr>
        <w:tabs>
          <w:tab w:pos="1081" w:val="left" w:leader="none"/>
        </w:tabs>
        <w:spacing w:line="252" w:lineRule="exact" w:before="0" w:after="0"/>
        <w:ind w:left="1080" w:right="0" w:hanging="241"/>
        <w:jc w:val="both"/>
        <w:rPr>
          <w:sz w:val="22"/>
        </w:rPr>
      </w:pPr>
      <w:r>
        <w:rPr>
          <w:sz w:val="22"/>
        </w:rPr>
        <w:t>deri në 120 ditë brenda një viti kalendarik për një shërbim transmetimi audio</w:t>
      </w:r>
      <w:r>
        <w:rPr>
          <w:spacing w:val="-15"/>
          <w:sz w:val="22"/>
        </w:rPr>
        <w:t> </w:t>
      </w:r>
      <w:r>
        <w:rPr>
          <w:sz w:val="22"/>
        </w:rPr>
        <w:t>lokal.</w:t>
      </w:r>
    </w:p>
    <w:p>
      <w:pPr>
        <w:pStyle w:val="ListParagraph"/>
        <w:numPr>
          <w:ilvl w:val="0"/>
          <w:numId w:val="132"/>
        </w:numPr>
        <w:tabs>
          <w:tab w:pos="1069" w:val="left" w:leader="none"/>
        </w:tabs>
        <w:spacing w:line="240" w:lineRule="auto" w:before="1" w:after="0"/>
        <w:ind w:left="120" w:right="113" w:firstLine="720"/>
        <w:jc w:val="both"/>
        <w:rPr>
          <w:sz w:val="22"/>
        </w:rPr>
      </w:pPr>
      <w:r>
        <w:rPr>
          <w:sz w:val="22"/>
        </w:rPr>
        <w:t>AMA mund të japë një licencë për ofrimin e një shërbimi transmetimi audio, me fuqi të ulët, i cili ka për qëllim t’i shërbejë vetëm një institucioni arsimor, shëndetësor apo të natyrave të ngjashme, të përcaktuara në</w:t>
      </w:r>
      <w:r>
        <w:rPr>
          <w:spacing w:val="-3"/>
          <w:sz w:val="22"/>
        </w:rPr>
        <w:t> </w:t>
      </w:r>
      <w:r>
        <w:rPr>
          <w:sz w:val="22"/>
        </w:rPr>
        <w:t>licencë.</w:t>
      </w:r>
    </w:p>
    <w:p>
      <w:pPr>
        <w:pStyle w:val="ListParagraph"/>
        <w:numPr>
          <w:ilvl w:val="0"/>
          <w:numId w:val="132"/>
        </w:numPr>
        <w:tabs>
          <w:tab w:pos="1071" w:val="left" w:leader="none"/>
        </w:tabs>
        <w:spacing w:line="240" w:lineRule="auto" w:before="0" w:after="0"/>
        <w:ind w:left="120" w:right="116" w:firstLine="720"/>
        <w:jc w:val="both"/>
        <w:rPr>
          <w:sz w:val="22"/>
        </w:rPr>
      </w:pPr>
      <w:r>
        <w:rPr>
          <w:sz w:val="22"/>
        </w:rPr>
        <w:t>Kërkesat e nenit 33 pika 1 shkronja “c” dhe të neneve 59 dhe 62 të këtij ligji nuk zbatohen në rastin e licencës së dhënë sipas këtij</w:t>
      </w:r>
      <w:r>
        <w:rPr>
          <w:spacing w:val="-5"/>
          <w:sz w:val="22"/>
        </w:rPr>
        <w:t> </w:t>
      </w:r>
      <w:r>
        <w:rPr>
          <w:sz w:val="22"/>
        </w:rPr>
        <w:t>neni.</w:t>
      </w:r>
    </w:p>
    <w:p>
      <w:pPr>
        <w:pStyle w:val="ListParagraph"/>
        <w:numPr>
          <w:ilvl w:val="0"/>
          <w:numId w:val="132"/>
        </w:numPr>
        <w:tabs>
          <w:tab w:pos="1092" w:val="left" w:leader="none"/>
        </w:tabs>
        <w:spacing w:line="240" w:lineRule="auto" w:before="0" w:after="0"/>
        <w:ind w:left="120" w:right="117" w:firstLine="719"/>
        <w:jc w:val="both"/>
        <w:rPr>
          <w:sz w:val="22"/>
        </w:rPr>
      </w:pPr>
      <w:r>
        <w:rPr>
          <w:sz w:val="22"/>
        </w:rPr>
        <w:t>AMA miraton dhe publikon rregullat për dhënien e këtyre licencave, sipas përcaktimeve të këtij ligji.</w:t>
      </w:r>
    </w:p>
    <w:p>
      <w:pPr>
        <w:pStyle w:val="ListParagraph"/>
        <w:numPr>
          <w:ilvl w:val="0"/>
          <w:numId w:val="132"/>
        </w:numPr>
        <w:tabs>
          <w:tab w:pos="1117" w:val="left" w:leader="none"/>
        </w:tabs>
        <w:spacing w:line="240" w:lineRule="auto" w:before="0" w:after="0"/>
        <w:ind w:left="120" w:right="115" w:firstLine="720"/>
        <w:jc w:val="both"/>
        <w:rPr>
          <w:sz w:val="22"/>
        </w:rPr>
      </w:pPr>
      <w:r>
        <w:rPr>
          <w:sz w:val="22"/>
        </w:rPr>
        <w:t>Licencat, sipas pikës 1 të këtij neni, nuk jepen në periudhën 6-mujore përpara datës së zhvillimit të zgjedhjeve vendore apo të përgjithshme parlamentare, përveç rasteve që kanë të bëjnë me mbrojtjen e shëndetit, fatkeqësive natyrore dhe njerëzore, rendin publik dhe sigurinë</w:t>
      </w:r>
      <w:r>
        <w:rPr>
          <w:spacing w:val="-17"/>
          <w:sz w:val="22"/>
        </w:rPr>
        <w:t> </w:t>
      </w:r>
      <w:r>
        <w:rPr>
          <w:sz w:val="22"/>
        </w:rPr>
        <w:t>kombëtare.</w:t>
      </w:r>
    </w:p>
    <w:p>
      <w:pPr>
        <w:pStyle w:val="BodyText"/>
        <w:spacing w:before="10"/>
        <w:ind w:left="0" w:firstLine="0"/>
        <w:rPr>
          <w:sz w:val="21"/>
        </w:rPr>
      </w:pPr>
    </w:p>
    <w:p>
      <w:pPr>
        <w:pStyle w:val="BodyText"/>
        <w:ind w:left="146" w:right="146" w:firstLine="0"/>
        <w:jc w:val="center"/>
      </w:pPr>
      <w:r>
        <w:rPr/>
        <w:t>Neni 67</w:t>
      </w:r>
    </w:p>
    <w:p>
      <w:pPr>
        <w:pStyle w:val="Heading1"/>
        <w:ind w:right="144"/>
      </w:pPr>
      <w:r>
        <w:rPr/>
        <w:t>Licenca e shërbimit për programet audiovizive</w:t>
      </w:r>
    </w:p>
    <w:p>
      <w:pPr>
        <w:pStyle w:val="BodyText"/>
        <w:spacing w:before="6"/>
        <w:ind w:left="0" w:firstLine="0"/>
        <w:rPr>
          <w:b/>
          <w:sz w:val="21"/>
        </w:rPr>
      </w:pPr>
    </w:p>
    <w:p>
      <w:pPr>
        <w:pStyle w:val="ListParagraph"/>
        <w:numPr>
          <w:ilvl w:val="0"/>
          <w:numId w:val="134"/>
        </w:numPr>
        <w:tabs>
          <w:tab w:pos="1088" w:val="left" w:leader="none"/>
        </w:tabs>
        <w:spacing w:line="240" w:lineRule="auto" w:before="1" w:after="0"/>
        <w:ind w:left="120" w:right="111" w:firstLine="720"/>
        <w:jc w:val="both"/>
        <w:rPr>
          <w:sz w:val="22"/>
        </w:rPr>
      </w:pPr>
      <w:r>
        <w:rPr>
          <w:sz w:val="22"/>
        </w:rPr>
        <w:t>AMA jep licenca shërbimi për programet audiovizive, në bazë të së cilës i licencuari ka të drejtat dhe detyrimet për të ngritur dhe realizuar një shërbim programi audioviziv. Në bazë të licencës, i licencuari ka të drejtë për të ngritur, realizuar dhe vënë në funksion pajisje transmetuese, me qëllim transmetimin e shërbimit të programit</w:t>
      </w:r>
      <w:r>
        <w:rPr>
          <w:spacing w:val="-1"/>
          <w:sz w:val="22"/>
        </w:rPr>
        <w:t> </w:t>
      </w:r>
      <w:r>
        <w:rPr>
          <w:sz w:val="22"/>
        </w:rPr>
        <w:t>audioviziv.</w:t>
      </w:r>
    </w:p>
    <w:p>
      <w:pPr>
        <w:pStyle w:val="ListParagraph"/>
        <w:numPr>
          <w:ilvl w:val="0"/>
          <w:numId w:val="134"/>
        </w:numPr>
        <w:tabs>
          <w:tab w:pos="1062" w:val="left" w:leader="none"/>
        </w:tabs>
        <w:spacing w:line="252" w:lineRule="exact" w:before="0" w:after="0"/>
        <w:ind w:left="1061" w:right="0" w:hanging="222"/>
        <w:jc w:val="both"/>
        <w:rPr>
          <w:sz w:val="22"/>
        </w:rPr>
      </w:pPr>
      <w:r>
        <w:rPr>
          <w:sz w:val="22"/>
        </w:rPr>
        <w:t>AMA siguron që shërbimi i programit</w:t>
      </w:r>
      <w:r>
        <w:rPr>
          <w:spacing w:val="-2"/>
          <w:sz w:val="22"/>
        </w:rPr>
        <w:t> </w:t>
      </w:r>
      <w:r>
        <w:rPr>
          <w:sz w:val="22"/>
        </w:rPr>
        <w:t>audioviziv:</w:t>
      </w:r>
    </w:p>
    <w:p>
      <w:pPr>
        <w:pStyle w:val="ListParagraph"/>
        <w:numPr>
          <w:ilvl w:val="0"/>
          <w:numId w:val="135"/>
        </w:numPr>
        <w:tabs>
          <w:tab w:pos="1081" w:val="left" w:leader="none"/>
        </w:tabs>
        <w:spacing w:line="240" w:lineRule="auto" w:before="0" w:after="0"/>
        <w:ind w:left="120" w:right="113" w:firstLine="720"/>
        <w:jc w:val="both"/>
        <w:rPr>
          <w:sz w:val="22"/>
        </w:rPr>
      </w:pPr>
      <w:r>
        <w:rPr>
          <w:sz w:val="22"/>
        </w:rPr>
        <w:t>të jetë përgjegjës në lidhje me interesat dhe ndjeshmërinë publike, të respektojë mirëkuptimin dhe bashkekzistencën shoqërore të të gjithë individëve në Republikën e Shqipërisë, të sigurojë që përmbajtja programore të pasqyrojë elementet përbërëse të kulturës dhe të gjuhës</w:t>
      </w:r>
      <w:r>
        <w:rPr>
          <w:spacing w:val="-12"/>
          <w:sz w:val="22"/>
        </w:rPr>
        <w:t> </w:t>
      </w:r>
      <w:r>
        <w:rPr>
          <w:sz w:val="22"/>
        </w:rPr>
        <w:t>shqipe;</w:t>
      </w:r>
    </w:p>
    <w:p>
      <w:pPr>
        <w:pStyle w:val="ListParagraph"/>
        <w:numPr>
          <w:ilvl w:val="0"/>
          <w:numId w:val="135"/>
        </w:numPr>
        <w:tabs>
          <w:tab w:pos="1093" w:val="left" w:leader="none"/>
        </w:tabs>
        <w:spacing w:line="240" w:lineRule="auto" w:before="0" w:after="0"/>
        <w:ind w:left="120" w:right="114" w:firstLine="720"/>
        <w:jc w:val="both"/>
        <w:rPr>
          <w:sz w:val="22"/>
        </w:rPr>
      </w:pPr>
      <w:r>
        <w:rPr>
          <w:sz w:val="22"/>
        </w:rPr>
        <w:t>të nxisë vlerat demokratike të përcaktuara në Kushtetutë dhe në veçanti të drejtën e shprehjes dhe të</w:t>
      </w:r>
      <w:r>
        <w:rPr>
          <w:spacing w:val="-1"/>
          <w:sz w:val="22"/>
        </w:rPr>
        <w:t> </w:t>
      </w:r>
      <w:r>
        <w:rPr>
          <w:sz w:val="22"/>
        </w:rPr>
        <w:t>informimit;</w:t>
      </w:r>
    </w:p>
    <w:p>
      <w:pPr>
        <w:pStyle w:val="ListParagraph"/>
        <w:numPr>
          <w:ilvl w:val="0"/>
          <w:numId w:val="135"/>
        </w:numPr>
        <w:tabs>
          <w:tab w:pos="1112" w:val="left" w:leader="none"/>
        </w:tabs>
        <w:spacing w:line="240" w:lineRule="auto" w:before="0" w:after="0"/>
        <w:ind w:left="120" w:right="115" w:firstLine="720"/>
        <w:jc w:val="both"/>
        <w:rPr>
          <w:sz w:val="22"/>
        </w:rPr>
      </w:pPr>
      <w:r>
        <w:rPr>
          <w:sz w:val="22"/>
        </w:rPr>
        <w:t>të mbajë në konsideratë nevojën e formimit të opinionit publik për t’u njohur dhe për të kuptuar vlerat dhe traditat</w:t>
      </w:r>
      <w:r>
        <w:rPr>
          <w:spacing w:val="-3"/>
          <w:sz w:val="22"/>
        </w:rPr>
        <w:t> </w:t>
      </w:r>
      <w:r>
        <w:rPr>
          <w:sz w:val="22"/>
        </w:rPr>
        <w:t>europiane;</w:t>
      </w:r>
    </w:p>
    <w:p>
      <w:pPr>
        <w:pStyle w:val="BodyText"/>
        <w:ind w:left="840" w:firstLine="0"/>
        <w:jc w:val="both"/>
      </w:pPr>
      <w:r>
        <w:rPr/>
        <w:t>ç) të përfshijë në përpjesëtim të arsyeshëm programet e lajmeve dhe ato me natyrë informative.</w:t>
      </w:r>
    </w:p>
    <w:p>
      <w:pPr>
        <w:pStyle w:val="ListParagraph"/>
        <w:numPr>
          <w:ilvl w:val="0"/>
          <w:numId w:val="135"/>
        </w:numPr>
        <w:tabs>
          <w:tab w:pos="1081" w:val="left" w:leader="none"/>
        </w:tabs>
        <w:spacing w:line="252" w:lineRule="exact" w:before="1" w:after="0"/>
        <w:ind w:left="1080" w:right="0" w:hanging="241"/>
        <w:jc w:val="both"/>
        <w:rPr>
          <w:sz w:val="22"/>
        </w:rPr>
      </w:pPr>
      <w:r>
        <w:rPr>
          <w:sz w:val="22"/>
        </w:rPr>
        <w:t>të respektojë kërkesat dhe kushtet e përcaktuara në bazë të këtij ligji në</w:t>
      </w:r>
      <w:r>
        <w:rPr>
          <w:spacing w:val="-11"/>
          <w:sz w:val="22"/>
        </w:rPr>
        <w:t> </w:t>
      </w:r>
      <w:r>
        <w:rPr>
          <w:sz w:val="22"/>
        </w:rPr>
        <w:t>licencë;</w:t>
      </w:r>
    </w:p>
    <w:p>
      <w:pPr>
        <w:pStyle w:val="BodyText"/>
        <w:ind w:right="113"/>
        <w:jc w:val="both"/>
      </w:pPr>
      <w:r>
        <w:rPr/>
        <w:t>dh) të përfshijë, në mënyrë të arsyeshme përdorimin e gjuhës së shenjave në emisionet e lajmeve për njerëzit që nuk dëgjojnë.</w:t>
      </w:r>
    </w:p>
    <w:p>
      <w:pPr>
        <w:pStyle w:val="ListParagraph"/>
        <w:numPr>
          <w:ilvl w:val="0"/>
          <w:numId w:val="134"/>
        </w:numPr>
        <w:tabs>
          <w:tab w:pos="1069" w:val="left" w:leader="none"/>
        </w:tabs>
        <w:spacing w:line="240" w:lineRule="auto" w:before="0" w:after="0"/>
        <w:ind w:left="120" w:right="112" w:firstLine="720"/>
        <w:jc w:val="both"/>
        <w:rPr>
          <w:sz w:val="22"/>
        </w:rPr>
      </w:pPr>
      <w:r>
        <w:rPr>
          <w:sz w:val="22"/>
        </w:rPr>
        <w:t>I licencuari i shërbimit të programit audioviziv realizon programin, në përputhje me kërkesat e përcaktuara në pikën 2 të këtij neni. AMA kërkon, kur është e mundur, që pjesa më e madhe e kohës së transmetimit t’i kushtohet veprave europiane, duke përjashtuar kohën për lajmet, ngjarje sportive, lojërat, reklamat, shërbimin teletekst dhe shitjeve të drejtpërdrejta apo të rezervohet për programe të subjekteve të pavarura, nga vetë i licencuari ose subjektet e lidhura me</w:t>
      </w:r>
      <w:r>
        <w:rPr>
          <w:spacing w:val="-14"/>
          <w:sz w:val="22"/>
        </w:rPr>
        <w:t> </w:t>
      </w:r>
      <w:r>
        <w:rPr>
          <w:sz w:val="22"/>
        </w:rPr>
        <w:t>të.</w:t>
      </w:r>
    </w:p>
    <w:p>
      <w:pPr>
        <w:spacing w:after="0" w:line="240" w:lineRule="auto"/>
        <w:jc w:val="both"/>
        <w:rPr>
          <w:sz w:val="22"/>
        </w:rPr>
        <w:sectPr>
          <w:pgSz w:w="12240" w:h="15840"/>
          <w:pgMar w:top="1360" w:bottom="280" w:left="1320" w:right="1320"/>
        </w:sectPr>
      </w:pPr>
    </w:p>
    <w:p>
      <w:pPr>
        <w:pStyle w:val="ListParagraph"/>
        <w:numPr>
          <w:ilvl w:val="0"/>
          <w:numId w:val="134"/>
        </w:numPr>
        <w:tabs>
          <w:tab w:pos="1073" w:val="left" w:leader="none"/>
        </w:tabs>
        <w:spacing w:line="240" w:lineRule="auto" w:before="74" w:after="0"/>
        <w:ind w:left="120" w:right="115" w:firstLine="720"/>
        <w:jc w:val="both"/>
        <w:rPr>
          <w:sz w:val="22"/>
        </w:rPr>
      </w:pPr>
      <w:r>
        <w:rPr>
          <w:sz w:val="22"/>
        </w:rPr>
        <w:t>AMA përfshin, në çdo licencë të dhënë në bazë të këtij neni dhe çdo rinovim, në bazë të këtij ligji, një kusht për transmetimin e prodhimeve të pavarura, sipas përcaktimit të pikës 2 të nenit 123 të këtij ligji.</w:t>
      </w:r>
    </w:p>
    <w:p>
      <w:pPr>
        <w:pStyle w:val="BodyText"/>
        <w:spacing w:line="252" w:lineRule="exact"/>
        <w:ind w:left="146" w:right="146" w:firstLine="0"/>
        <w:jc w:val="center"/>
      </w:pPr>
      <w:r>
        <w:rPr/>
        <w:t>Neni 68</w:t>
      </w:r>
    </w:p>
    <w:p>
      <w:pPr>
        <w:pStyle w:val="Heading1"/>
        <w:spacing w:before="6"/>
        <w:ind w:right="147"/>
      </w:pPr>
      <w:r>
        <w:rPr/>
        <w:t>Pavlefshmëria e licencës dhe/ose autorizimit</w:t>
      </w:r>
    </w:p>
    <w:p>
      <w:pPr>
        <w:pStyle w:val="BodyText"/>
        <w:spacing w:before="5"/>
        <w:ind w:left="0" w:firstLine="0"/>
        <w:rPr>
          <w:b/>
          <w:sz w:val="13"/>
        </w:rPr>
      </w:pPr>
    </w:p>
    <w:p>
      <w:pPr>
        <w:spacing w:after="0"/>
        <w:rPr>
          <w:sz w:val="13"/>
        </w:rPr>
        <w:sectPr>
          <w:pgSz w:w="12240" w:h="15840"/>
          <w:pgMar w:top="1360" w:bottom="280" w:left="1320" w:right="1320"/>
        </w:sectPr>
      </w:pPr>
    </w:p>
    <w:p>
      <w:pPr>
        <w:pStyle w:val="BodyText"/>
        <w:ind w:left="0" w:firstLine="0"/>
        <w:rPr>
          <w:b/>
          <w:sz w:val="24"/>
        </w:rPr>
      </w:pPr>
    </w:p>
    <w:p>
      <w:pPr>
        <w:pStyle w:val="BodyText"/>
        <w:ind w:left="0" w:firstLine="0"/>
        <w:rPr>
          <w:b/>
          <w:sz w:val="24"/>
        </w:rPr>
      </w:pPr>
    </w:p>
    <w:p>
      <w:pPr>
        <w:pStyle w:val="BodyText"/>
        <w:ind w:left="0" w:firstLine="0"/>
        <w:rPr>
          <w:b/>
          <w:sz w:val="24"/>
        </w:rPr>
      </w:pPr>
    </w:p>
    <w:p>
      <w:pPr>
        <w:pStyle w:val="BodyText"/>
        <w:ind w:left="0" w:firstLine="0"/>
        <w:rPr>
          <w:b/>
          <w:sz w:val="24"/>
        </w:rPr>
      </w:pPr>
    </w:p>
    <w:p>
      <w:pPr>
        <w:pStyle w:val="BodyText"/>
        <w:ind w:firstLine="0"/>
      </w:pPr>
      <w:r>
        <w:rPr/>
        <w:t>ky ligj;</w:t>
      </w:r>
    </w:p>
    <w:p>
      <w:pPr>
        <w:pStyle w:val="BodyText"/>
        <w:spacing w:before="92"/>
        <w:ind w:left="48" w:firstLine="0"/>
      </w:pPr>
      <w:r>
        <w:rPr/>
        <w:br w:type="column"/>
      </w:r>
      <w:r>
        <w:rPr/>
        <w:t>Licenca dhe/ose autorizimi bëhet e pavlefshme kur:</w:t>
      </w:r>
    </w:p>
    <w:p>
      <w:pPr>
        <w:pStyle w:val="ListParagraph"/>
        <w:numPr>
          <w:ilvl w:val="0"/>
          <w:numId w:val="136"/>
        </w:numPr>
        <w:tabs>
          <w:tab w:pos="332" w:val="left" w:leader="none"/>
        </w:tabs>
        <w:spacing w:line="252" w:lineRule="exact" w:before="1" w:after="0"/>
        <w:ind w:left="331" w:right="0" w:hanging="284"/>
        <w:jc w:val="left"/>
        <w:rPr>
          <w:sz w:val="22"/>
        </w:rPr>
      </w:pPr>
      <w:r>
        <w:rPr>
          <w:sz w:val="22"/>
        </w:rPr>
        <w:t>mbaron afati i vlefshmërisë dhe ajo nuk është</w:t>
      </w:r>
      <w:r>
        <w:rPr>
          <w:spacing w:val="-7"/>
          <w:sz w:val="22"/>
        </w:rPr>
        <w:t> </w:t>
      </w:r>
      <w:r>
        <w:rPr>
          <w:sz w:val="22"/>
        </w:rPr>
        <w:t>rinovuar;</w:t>
      </w:r>
    </w:p>
    <w:p>
      <w:pPr>
        <w:pStyle w:val="ListParagraph"/>
        <w:numPr>
          <w:ilvl w:val="0"/>
          <w:numId w:val="136"/>
        </w:numPr>
        <w:tabs>
          <w:tab w:pos="344" w:val="left" w:leader="none"/>
        </w:tabs>
        <w:spacing w:line="252" w:lineRule="exact" w:before="0" w:after="0"/>
        <w:ind w:left="343" w:right="0" w:hanging="296"/>
        <w:jc w:val="left"/>
        <w:rPr>
          <w:sz w:val="22"/>
        </w:rPr>
      </w:pPr>
      <w:r>
        <w:rPr>
          <w:sz w:val="22"/>
        </w:rPr>
        <w:t>i licencuari ose i autorizuari njofton me shkrim AMA-n për mbylljen e</w:t>
      </w:r>
      <w:r>
        <w:rPr>
          <w:spacing w:val="-15"/>
          <w:sz w:val="22"/>
        </w:rPr>
        <w:t> </w:t>
      </w:r>
      <w:r>
        <w:rPr>
          <w:sz w:val="22"/>
        </w:rPr>
        <w:t>aktivitetit;</w:t>
      </w:r>
    </w:p>
    <w:p>
      <w:pPr>
        <w:pStyle w:val="ListParagraph"/>
        <w:numPr>
          <w:ilvl w:val="0"/>
          <w:numId w:val="136"/>
        </w:numPr>
        <w:tabs>
          <w:tab w:pos="280" w:val="left" w:leader="none"/>
        </w:tabs>
        <w:spacing w:line="240" w:lineRule="auto" w:before="1" w:after="0"/>
        <w:ind w:left="279" w:right="0" w:hanging="232"/>
        <w:jc w:val="left"/>
        <w:rPr>
          <w:sz w:val="22"/>
        </w:rPr>
      </w:pPr>
      <w:r>
        <w:rPr>
          <w:sz w:val="22"/>
        </w:rPr>
        <w:t>AMA ka nxjerrë vendim për heqje licence dhe/ose autorizimi në bazë të kompetencave që i</w:t>
      </w:r>
      <w:r>
        <w:rPr>
          <w:spacing w:val="31"/>
          <w:sz w:val="22"/>
        </w:rPr>
        <w:t> </w:t>
      </w:r>
      <w:r>
        <w:rPr>
          <w:sz w:val="22"/>
        </w:rPr>
        <w:t>jep</w:t>
      </w:r>
    </w:p>
    <w:p>
      <w:pPr>
        <w:pStyle w:val="BodyText"/>
        <w:spacing w:before="10"/>
        <w:ind w:left="0" w:firstLine="0"/>
        <w:rPr>
          <w:sz w:val="21"/>
        </w:rPr>
      </w:pPr>
    </w:p>
    <w:p>
      <w:pPr>
        <w:pStyle w:val="BodyText"/>
        <w:ind w:left="48" w:firstLine="0"/>
      </w:pPr>
      <w:r>
        <w:rPr/>
        <w:t>ç) deklarohet falimentimi;</w:t>
      </w:r>
    </w:p>
    <w:p>
      <w:pPr>
        <w:pStyle w:val="ListParagraph"/>
        <w:numPr>
          <w:ilvl w:val="0"/>
          <w:numId w:val="136"/>
        </w:numPr>
        <w:tabs>
          <w:tab w:pos="318" w:val="left" w:leader="none"/>
        </w:tabs>
        <w:spacing w:line="240" w:lineRule="auto" w:before="1" w:after="0"/>
        <w:ind w:left="317" w:right="0" w:hanging="270"/>
        <w:jc w:val="left"/>
        <w:rPr>
          <w:sz w:val="22"/>
        </w:rPr>
      </w:pPr>
      <w:r>
        <w:rPr>
          <w:sz w:val="22"/>
        </w:rPr>
        <w:t>kërkuesi nuk e tërheq licencën dhe/ose autorizimin ose nuk realizon detyrimet financiare</w:t>
      </w:r>
      <w:r>
        <w:rPr>
          <w:spacing w:val="1"/>
          <w:sz w:val="22"/>
        </w:rPr>
        <w:t> </w:t>
      </w:r>
      <w:r>
        <w:rPr>
          <w:sz w:val="22"/>
        </w:rPr>
        <w:t>të</w:t>
      </w:r>
    </w:p>
    <w:p>
      <w:pPr>
        <w:spacing w:after="0" w:line="240" w:lineRule="auto"/>
        <w:jc w:val="left"/>
        <w:rPr>
          <w:sz w:val="22"/>
        </w:rPr>
        <w:sectPr>
          <w:type w:val="continuous"/>
          <w:pgSz w:w="12240" w:h="15840"/>
          <w:pgMar w:top="1360" w:bottom="280" w:left="1320" w:right="1320"/>
          <w:cols w:num="2" w:equalWidth="0">
            <w:col w:w="752" w:space="40"/>
            <w:col w:w="8808"/>
          </w:cols>
        </w:sectPr>
      </w:pPr>
    </w:p>
    <w:p>
      <w:pPr>
        <w:pStyle w:val="BodyText"/>
        <w:spacing w:line="252" w:lineRule="exact"/>
        <w:ind w:firstLine="0"/>
      </w:pPr>
      <w:r>
        <w:rPr/>
        <w:t>parashikuara me ligj pas 90 ditëve nga momenti kur merr dijeni zyrtarisht për miratimin e saj;</w:t>
      </w:r>
    </w:p>
    <w:p>
      <w:pPr>
        <w:pStyle w:val="BodyText"/>
        <w:spacing w:before="1"/>
      </w:pPr>
      <w:r>
        <w:rPr/>
        <w:t>dh) ka një vendim të formës së prerë nga gjykata që ndalon ushtrimin e aktivitetit nga i licencuari dhe/ose i autorizuari.</w:t>
      </w:r>
    </w:p>
    <w:p>
      <w:pPr>
        <w:pStyle w:val="BodyText"/>
        <w:spacing w:before="11"/>
        <w:ind w:left="0" w:firstLine="0"/>
        <w:rPr>
          <w:sz w:val="21"/>
        </w:rPr>
      </w:pPr>
    </w:p>
    <w:p>
      <w:pPr>
        <w:pStyle w:val="BodyText"/>
        <w:ind w:left="146" w:right="146" w:firstLine="0"/>
        <w:jc w:val="center"/>
      </w:pPr>
      <w:r>
        <w:rPr/>
        <w:t>Neni 69</w:t>
      </w:r>
    </w:p>
    <w:p>
      <w:pPr>
        <w:pStyle w:val="Heading1"/>
      </w:pPr>
      <w:r>
        <w:rPr/>
        <w:t>Heqja e licencës dhe/ose autorizimit</w:t>
      </w:r>
    </w:p>
    <w:p>
      <w:pPr>
        <w:pStyle w:val="BodyText"/>
        <w:spacing w:before="7"/>
        <w:ind w:left="0" w:firstLine="0"/>
        <w:rPr>
          <w:b/>
          <w:sz w:val="13"/>
        </w:rPr>
      </w:pPr>
    </w:p>
    <w:p>
      <w:pPr>
        <w:spacing w:after="0"/>
        <w:rPr>
          <w:sz w:val="13"/>
        </w:rPr>
        <w:sectPr>
          <w:type w:val="continuous"/>
          <w:pgSz w:w="12240" w:h="15840"/>
          <w:pgMar w:top="1360" w:bottom="280" w:left="1320" w:right="1320"/>
        </w:sectPr>
      </w:pPr>
    </w:p>
    <w:p>
      <w:pPr>
        <w:pStyle w:val="BodyText"/>
        <w:ind w:left="0" w:firstLine="0"/>
        <w:rPr>
          <w:b/>
          <w:sz w:val="24"/>
        </w:rPr>
      </w:pPr>
    </w:p>
    <w:p>
      <w:pPr>
        <w:pStyle w:val="BodyText"/>
        <w:ind w:left="0" w:firstLine="0"/>
        <w:rPr>
          <w:b/>
          <w:sz w:val="24"/>
        </w:rPr>
      </w:pPr>
    </w:p>
    <w:p>
      <w:pPr>
        <w:pStyle w:val="BodyText"/>
        <w:ind w:left="0" w:firstLine="0"/>
        <w:rPr>
          <w:b/>
          <w:sz w:val="24"/>
        </w:rPr>
      </w:pPr>
    </w:p>
    <w:p>
      <w:pPr>
        <w:pStyle w:val="BodyText"/>
        <w:ind w:left="0" w:firstLine="0"/>
        <w:rPr>
          <w:b/>
          <w:sz w:val="24"/>
        </w:rPr>
      </w:pPr>
    </w:p>
    <w:p>
      <w:pPr>
        <w:pStyle w:val="BodyText"/>
        <w:spacing w:before="11"/>
        <w:ind w:left="0" w:firstLine="0"/>
        <w:rPr>
          <w:b/>
          <w:sz w:val="21"/>
        </w:rPr>
      </w:pPr>
    </w:p>
    <w:p>
      <w:pPr>
        <w:pStyle w:val="BodyText"/>
        <w:ind w:left="119" w:firstLine="0"/>
      </w:pPr>
      <w:r>
        <w:rPr/>
        <w:t>kohe:</w:t>
      </w:r>
    </w:p>
    <w:p>
      <w:pPr>
        <w:pStyle w:val="BodyText"/>
        <w:spacing w:before="92"/>
        <w:ind w:firstLine="0"/>
      </w:pPr>
      <w:r>
        <w:rPr/>
        <w:br w:type="column"/>
      </w:r>
      <w:r>
        <w:rPr/>
        <w:t>AMA ka të drejtë të heqë licencën dhe/ose autorizimin kur:</w:t>
      </w:r>
    </w:p>
    <w:p>
      <w:pPr>
        <w:pStyle w:val="ListParagraph"/>
        <w:numPr>
          <w:ilvl w:val="0"/>
          <w:numId w:val="137"/>
        </w:numPr>
        <w:tabs>
          <w:tab w:pos="342" w:val="left" w:leader="none"/>
        </w:tabs>
        <w:spacing w:line="252" w:lineRule="exact" w:before="1" w:after="0"/>
        <w:ind w:left="341" w:right="0" w:hanging="222"/>
        <w:jc w:val="left"/>
        <w:rPr>
          <w:sz w:val="22"/>
        </w:rPr>
      </w:pPr>
      <w:r>
        <w:rPr>
          <w:sz w:val="22"/>
        </w:rPr>
        <w:t>Është fituar sipas të dhënave të rreme të paraqitura në</w:t>
      </w:r>
      <w:r>
        <w:rPr>
          <w:spacing w:val="-9"/>
          <w:sz w:val="22"/>
        </w:rPr>
        <w:t> </w:t>
      </w:r>
      <w:r>
        <w:rPr>
          <w:sz w:val="22"/>
        </w:rPr>
        <w:t>kërkesë.</w:t>
      </w:r>
    </w:p>
    <w:p>
      <w:pPr>
        <w:pStyle w:val="ListParagraph"/>
        <w:numPr>
          <w:ilvl w:val="0"/>
          <w:numId w:val="137"/>
        </w:numPr>
        <w:tabs>
          <w:tab w:pos="342" w:val="left" w:leader="none"/>
        </w:tabs>
        <w:spacing w:line="252" w:lineRule="exact" w:before="0" w:after="0"/>
        <w:ind w:left="341" w:right="0" w:hanging="222"/>
        <w:jc w:val="left"/>
        <w:rPr>
          <w:sz w:val="22"/>
        </w:rPr>
      </w:pPr>
      <w:r>
        <w:rPr>
          <w:sz w:val="22"/>
        </w:rPr>
        <w:t>Nuk plotësohen kushtet e përcaktuara në</w:t>
      </w:r>
      <w:r>
        <w:rPr>
          <w:spacing w:val="-7"/>
          <w:sz w:val="22"/>
        </w:rPr>
        <w:t> </w:t>
      </w:r>
      <w:r>
        <w:rPr>
          <w:sz w:val="22"/>
        </w:rPr>
        <w:t>licencë.</w:t>
      </w:r>
    </w:p>
    <w:p>
      <w:pPr>
        <w:pStyle w:val="ListParagraph"/>
        <w:numPr>
          <w:ilvl w:val="0"/>
          <w:numId w:val="137"/>
        </w:numPr>
        <w:tabs>
          <w:tab w:pos="342" w:val="left" w:leader="none"/>
        </w:tabs>
        <w:spacing w:line="252" w:lineRule="exact" w:before="0" w:after="0"/>
        <w:ind w:left="341" w:right="0" w:hanging="222"/>
        <w:jc w:val="left"/>
        <w:rPr>
          <w:sz w:val="22"/>
        </w:rPr>
      </w:pPr>
      <w:r>
        <w:rPr>
          <w:sz w:val="22"/>
        </w:rPr>
        <w:t>Nuk paguan detyrimet financiare të licencës për një</w:t>
      </w:r>
      <w:r>
        <w:rPr>
          <w:spacing w:val="-15"/>
          <w:sz w:val="22"/>
        </w:rPr>
        <w:t> </w:t>
      </w:r>
      <w:r>
        <w:rPr>
          <w:sz w:val="22"/>
        </w:rPr>
        <w:t>vit.</w:t>
      </w:r>
    </w:p>
    <w:p>
      <w:pPr>
        <w:pStyle w:val="ListParagraph"/>
        <w:numPr>
          <w:ilvl w:val="0"/>
          <w:numId w:val="137"/>
        </w:numPr>
        <w:tabs>
          <w:tab w:pos="363" w:val="left" w:leader="none"/>
        </w:tabs>
        <w:spacing w:line="240" w:lineRule="auto" w:before="1" w:after="0"/>
        <w:ind w:left="362" w:right="0" w:hanging="244"/>
        <w:jc w:val="left"/>
        <w:rPr>
          <w:sz w:val="22"/>
        </w:rPr>
      </w:pPr>
      <w:r>
        <w:rPr>
          <w:sz w:val="22"/>
        </w:rPr>
        <w:t>Nuk</w:t>
      </w:r>
      <w:r>
        <w:rPr>
          <w:spacing w:val="18"/>
          <w:sz w:val="22"/>
        </w:rPr>
        <w:t> </w:t>
      </w:r>
      <w:r>
        <w:rPr>
          <w:sz w:val="22"/>
        </w:rPr>
        <w:t>ka</w:t>
      </w:r>
      <w:r>
        <w:rPr>
          <w:spacing w:val="21"/>
          <w:sz w:val="22"/>
        </w:rPr>
        <w:t> </w:t>
      </w:r>
      <w:r>
        <w:rPr>
          <w:sz w:val="22"/>
        </w:rPr>
        <w:t>filluar</w:t>
      </w:r>
      <w:r>
        <w:rPr>
          <w:spacing w:val="19"/>
          <w:sz w:val="22"/>
        </w:rPr>
        <w:t> </w:t>
      </w:r>
      <w:r>
        <w:rPr>
          <w:sz w:val="22"/>
        </w:rPr>
        <w:t>transmetim</w:t>
      </w:r>
      <w:r>
        <w:rPr>
          <w:spacing w:val="17"/>
          <w:sz w:val="22"/>
        </w:rPr>
        <w:t> </w:t>
      </w:r>
      <w:r>
        <w:rPr>
          <w:sz w:val="22"/>
        </w:rPr>
        <w:t>pas</w:t>
      </w:r>
      <w:r>
        <w:rPr>
          <w:spacing w:val="21"/>
          <w:sz w:val="22"/>
        </w:rPr>
        <w:t> </w:t>
      </w:r>
      <w:r>
        <w:rPr>
          <w:sz w:val="22"/>
        </w:rPr>
        <w:t>hyrjes</w:t>
      </w:r>
      <w:r>
        <w:rPr>
          <w:spacing w:val="21"/>
          <w:sz w:val="22"/>
        </w:rPr>
        <w:t> </w:t>
      </w:r>
      <w:r>
        <w:rPr>
          <w:sz w:val="22"/>
        </w:rPr>
        <w:t>në</w:t>
      </w:r>
      <w:r>
        <w:rPr>
          <w:spacing w:val="18"/>
          <w:sz w:val="22"/>
        </w:rPr>
        <w:t> </w:t>
      </w:r>
      <w:r>
        <w:rPr>
          <w:sz w:val="22"/>
        </w:rPr>
        <w:t>fuqi</w:t>
      </w:r>
      <w:r>
        <w:rPr>
          <w:spacing w:val="20"/>
          <w:sz w:val="22"/>
        </w:rPr>
        <w:t> </w:t>
      </w:r>
      <w:r>
        <w:rPr>
          <w:sz w:val="22"/>
        </w:rPr>
        <w:t>të</w:t>
      </w:r>
      <w:r>
        <w:rPr>
          <w:spacing w:val="21"/>
          <w:sz w:val="22"/>
        </w:rPr>
        <w:t> </w:t>
      </w:r>
      <w:r>
        <w:rPr>
          <w:sz w:val="22"/>
        </w:rPr>
        <w:t>vendimit</w:t>
      </w:r>
      <w:r>
        <w:rPr>
          <w:spacing w:val="21"/>
          <w:sz w:val="22"/>
        </w:rPr>
        <w:t> </w:t>
      </w:r>
      <w:r>
        <w:rPr>
          <w:sz w:val="22"/>
        </w:rPr>
        <w:t>për</w:t>
      </w:r>
      <w:r>
        <w:rPr>
          <w:spacing w:val="21"/>
          <w:sz w:val="22"/>
        </w:rPr>
        <w:t> </w:t>
      </w:r>
      <w:r>
        <w:rPr>
          <w:sz w:val="22"/>
        </w:rPr>
        <w:t>dhënie</w:t>
      </w:r>
      <w:r>
        <w:rPr>
          <w:spacing w:val="18"/>
          <w:sz w:val="22"/>
        </w:rPr>
        <w:t> </w:t>
      </w:r>
      <w:r>
        <w:rPr>
          <w:sz w:val="22"/>
        </w:rPr>
        <w:t>licence</w:t>
      </w:r>
      <w:r>
        <w:rPr>
          <w:spacing w:val="18"/>
          <w:sz w:val="22"/>
        </w:rPr>
        <w:t> </w:t>
      </w:r>
      <w:r>
        <w:rPr>
          <w:sz w:val="22"/>
        </w:rPr>
        <w:t>për</w:t>
      </w:r>
      <w:r>
        <w:rPr>
          <w:spacing w:val="21"/>
          <w:sz w:val="22"/>
        </w:rPr>
        <w:t> </w:t>
      </w:r>
      <w:r>
        <w:rPr>
          <w:sz w:val="22"/>
        </w:rPr>
        <w:t>një</w:t>
      </w:r>
      <w:r>
        <w:rPr>
          <w:spacing w:val="18"/>
          <w:sz w:val="22"/>
        </w:rPr>
        <w:t> </w:t>
      </w:r>
      <w:r>
        <w:rPr>
          <w:sz w:val="22"/>
        </w:rPr>
        <w:t>periudhë</w:t>
      </w:r>
    </w:p>
    <w:p>
      <w:pPr>
        <w:pStyle w:val="BodyText"/>
        <w:spacing w:before="1"/>
        <w:ind w:left="0" w:firstLine="0"/>
      </w:pPr>
    </w:p>
    <w:p>
      <w:pPr>
        <w:pStyle w:val="ListParagraph"/>
        <w:numPr>
          <w:ilvl w:val="0"/>
          <w:numId w:val="138"/>
        </w:numPr>
        <w:tabs>
          <w:tab w:pos="349" w:val="left" w:leader="none"/>
        </w:tabs>
        <w:spacing w:line="252" w:lineRule="exact" w:before="0" w:after="0"/>
        <w:ind w:left="348" w:right="0" w:hanging="230"/>
        <w:jc w:val="left"/>
        <w:rPr>
          <w:sz w:val="22"/>
        </w:rPr>
      </w:pPr>
      <w:r>
        <w:rPr>
          <w:sz w:val="22"/>
        </w:rPr>
        <w:t>6 muaj në transmetimet audio lokale e</w:t>
      </w:r>
      <w:r>
        <w:rPr>
          <w:spacing w:val="-4"/>
          <w:sz w:val="22"/>
        </w:rPr>
        <w:t> </w:t>
      </w:r>
      <w:r>
        <w:rPr>
          <w:sz w:val="22"/>
        </w:rPr>
        <w:t>rajonale;</w:t>
      </w:r>
    </w:p>
    <w:p>
      <w:pPr>
        <w:pStyle w:val="ListParagraph"/>
        <w:numPr>
          <w:ilvl w:val="0"/>
          <w:numId w:val="138"/>
        </w:numPr>
        <w:tabs>
          <w:tab w:pos="360" w:val="left" w:leader="none"/>
        </w:tabs>
        <w:spacing w:line="252" w:lineRule="exact" w:before="0" w:after="0"/>
        <w:ind w:left="360" w:right="0" w:hanging="241"/>
        <w:jc w:val="left"/>
        <w:rPr>
          <w:sz w:val="22"/>
        </w:rPr>
      </w:pPr>
      <w:r>
        <w:rPr>
          <w:sz w:val="22"/>
        </w:rPr>
        <w:t>9 muaj në shërbimin e transmetimit audioviziv lokal e</w:t>
      </w:r>
      <w:r>
        <w:rPr>
          <w:spacing w:val="-6"/>
          <w:sz w:val="22"/>
        </w:rPr>
        <w:t> </w:t>
      </w:r>
      <w:r>
        <w:rPr>
          <w:sz w:val="22"/>
        </w:rPr>
        <w:t>rajonal;</w:t>
      </w:r>
    </w:p>
    <w:p>
      <w:pPr>
        <w:pStyle w:val="ListParagraph"/>
        <w:numPr>
          <w:ilvl w:val="0"/>
          <w:numId w:val="138"/>
        </w:numPr>
        <w:tabs>
          <w:tab w:pos="349" w:val="left" w:leader="none"/>
        </w:tabs>
        <w:spacing w:line="240" w:lineRule="auto" w:before="0" w:after="0"/>
        <w:ind w:left="120" w:right="2896" w:hanging="1"/>
        <w:jc w:val="left"/>
        <w:rPr>
          <w:sz w:val="22"/>
        </w:rPr>
      </w:pPr>
      <w:r>
        <w:rPr>
          <w:sz w:val="22"/>
        </w:rPr>
        <w:t>12 muaj në vënien në funksionim të multipleksit lokal e rajonal; ç) 12 muaj në transmetimet audio kombëtare;</w:t>
      </w:r>
    </w:p>
    <w:p>
      <w:pPr>
        <w:pStyle w:val="ListParagraph"/>
        <w:numPr>
          <w:ilvl w:val="0"/>
          <w:numId w:val="138"/>
        </w:numPr>
        <w:tabs>
          <w:tab w:pos="361" w:val="left" w:leader="none"/>
        </w:tabs>
        <w:spacing w:line="240" w:lineRule="auto" w:before="0" w:after="0"/>
        <w:ind w:left="120" w:right="2976" w:firstLine="0"/>
        <w:jc w:val="left"/>
        <w:rPr>
          <w:sz w:val="22"/>
        </w:rPr>
      </w:pPr>
      <w:r>
        <w:rPr>
          <w:sz w:val="22"/>
        </w:rPr>
        <w:t>18 muaj në shërbimin e transmetimeve audiovizive kombëtare; dh) 24 muaj në vënien në funksionim të multipleksit</w:t>
      </w:r>
      <w:r>
        <w:rPr>
          <w:spacing w:val="-8"/>
          <w:sz w:val="22"/>
        </w:rPr>
        <w:t> </w:t>
      </w:r>
      <w:r>
        <w:rPr>
          <w:sz w:val="22"/>
        </w:rPr>
        <w:t>kombëtar.</w:t>
      </w:r>
    </w:p>
    <w:p>
      <w:pPr>
        <w:pStyle w:val="ListParagraph"/>
        <w:numPr>
          <w:ilvl w:val="0"/>
          <w:numId w:val="137"/>
        </w:numPr>
        <w:tabs>
          <w:tab w:pos="370" w:val="left" w:leader="none"/>
        </w:tabs>
        <w:spacing w:line="240" w:lineRule="auto" w:before="0" w:after="0"/>
        <w:ind w:left="369" w:right="0" w:hanging="250"/>
        <w:jc w:val="left"/>
        <w:rPr>
          <w:sz w:val="22"/>
        </w:rPr>
      </w:pPr>
      <w:r>
        <w:rPr>
          <w:sz w:val="22"/>
        </w:rPr>
        <w:t>Pas</w:t>
      </w:r>
      <w:r>
        <w:rPr>
          <w:spacing w:val="24"/>
          <w:sz w:val="22"/>
        </w:rPr>
        <w:t> </w:t>
      </w:r>
      <w:r>
        <w:rPr>
          <w:sz w:val="22"/>
        </w:rPr>
        <w:t>fillimit</w:t>
      </w:r>
      <w:r>
        <w:rPr>
          <w:spacing w:val="26"/>
          <w:sz w:val="22"/>
        </w:rPr>
        <w:t> </w:t>
      </w:r>
      <w:r>
        <w:rPr>
          <w:sz w:val="22"/>
        </w:rPr>
        <w:t>të</w:t>
      </w:r>
      <w:r>
        <w:rPr>
          <w:spacing w:val="25"/>
          <w:sz w:val="22"/>
        </w:rPr>
        <w:t> </w:t>
      </w:r>
      <w:r>
        <w:rPr>
          <w:sz w:val="22"/>
        </w:rPr>
        <w:t>transmetimit,</w:t>
      </w:r>
      <w:r>
        <w:rPr>
          <w:spacing w:val="27"/>
          <w:sz w:val="22"/>
        </w:rPr>
        <w:t> </w:t>
      </w:r>
      <w:r>
        <w:rPr>
          <w:sz w:val="22"/>
        </w:rPr>
        <w:t>gjatë</w:t>
      </w:r>
      <w:r>
        <w:rPr>
          <w:spacing w:val="25"/>
          <w:sz w:val="22"/>
        </w:rPr>
        <w:t> </w:t>
      </w:r>
      <w:r>
        <w:rPr>
          <w:sz w:val="22"/>
        </w:rPr>
        <w:t>një</w:t>
      </w:r>
      <w:r>
        <w:rPr>
          <w:spacing w:val="27"/>
          <w:sz w:val="22"/>
        </w:rPr>
        <w:t> </w:t>
      </w:r>
      <w:r>
        <w:rPr>
          <w:sz w:val="22"/>
        </w:rPr>
        <w:t>viti</w:t>
      </w:r>
      <w:r>
        <w:rPr>
          <w:spacing w:val="29"/>
          <w:sz w:val="22"/>
        </w:rPr>
        <w:t> </w:t>
      </w:r>
      <w:r>
        <w:rPr>
          <w:sz w:val="22"/>
        </w:rPr>
        <w:t>kalendarik,</w:t>
      </w:r>
      <w:r>
        <w:rPr>
          <w:spacing w:val="27"/>
          <w:sz w:val="22"/>
        </w:rPr>
        <w:t> </w:t>
      </w:r>
      <w:r>
        <w:rPr>
          <w:sz w:val="22"/>
        </w:rPr>
        <w:t>nuk</w:t>
      </w:r>
      <w:r>
        <w:rPr>
          <w:spacing w:val="25"/>
          <w:sz w:val="22"/>
        </w:rPr>
        <w:t> </w:t>
      </w:r>
      <w:r>
        <w:rPr>
          <w:sz w:val="22"/>
        </w:rPr>
        <w:t>transmetohet</w:t>
      </w:r>
      <w:r>
        <w:rPr>
          <w:spacing w:val="29"/>
          <w:sz w:val="22"/>
        </w:rPr>
        <w:t> </w:t>
      </w:r>
      <w:r>
        <w:rPr>
          <w:sz w:val="22"/>
        </w:rPr>
        <w:t>30</w:t>
      </w:r>
      <w:r>
        <w:rPr>
          <w:spacing w:val="24"/>
          <w:sz w:val="22"/>
        </w:rPr>
        <w:t> </w:t>
      </w:r>
      <w:r>
        <w:rPr>
          <w:sz w:val="22"/>
        </w:rPr>
        <w:t>ditë,</w:t>
      </w:r>
      <w:r>
        <w:rPr>
          <w:spacing w:val="25"/>
          <w:sz w:val="22"/>
        </w:rPr>
        <w:t> </w:t>
      </w:r>
      <w:r>
        <w:rPr>
          <w:sz w:val="22"/>
        </w:rPr>
        <w:t>pa</w:t>
      </w:r>
      <w:r>
        <w:rPr>
          <w:spacing w:val="26"/>
          <w:sz w:val="22"/>
        </w:rPr>
        <w:t> </w:t>
      </w:r>
      <w:r>
        <w:rPr>
          <w:sz w:val="22"/>
        </w:rPr>
        <w:t>llogaritur</w:t>
      </w:r>
    </w:p>
    <w:p>
      <w:pPr>
        <w:spacing w:after="0" w:line="240" w:lineRule="auto"/>
        <w:jc w:val="left"/>
        <w:rPr>
          <w:sz w:val="22"/>
        </w:rPr>
        <w:sectPr>
          <w:type w:val="continuous"/>
          <w:pgSz w:w="12240" w:h="15840"/>
          <w:pgMar w:top="1360" w:bottom="280" w:left="1320" w:right="1320"/>
          <w:cols w:num="2" w:equalWidth="0">
            <w:col w:w="649" w:space="71"/>
            <w:col w:w="8880"/>
          </w:cols>
        </w:sectPr>
      </w:pPr>
    </w:p>
    <w:p>
      <w:pPr>
        <w:pStyle w:val="BodyText"/>
        <w:spacing w:line="252" w:lineRule="exact"/>
        <w:ind w:firstLine="0"/>
      </w:pPr>
      <w:r>
        <w:rPr/>
        <w:t>ndërprerjet për arsye teknike që nuk varen nga mbajtësi i licencës.</w:t>
      </w:r>
    </w:p>
    <w:p>
      <w:pPr>
        <w:pStyle w:val="ListParagraph"/>
        <w:numPr>
          <w:ilvl w:val="0"/>
          <w:numId w:val="137"/>
        </w:numPr>
        <w:tabs>
          <w:tab w:pos="1066" w:val="left" w:leader="none"/>
        </w:tabs>
        <w:spacing w:line="240" w:lineRule="auto" w:before="1" w:after="0"/>
        <w:ind w:left="120" w:right="116" w:firstLine="720"/>
        <w:jc w:val="left"/>
        <w:rPr>
          <w:sz w:val="22"/>
        </w:rPr>
      </w:pPr>
      <w:r>
        <w:rPr>
          <w:sz w:val="22"/>
        </w:rPr>
        <w:t>Te mbajtësi i licencës kanë ndodhur ndryshime që e bëjnë të pamundur respektimin e kushteve të vendosura në</w:t>
      </w:r>
      <w:r>
        <w:rPr>
          <w:spacing w:val="-1"/>
          <w:sz w:val="22"/>
        </w:rPr>
        <w:t> </w:t>
      </w:r>
      <w:r>
        <w:rPr>
          <w:sz w:val="22"/>
        </w:rPr>
        <w:t>licencë.</w:t>
      </w:r>
    </w:p>
    <w:p>
      <w:pPr>
        <w:pStyle w:val="ListParagraph"/>
        <w:numPr>
          <w:ilvl w:val="0"/>
          <w:numId w:val="137"/>
        </w:numPr>
        <w:tabs>
          <w:tab w:pos="1129" w:val="left" w:leader="none"/>
        </w:tabs>
        <w:spacing w:line="240" w:lineRule="auto" w:before="0" w:after="0"/>
        <w:ind w:left="120" w:right="114" w:firstLine="720"/>
        <w:jc w:val="left"/>
        <w:rPr>
          <w:sz w:val="22"/>
        </w:rPr>
      </w:pPr>
      <w:r>
        <w:rPr>
          <w:sz w:val="22"/>
        </w:rPr>
        <w:t>Prona e mbajtësit të licencës, e cila shërben drejtpërdrejt për ushtrimin e aktivitetit të shërbimeve audiovizive, ka dalë në ankand për</w:t>
      </w:r>
      <w:r>
        <w:rPr>
          <w:spacing w:val="-3"/>
          <w:sz w:val="22"/>
        </w:rPr>
        <w:t> </w:t>
      </w:r>
      <w:r>
        <w:rPr>
          <w:sz w:val="22"/>
        </w:rPr>
        <w:t>shitje.</w:t>
      </w:r>
    </w:p>
    <w:p>
      <w:pPr>
        <w:pStyle w:val="ListParagraph"/>
        <w:numPr>
          <w:ilvl w:val="0"/>
          <w:numId w:val="137"/>
        </w:numPr>
        <w:tabs>
          <w:tab w:pos="1131" w:val="left" w:leader="none"/>
        </w:tabs>
        <w:spacing w:line="242" w:lineRule="auto" w:before="0" w:after="0"/>
        <w:ind w:left="120" w:right="116" w:firstLine="720"/>
        <w:jc w:val="left"/>
        <w:rPr>
          <w:sz w:val="22"/>
        </w:rPr>
      </w:pPr>
      <w:r>
        <w:rPr>
          <w:sz w:val="22"/>
        </w:rPr>
        <w:t>Ndëshkohet më shumë se 3 herë brenda një viti kalendarik, për një nga kundërvajtjet administrative të parashikuara në nenet 132 dhe 133 të këtij</w:t>
      </w:r>
      <w:r>
        <w:rPr>
          <w:spacing w:val="-8"/>
          <w:sz w:val="22"/>
        </w:rPr>
        <w:t> </w:t>
      </w:r>
      <w:r>
        <w:rPr>
          <w:sz w:val="22"/>
        </w:rPr>
        <w:t>ligji.</w:t>
      </w:r>
    </w:p>
    <w:p>
      <w:pPr>
        <w:pStyle w:val="BodyText"/>
        <w:spacing w:before="6"/>
        <w:ind w:left="0" w:firstLine="0"/>
        <w:rPr>
          <w:sz w:val="21"/>
        </w:rPr>
      </w:pPr>
    </w:p>
    <w:p>
      <w:pPr>
        <w:pStyle w:val="BodyText"/>
        <w:ind w:left="3328" w:right="3312" w:firstLine="955"/>
      </w:pPr>
      <w:r>
        <w:rPr/>
        <w:t>KREU VIII TRANSMETIMET NUMERIKE</w:t>
      </w:r>
    </w:p>
    <w:p>
      <w:pPr>
        <w:pStyle w:val="BodyText"/>
        <w:ind w:left="0" w:firstLine="0"/>
      </w:pPr>
    </w:p>
    <w:p>
      <w:pPr>
        <w:pStyle w:val="BodyText"/>
        <w:ind w:left="146" w:right="146" w:firstLine="0"/>
        <w:jc w:val="center"/>
      </w:pPr>
      <w:r>
        <w:rPr/>
        <w:t>Neni 70</w:t>
      </w:r>
    </w:p>
    <w:p>
      <w:pPr>
        <w:pStyle w:val="Heading1"/>
      </w:pPr>
      <w:r>
        <w:rPr/>
        <w:t>Aplikimi për licencat e rrjeteve numerike</w:t>
      </w:r>
    </w:p>
    <w:p>
      <w:pPr>
        <w:pStyle w:val="BodyText"/>
        <w:spacing w:before="7"/>
        <w:ind w:left="0" w:firstLine="0"/>
        <w:rPr>
          <w:b/>
          <w:sz w:val="21"/>
        </w:rPr>
      </w:pPr>
    </w:p>
    <w:p>
      <w:pPr>
        <w:pStyle w:val="ListParagraph"/>
        <w:numPr>
          <w:ilvl w:val="0"/>
          <w:numId w:val="139"/>
        </w:numPr>
        <w:tabs>
          <w:tab w:pos="1102" w:val="left" w:leader="none"/>
        </w:tabs>
        <w:spacing w:line="240" w:lineRule="auto" w:before="0" w:after="0"/>
        <w:ind w:left="120" w:right="113" w:firstLine="720"/>
        <w:jc w:val="left"/>
        <w:rPr>
          <w:sz w:val="22"/>
        </w:rPr>
      </w:pPr>
      <w:r>
        <w:rPr>
          <w:sz w:val="22"/>
        </w:rPr>
        <w:t>Të drejtën e aplikimit për t’u pajisur me licencë rrjeti numerik, përkatësisht lokal, rajonal kombëtar e kanë shoqëritë aksionare</w:t>
      </w:r>
      <w:r>
        <w:rPr>
          <w:spacing w:val="-4"/>
          <w:sz w:val="22"/>
        </w:rPr>
        <w:t> </w:t>
      </w:r>
      <w:r>
        <w:rPr>
          <w:sz w:val="22"/>
        </w:rPr>
        <w:t>që:</w:t>
      </w:r>
    </w:p>
    <w:p>
      <w:pPr>
        <w:pStyle w:val="ListParagraph"/>
        <w:numPr>
          <w:ilvl w:val="0"/>
          <w:numId w:val="140"/>
        </w:numPr>
        <w:tabs>
          <w:tab w:pos="1074" w:val="left" w:leader="none"/>
        </w:tabs>
        <w:spacing w:line="240" w:lineRule="auto" w:before="0" w:after="0"/>
        <w:ind w:left="120" w:right="112" w:firstLine="720"/>
        <w:jc w:val="left"/>
        <w:rPr>
          <w:sz w:val="22"/>
        </w:rPr>
      </w:pPr>
      <w:r>
        <w:rPr>
          <w:sz w:val="22"/>
        </w:rPr>
        <w:t>zotërojnë licencë për shërbime programi audio dhe audioviziv përkatësisht lokale, rajonale apo kombëtare;</w:t>
      </w:r>
    </w:p>
    <w:p>
      <w:pPr>
        <w:spacing w:after="0" w:line="240" w:lineRule="auto"/>
        <w:jc w:val="left"/>
        <w:rPr>
          <w:sz w:val="22"/>
        </w:rPr>
        <w:sectPr>
          <w:type w:val="continuous"/>
          <w:pgSz w:w="12240" w:h="15840"/>
          <w:pgMar w:top="1360" w:bottom="280" w:left="1320" w:right="1320"/>
        </w:sectPr>
      </w:pPr>
    </w:p>
    <w:p>
      <w:pPr>
        <w:pStyle w:val="ListParagraph"/>
        <w:numPr>
          <w:ilvl w:val="0"/>
          <w:numId w:val="140"/>
        </w:numPr>
        <w:tabs>
          <w:tab w:pos="1085" w:val="left" w:leader="none"/>
        </w:tabs>
        <w:spacing w:line="240" w:lineRule="auto" w:before="74" w:after="0"/>
        <w:ind w:left="120" w:right="114" w:firstLine="720"/>
        <w:jc w:val="both"/>
        <w:rPr>
          <w:sz w:val="22"/>
        </w:rPr>
      </w:pPr>
      <w:r>
        <w:rPr>
          <w:sz w:val="22"/>
        </w:rPr>
        <w:t>nuk zotërojnë licencë për shërbime programi audio dhe audioviziv. Në këtë rast aplikimi bëhet njëkohësisht për licencë për shërbime programi sipas kërkesave të nenit 60 dhe kërkesave për licencë rrjeti numerik sipas këtij kreu. AMA shqyrton fillimisht aplikimin për shërbimin e programit sipas nenit 61 të këtij ligji.</w:t>
      </w:r>
    </w:p>
    <w:p>
      <w:pPr>
        <w:pStyle w:val="ListParagraph"/>
        <w:numPr>
          <w:ilvl w:val="0"/>
          <w:numId w:val="139"/>
        </w:numPr>
        <w:tabs>
          <w:tab w:pos="1092" w:val="left" w:leader="none"/>
        </w:tabs>
        <w:spacing w:line="240" w:lineRule="auto" w:before="0" w:after="0"/>
        <w:ind w:left="120" w:right="114" w:firstLine="720"/>
        <w:jc w:val="both"/>
        <w:rPr>
          <w:sz w:val="22"/>
        </w:rPr>
      </w:pPr>
      <w:r>
        <w:rPr>
          <w:sz w:val="22"/>
        </w:rPr>
        <w:t>Licenca e rrjetit numerik jepet me konkurrim të hapur duke garantuar trajtim të barabartë, objektiv dhe jo diskriminues. AMA, me nismën e vet ose me kërkesën e subjekteve të interesuara, çel garën duke pasur parasysh planin e përdorimit të frekuencave, si dhe duke marrë në konsideratë ekzistencën e frekuencave të lira për transmetimet</w:t>
      </w:r>
      <w:r>
        <w:rPr>
          <w:spacing w:val="-6"/>
          <w:sz w:val="22"/>
        </w:rPr>
        <w:t> </w:t>
      </w:r>
      <w:r>
        <w:rPr>
          <w:sz w:val="22"/>
        </w:rPr>
        <w:t>numerike.</w:t>
      </w:r>
    </w:p>
    <w:p>
      <w:pPr>
        <w:pStyle w:val="ListParagraph"/>
        <w:numPr>
          <w:ilvl w:val="0"/>
          <w:numId w:val="139"/>
        </w:numPr>
        <w:tabs>
          <w:tab w:pos="1092" w:val="left" w:leader="none"/>
        </w:tabs>
        <w:spacing w:line="240" w:lineRule="auto" w:before="0" w:after="0"/>
        <w:ind w:left="120" w:right="115" w:firstLine="720"/>
        <w:jc w:val="both"/>
        <w:rPr>
          <w:sz w:val="22"/>
        </w:rPr>
      </w:pPr>
      <w:r>
        <w:rPr>
          <w:sz w:val="22"/>
        </w:rPr>
        <w:t>Licencat e rrjetit numerik jepen nga AMA në përputhje me kërkesat teknike të përcaktuara</w:t>
      </w:r>
      <w:bookmarkStart w:name="a) planin e frekuencave për transmetimet" w:id="13"/>
      <w:bookmarkEnd w:id="13"/>
      <w:r>
        <w:rPr>
          <w:sz w:val="22"/>
        </w:rPr>
      </w:r>
      <w:r>
        <w:rPr>
          <w:sz w:val="22"/>
        </w:rPr>
        <w:t> bazuar</w:t>
      </w:r>
      <w:r>
        <w:rPr>
          <w:spacing w:val="1"/>
          <w:sz w:val="22"/>
        </w:rPr>
        <w:t> </w:t>
      </w:r>
      <w:r>
        <w:rPr>
          <w:sz w:val="22"/>
        </w:rPr>
        <w:t>në:</w:t>
      </w:r>
    </w:p>
    <w:p>
      <w:pPr>
        <w:pStyle w:val="ListParagraph"/>
        <w:numPr>
          <w:ilvl w:val="0"/>
          <w:numId w:val="141"/>
        </w:numPr>
        <w:tabs>
          <w:tab w:pos="1085" w:val="left" w:leader="none"/>
        </w:tabs>
        <w:spacing w:line="240" w:lineRule="auto" w:before="0" w:after="0"/>
        <w:ind w:left="120" w:right="114" w:firstLine="720"/>
        <w:jc w:val="both"/>
        <w:rPr>
          <w:sz w:val="22"/>
        </w:rPr>
      </w:pPr>
      <w:r>
        <w:rPr>
          <w:sz w:val="22"/>
        </w:rPr>
        <w:t>planin e frekuencave për transmetimet numerike, të miratuar me Aktet Finale të Konferencës Rajonale të Radiokomunikacioneve “Për planifikimin e transmetimeve numerike tokësore në pjesë të rajoneve 1 dhe 3 në bandat e frekuencave 174-230 MHz dhe 470-862 MHz (RRC-06), ratifikuar nga Kuvendi me ligjin nr. 9851 datë 26.12.2007, duke përjashtuar frekuencat e digjital dividendit, sipas përcaktimeve në Aktet Finale të Konferencës Botërore të Radiokomunikacioneve WRC-07 dhe WRC- 2012;</w:t>
      </w:r>
    </w:p>
    <w:p>
      <w:pPr>
        <w:spacing w:after="0" w:line="240" w:lineRule="auto"/>
        <w:jc w:val="both"/>
        <w:rPr>
          <w:sz w:val="22"/>
        </w:rPr>
        <w:sectPr>
          <w:pgSz w:w="12240" w:h="15840"/>
          <w:pgMar w:top="1360" w:bottom="280" w:left="1320" w:right="1320"/>
        </w:sectPr>
      </w:pPr>
    </w:p>
    <w:p>
      <w:pPr>
        <w:pStyle w:val="BodyText"/>
        <w:ind w:left="0" w:firstLine="0"/>
        <w:rPr>
          <w:sz w:val="24"/>
        </w:rPr>
      </w:pPr>
    </w:p>
    <w:p>
      <w:pPr>
        <w:pStyle w:val="BodyText"/>
        <w:spacing w:before="9"/>
        <w:ind w:left="0" w:firstLine="0"/>
        <w:rPr>
          <w:sz w:val="19"/>
        </w:rPr>
      </w:pPr>
    </w:p>
    <w:p>
      <w:pPr>
        <w:pStyle w:val="BodyText"/>
        <w:ind w:firstLine="0"/>
      </w:pPr>
      <w:r>
        <w:rPr/>
        <w:t>me to.</w:t>
      </w:r>
    </w:p>
    <w:p>
      <w:pPr>
        <w:pStyle w:val="ListParagraph"/>
        <w:numPr>
          <w:ilvl w:val="0"/>
          <w:numId w:val="141"/>
        </w:numPr>
        <w:tabs>
          <w:tab w:pos="361" w:val="left" w:leader="none"/>
        </w:tabs>
        <w:spacing w:line="252" w:lineRule="exact" w:before="0" w:after="0"/>
        <w:ind w:left="360" w:right="0" w:hanging="241"/>
        <w:jc w:val="left"/>
        <w:rPr>
          <w:sz w:val="22"/>
        </w:rPr>
      </w:pPr>
      <w:r>
        <w:rPr>
          <w:w w:val="100"/>
          <w:sz w:val="22"/>
        </w:rPr>
        <w:br w:type="column"/>
      </w:r>
      <w:r>
        <w:rPr>
          <w:sz w:val="22"/>
        </w:rPr>
        <w:t>disponueshmërinë e frekuencave të</w:t>
      </w:r>
      <w:r>
        <w:rPr>
          <w:spacing w:val="-3"/>
          <w:sz w:val="22"/>
        </w:rPr>
        <w:t> </w:t>
      </w:r>
      <w:r>
        <w:rPr>
          <w:sz w:val="22"/>
        </w:rPr>
        <w:t>lira;</w:t>
      </w:r>
    </w:p>
    <w:p>
      <w:pPr>
        <w:pStyle w:val="ListParagraph"/>
        <w:numPr>
          <w:ilvl w:val="0"/>
          <w:numId w:val="141"/>
        </w:numPr>
        <w:tabs>
          <w:tab w:pos="354" w:val="left" w:leader="none"/>
        </w:tabs>
        <w:spacing w:line="252" w:lineRule="exact" w:before="0" w:after="0"/>
        <w:ind w:left="353" w:right="0" w:hanging="234"/>
        <w:jc w:val="left"/>
        <w:rPr>
          <w:sz w:val="22"/>
        </w:rPr>
      </w:pPr>
      <w:r>
        <w:rPr>
          <w:sz w:val="22"/>
        </w:rPr>
        <w:t>zonat përkatëse të mbulimit me programe, shërbime shoqëruese dhe të dhëna të tjera të </w:t>
      </w:r>
      <w:r>
        <w:rPr>
          <w:spacing w:val="1"/>
          <w:sz w:val="22"/>
        </w:rPr>
        <w:t> </w:t>
      </w:r>
      <w:r>
        <w:rPr>
          <w:sz w:val="22"/>
        </w:rPr>
        <w:t>lidhura</w:t>
      </w:r>
    </w:p>
    <w:p>
      <w:pPr>
        <w:pStyle w:val="BodyText"/>
        <w:ind w:left="0" w:firstLine="0"/>
      </w:pPr>
    </w:p>
    <w:p>
      <w:pPr>
        <w:pStyle w:val="ListParagraph"/>
        <w:numPr>
          <w:ilvl w:val="0"/>
          <w:numId w:val="139"/>
        </w:numPr>
        <w:tabs>
          <w:tab w:pos="342" w:val="left" w:leader="none"/>
        </w:tabs>
        <w:spacing w:line="240" w:lineRule="auto" w:before="0" w:after="0"/>
        <w:ind w:left="341" w:right="0" w:hanging="222"/>
        <w:jc w:val="left"/>
        <w:rPr>
          <w:sz w:val="22"/>
        </w:rPr>
      </w:pPr>
      <w:r>
        <w:rPr>
          <w:sz w:val="22"/>
        </w:rPr>
        <w:t>AMA përcakton hapësirën e mbulimit, në të cilën do të transmetohet, në përputhje me</w:t>
      </w:r>
      <w:r>
        <w:rPr>
          <w:spacing w:val="-16"/>
          <w:sz w:val="22"/>
        </w:rPr>
        <w:t> </w:t>
      </w:r>
      <w:r>
        <w:rPr>
          <w:sz w:val="22"/>
        </w:rPr>
        <w:t>licencën,</w:t>
      </w:r>
    </w:p>
    <w:p>
      <w:pPr>
        <w:spacing w:after="0" w:line="240" w:lineRule="auto"/>
        <w:jc w:val="left"/>
        <w:rPr>
          <w:sz w:val="22"/>
        </w:rPr>
        <w:sectPr>
          <w:type w:val="continuous"/>
          <w:pgSz w:w="12240" w:h="15840"/>
          <w:pgMar w:top="1360" w:bottom="280" w:left="1320" w:right="1320"/>
          <w:cols w:num="2" w:equalWidth="0">
            <w:col w:w="670" w:space="49"/>
            <w:col w:w="8881"/>
          </w:cols>
        </w:sectPr>
      </w:pPr>
    </w:p>
    <w:p>
      <w:pPr>
        <w:pStyle w:val="BodyText"/>
        <w:spacing w:line="252" w:lineRule="exact"/>
        <w:ind w:firstLine="0"/>
        <w:jc w:val="both"/>
      </w:pPr>
      <w:r>
        <w:rPr/>
        <w:t>dhe fton subjektet e interesuara për të marrë pjesë në garë.</w:t>
      </w:r>
    </w:p>
    <w:p>
      <w:pPr>
        <w:pStyle w:val="ListParagraph"/>
        <w:numPr>
          <w:ilvl w:val="0"/>
          <w:numId w:val="139"/>
        </w:numPr>
        <w:tabs>
          <w:tab w:pos="1066" w:val="left" w:leader="none"/>
        </w:tabs>
        <w:spacing w:line="240" w:lineRule="auto" w:before="1" w:after="0"/>
        <w:ind w:left="120" w:right="114" w:firstLine="720"/>
        <w:jc w:val="both"/>
        <w:rPr>
          <w:sz w:val="22"/>
        </w:rPr>
      </w:pPr>
      <w:r>
        <w:rPr>
          <w:sz w:val="22"/>
        </w:rPr>
        <w:t>Njoftimi për çeljen e garës duhet të publikohet në faqen e internetit të AMA-s dhe në të paktën tre nga gazetat me tirazh më të lartë dhe, kur është e mundur, në organet e shtypit, që qarkullojnë në zonën e përcaktuar të mbulimit. Në njoftim duhet të përcaktohen procedurat dhe kërkesat për kryerjen e aplikimit dhe çdo çështje përkatëse apo të</w:t>
      </w:r>
      <w:r>
        <w:rPr>
          <w:spacing w:val="-8"/>
          <w:sz w:val="22"/>
        </w:rPr>
        <w:t> </w:t>
      </w:r>
      <w:r>
        <w:rPr>
          <w:sz w:val="22"/>
        </w:rPr>
        <w:t>nevojshme.</w:t>
      </w:r>
    </w:p>
    <w:p>
      <w:pPr>
        <w:pStyle w:val="ListParagraph"/>
        <w:numPr>
          <w:ilvl w:val="0"/>
          <w:numId w:val="139"/>
        </w:numPr>
        <w:tabs>
          <w:tab w:pos="1119" w:val="left" w:leader="none"/>
        </w:tabs>
        <w:spacing w:line="240" w:lineRule="auto" w:before="0" w:after="0"/>
        <w:ind w:left="120" w:right="112" w:firstLine="720"/>
        <w:jc w:val="both"/>
        <w:rPr>
          <w:sz w:val="22"/>
        </w:rPr>
      </w:pPr>
      <w:r>
        <w:rPr>
          <w:sz w:val="22"/>
        </w:rPr>
        <w:t>AMA, në njoftimin e përcaktuar në pikën 5 të këtij neni, përcakton zonën minimale të mbulimit në të cilën do të transmetohet materiali programor, materiale të lidhura me të dhe të dhëna të tjera. Zona minimale e mbulimit mund të jetë më e vogël se hapësira maksimale e mbulimit e përcaktuar në</w:t>
      </w:r>
      <w:r>
        <w:rPr>
          <w:spacing w:val="-1"/>
          <w:sz w:val="22"/>
        </w:rPr>
        <w:t> </w:t>
      </w:r>
      <w:r>
        <w:rPr>
          <w:sz w:val="22"/>
        </w:rPr>
        <w:t>njoftim.</w:t>
      </w:r>
    </w:p>
    <w:p>
      <w:pPr>
        <w:pStyle w:val="ListParagraph"/>
        <w:numPr>
          <w:ilvl w:val="0"/>
          <w:numId w:val="139"/>
        </w:numPr>
        <w:tabs>
          <w:tab w:pos="1064" w:val="left" w:leader="none"/>
        </w:tabs>
        <w:spacing w:line="240" w:lineRule="auto" w:before="0" w:after="0"/>
        <w:ind w:left="120" w:right="113" w:firstLine="720"/>
        <w:jc w:val="both"/>
        <w:rPr>
          <w:sz w:val="22"/>
        </w:rPr>
      </w:pPr>
      <w:r>
        <w:rPr>
          <w:sz w:val="22"/>
        </w:rPr>
        <w:t>Pavarësisht përcaktimeve të pikës 2 të këtij neni, kur në njoftimin për çeljen e aplikimeve është përcaktuar një hapësirë mbulimi minimale, kjo hapësirë duhet të jetë zona minimale e mbulimit të licencës së miratuar, duke i kërkuar aplikuesit të realizojë mbulimin e hapësirës maksimale për aq sa është e mundur.</w:t>
      </w:r>
    </w:p>
    <w:p>
      <w:pPr>
        <w:pStyle w:val="ListParagraph"/>
        <w:numPr>
          <w:ilvl w:val="0"/>
          <w:numId w:val="139"/>
        </w:numPr>
        <w:tabs>
          <w:tab w:pos="1083" w:val="left" w:leader="none"/>
        </w:tabs>
        <w:spacing w:line="240" w:lineRule="auto" w:before="0" w:after="0"/>
        <w:ind w:left="120" w:right="113" w:firstLine="720"/>
        <w:jc w:val="both"/>
        <w:rPr>
          <w:sz w:val="22"/>
        </w:rPr>
      </w:pPr>
      <w:r>
        <w:rPr>
          <w:sz w:val="22"/>
        </w:rPr>
        <w:t>Në njoftimin për çeljen e garës, AMA përcakton numrin e shërbimeve të programeve audio dhe/ose audiovizive që do të mbështeten në multipleks, si dhe nëse ndonjë shërbim ekzistues i programeve audio dhe/ose audiovizive do të mbështetet në rrjetin</w:t>
      </w:r>
      <w:r>
        <w:rPr>
          <w:spacing w:val="-8"/>
          <w:sz w:val="22"/>
        </w:rPr>
        <w:t> </w:t>
      </w:r>
      <w:r>
        <w:rPr>
          <w:sz w:val="22"/>
        </w:rPr>
        <w:t>numerik.</w:t>
      </w:r>
    </w:p>
    <w:p>
      <w:pPr>
        <w:pStyle w:val="BodyText"/>
        <w:spacing w:before="9"/>
        <w:ind w:left="0" w:firstLine="0"/>
        <w:rPr>
          <w:sz w:val="21"/>
        </w:rPr>
      </w:pPr>
    </w:p>
    <w:p>
      <w:pPr>
        <w:pStyle w:val="BodyText"/>
        <w:ind w:left="146" w:right="146" w:firstLine="0"/>
        <w:jc w:val="center"/>
      </w:pPr>
      <w:r>
        <w:rPr/>
        <w:t>Neni 71</w:t>
      </w:r>
    </w:p>
    <w:p>
      <w:pPr>
        <w:pStyle w:val="Heading1"/>
        <w:ind w:right="143"/>
      </w:pPr>
      <w:r>
        <w:rPr/>
        <w:t>Shqyrtimi i aplikimeve për dhënien e licencës së rrjeteve numerike</w:t>
      </w:r>
    </w:p>
    <w:p>
      <w:pPr>
        <w:pStyle w:val="BodyText"/>
        <w:spacing w:before="7"/>
        <w:ind w:left="0" w:firstLine="0"/>
        <w:rPr>
          <w:b/>
          <w:sz w:val="21"/>
        </w:rPr>
      </w:pPr>
    </w:p>
    <w:p>
      <w:pPr>
        <w:pStyle w:val="ListParagraph"/>
        <w:numPr>
          <w:ilvl w:val="0"/>
          <w:numId w:val="142"/>
        </w:numPr>
        <w:tabs>
          <w:tab w:pos="1093" w:val="left" w:leader="none"/>
        </w:tabs>
        <w:spacing w:line="240" w:lineRule="auto" w:before="0" w:after="0"/>
        <w:ind w:left="120" w:right="115" w:firstLine="720"/>
        <w:jc w:val="both"/>
        <w:rPr>
          <w:sz w:val="22"/>
        </w:rPr>
      </w:pPr>
      <w:r>
        <w:rPr>
          <w:sz w:val="22"/>
        </w:rPr>
        <w:t>AMA shqyrton çdo aplikim për një licencë rrjeti numerik, në bazë të njoftimit për çeljen e garës, me qëllim përcaktimin e aplikuesit të përshtatshëm për marrjen e licencës së rrjetit</w:t>
      </w:r>
      <w:r>
        <w:rPr>
          <w:spacing w:val="-22"/>
          <w:sz w:val="22"/>
        </w:rPr>
        <w:t> </w:t>
      </w:r>
      <w:r>
        <w:rPr>
          <w:sz w:val="22"/>
        </w:rPr>
        <w:t>numerik.</w:t>
      </w:r>
    </w:p>
    <w:p>
      <w:pPr>
        <w:pStyle w:val="ListParagraph"/>
        <w:numPr>
          <w:ilvl w:val="0"/>
          <w:numId w:val="142"/>
        </w:numPr>
        <w:tabs>
          <w:tab w:pos="1069" w:val="left" w:leader="none"/>
        </w:tabs>
        <w:spacing w:line="240" w:lineRule="auto" w:before="1" w:after="0"/>
        <w:ind w:left="120" w:right="112" w:firstLine="720"/>
        <w:jc w:val="both"/>
        <w:rPr>
          <w:sz w:val="22"/>
        </w:rPr>
      </w:pPr>
      <w:r>
        <w:rPr>
          <w:sz w:val="22"/>
        </w:rPr>
        <w:t>Për shqyrtimin dhe përcaktimin e aplikuesve të përshtatshëm, sipas pikës 1 të këtij neni, AMA duhet të mbajë</w:t>
      </w:r>
      <w:r>
        <w:rPr>
          <w:spacing w:val="-4"/>
          <w:sz w:val="22"/>
        </w:rPr>
        <w:t> </w:t>
      </w:r>
      <w:r>
        <w:rPr>
          <w:sz w:val="22"/>
        </w:rPr>
        <w:t>parasysh:</w:t>
      </w:r>
    </w:p>
    <w:p>
      <w:pPr>
        <w:pStyle w:val="ListParagraph"/>
        <w:numPr>
          <w:ilvl w:val="0"/>
          <w:numId w:val="143"/>
        </w:numPr>
        <w:tabs>
          <w:tab w:pos="1165" w:val="left" w:leader="none"/>
        </w:tabs>
        <w:spacing w:line="240" w:lineRule="auto" w:before="0" w:after="0"/>
        <w:ind w:left="120" w:right="113" w:firstLine="720"/>
        <w:jc w:val="both"/>
        <w:rPr>
          <w:sz w:val="22"/>
        </w:rPr>
      </w:pPr>
      <w:r>
        <w:rPr>
          <w:sz w:val="22"/>
        </w:rPr>
        <w:t>natyrën, ekspertizën dhe eksperiencën e aplikuesit përfshirë natyrën, ekspertizën dhe eksperiencën e drejtuesve, menaxherëve apo zyrtarëve të kompanisë dhe të pronarëve ose aksionarëve të saj;</w:t>
      </w:r>
    </w:p>
    <w:p>
      <w:pPr>
        <w:pStyle w:val="ListParagraph"/>
        <w:numPr>
          <w:ilvl w:val="0"/>
          <w:numId w:val="143"/>
        </w:numPr>
        <w:tabs>
          <w:tab w:pos="1095" w:val="left" w:leader="none"/>
        </w:tabs>
        <w:spacing w:line="240" w:lineRule="auto" w:before="0" w:after="0"/>
        <w:ind w:left="120" w:right="119" w:firstLine="720"/>
        <w:jc w:val="left"/>
        <w:rPr>
          <w:sz w:val="22"/>
        </w:rPr>
      </w:pPr>
      <w:r>
        <w:rPr>
          <w:sz w:val="22"/>
        </w:rPr>
        <w:t>burimet financiare në dispozicion të secilit aplikues dhe mënyrën e funksionimit ekonomik të paraqitur në aplikim;</w:t>
      </w:r>
    </w:p>
    <w:p>
      <w:pPr>
        <w:pStyle w:val="ListParagraph"/>
        <w:numPr>
          <w:ilvl w:val="0"/>
          <w:numId w:val="143"/>
        </w:numPr>
        <w:tabs>
          <w:tab w:pos="1093" w:val="left" w:leader="none"/>
        </w:tabs>
        <w:spacing w:line="240" w:lineRule="auto" w:before="0" w:after="0"/>
        <w:ind w:left="120" w:right="117" w:firstLine="720"/>
        <w:jc w:val="left"/>
        <w:rPr>
          <w:sz w:val="22"/>
        </w:rPr>
      </w:pPr>
      <w:r>
        <w:rPr>
          <w:sz w:val="22"/>
        </w:rPr>
        <w:t>gamën dhe llojin e programeve të propozuara për t’u përfshirë në multipleks dhe mënyrën e sigurimit të këtyre</w:t>
      </w:r>
      <w:r>
        <w:rPr>
          <w:spacing w:val="-3"/>
          <w:sz w:val="22"/>
        </w:rPr>
        <w:t> </w:t>
      </w:r>
      <w:r>
        <w:rPr>
          <w:sz w:val="22"/>
        </w:rPr>
        <w:t>materialeve;</w:t>
      </w:r>
    </w:p>
    <w:p>
      <w:pPr>
        <w:spacing w:after="0" w:line="240" w:lineRule="auto"/>
        <w:jc w:val="left"/>
        <w:rPr>
          <w:sz w:val="22"/>
        </w:rPr>
        <w:sectPr>
          <w:type w:val="continuous"/>
          <w:pgSz w:w="12240" w:h="15840"/>
          <w:pgMar w:top="1360" w:bottom="280" w:left="1320" w:right="1320"/>
        </w:sectPr>
      </w:pPr>
    </w:p>
    <w:p>
      <w:pPr>
        <w:pStyle w:val="BodyText"/>
        <w:spacing w:before="74"/>
        <w:ind w:left="119" w:right="114"/>
        <w:jc w:val="both"/>
      </w:pPr>
      <w:r>
        <w:rPr/>
        <w:t>ç) në rastin e një rrjeti numerik të shërbimit audioviziv, propozimin e aplikuesit për përftimin e pajisjeve të nevojshme për marrjen nga shikuesit nëpërmjet këtyre pajisjeve të të gjitha multiplekseve të shërbimit audioviziv që transmetojnë në atë zonë, përfshirë rrjetet numerike kombëtare, si dhe të shërbimeve me pagesë dhe realizimin e mundësisë së personave për t’u informuar dhe zgjedhur mbi materialin programor të përfshirë në këto multiplekse;</w:t>
      </w:r>
    </w:p>
    <w:p>
      <w:pPr>
        <w:pStyle w:val="ListParagraph"/>
        <w:numPr>
          <w:ilvl w:val="0"/>
          <w:numId w:val="143"/>
        </w:numPr>
        <w:tabs>
          <w:tab w:pos="1081" w:val="left" w:leader="none"/>
        </w:tabs>
        <w:spacing w:line="252" w:lineRule="exact" w:before="0" w:after="0"/>
        <w:ind w:left="1080" w:right="0" w:hanging="241"/>
        <w:jc w:val="both"/>
        <w:rPr>
          <w:sz w:val="22"/>
        </w:rPr>
      </w:pPr>
      <w:r>
        <w:rPr>
          <w:sz w:val="22"/>
        </w:rPr>
        <w:t>shtrirjen e zonës së mbulimit të propozuar për t’u kryer nga</w:t>
      </w:r>
      <w:r>
        <w:rPr>
          <w:spacing w:val="-3"/>
          <w:sz w:val="22"/>
        </w:rPr>
        <w:t> </w:t>
      </w:r>
      <w:r>
        <w:rPr>
          <w:sz w:val="22"/>
        </w:rPr>
        <w:t>aplikuesi;</w:t>
      </w:r>
    </w:p>
    <w:p>
      <w:pPr>
        <w:pStyle w:val="BodyText"/>
        <w:ind w:left="119" w:right="114"/>
        <w:jc w:val="both"/>
      </w:pPr>
      <w:r>
        <w:rPr/>
        <w:t>dh) propozimet teknike, përfshirë periudhën e zbatimit, lidhur me ngritjen dhe vënien në funksionim të rrjetit numerik;</w:t>
      </w:r>
    </w:p>
    <w:p>
      <w:pPr>
        <w:pStyle w:val="ListParagraph"/>
        <w:numPr>
          <w:ilvl w:val="0"/>
          <w:numId w:val="143"/>
        </w:numPr>
        <w:tabs>
          <w:tab w:pos="1112" w:val="left" w:leader="none"/>
        </w:tabs>
        <w:spacing w:line="240" w:lineRule="auto" w:before="0" w:after="0"/>
        <w:ind w:left="119" w:right="112" w:firstLine="720"/>
        <w:jc w:val="both"/>
        <w:rPr>
          <w:sz w:val="22"/>
        </w:rPr>
      </w:pPr>
      <w:r>
        <w:rPr>
          <w:sz w:val="22"/>
        </w:rPr>
        <w:t>në rastin e një rrjeti numerik transmetimi audio, propozimin e aplikuesit për lehtësimin e përfshirjes së çdo shërbimi të regjistruar transmetimi në rrjetin</w:t>
      </w:r>
      <w:r>
        <w:rPr>
          <w:spacing w:val="-6"/>
          <w:sz w:val="22"/>
        </w:rPr>
        <w:t> </w:t>
      </w:r>
      <w:r>
        <w:rPr>
          <w:sz w:val="22"/>
        </w:rPr>
        <w:t>numerik;</w:t>
      </w:r>
    </w:p>
    <w:p>
      <w:pPr>
        <w:pStyle w:val="BodyText"/>
        <w:ind w:left="119" w:right="116"/>
        <w:jc w:val="both"/>
      </w:pPr>
      <w:r>
        <w:rPr/>
        <w:t>ë) çdo çështje tjetër që AMA vlerëson si të nevojshme për sigurimin e ngritjes dhe vënien në funksionim të multiplekseve.</w:t>
      </w:r>
    </w:p>
    <w:p>
      <w:pPr>
        <w:pStyle w:val="BodyText"/>
        <w:spacing w:before="92"/>
        <w:ind w:left="146" w:right="146" w:firstLine="0"/>
        <w:jc w:val="center"/>
      </w:pPr>
      <w:r>
        <w:rPr/>
        <w:t>Neni 72</w:t>
      </w:r>
    </w:p>
    <w:p>
      <w:pPr>
        <w:pStyle w:val="Heading1"/>
        <w:spacing w:before="6"/>
        <w:ind w:right="145"/>
      </w:pPr>
      <w:r>
        <w:rPr/>
        <w:t>Kushtet e licencës për rrjetin numerik</w:t>
      </w:r>
    </w:p>
    <w:p>
      <w:pPr>
        <w:pStyle w:val="ListParagraph"/>
        <w:numPr>
          <w:ilvl w:val="0"/>
          <w:numId w:val="144"/>
        </w:numPr>
        <w:tabs>
          <w:tab w:pos="1061" w:val="left" w:leader="none"/>
        </w:tabs>
        <w:spacing w:line="252" w:lineRule="exact" w:before="179" w:after="0"/>
        <w:ind w:left="1060" w:right="0" w:hanging="221"/>
        <w:jc w:val="both"/>
        <w:rPr>
          <w:sz w:val="22"/>
        </w:rPr>
      </w:pPr>
      <w:r>
        <w:rPr>
          <w:sz w:val="22"/>
        </w:rPr>
        <w:t>AMA në licencën e rrjetit numerik</w:t>
      </w:r>
      <w:r>
        <w:rPr>
          <w:spacing w:val="-8"/>
          <w:sz w:val="22"/>
        </w:rPr>
        <w:t> </w:t>
      </w:r>
      <w:r>
        <w:rPr>
          <w:sz w:val="22"/>
        </w:rPr>
        <w:t>përcakton:</w:t>
      </w:r>
    </w:p>
    <w:p>
      <w:pPr>
        <w:pStyle w:val="ListParagraph"/>
        <w:numPr>
          <w:ilvl w:val="0"/>
          <w:numId w:val="145"/>
        </w:numPr>
        <w:tabs>
          <w:tab w:pos="1095" w:val="left" w:leader="none"/>
        </w:tabs>
        <w:spacing w:line="240" w:lineRule="auto" w:before="0" w:after="0"/>
        <w:ind w:left="120" w:right="114" w:firstLine="720"/>
        <w:jc w:val="both"/>
        <w:rPr>
          <w:sz w:val="22"/>
        </w:rPr>
      </w:pPr>
      <w:r>
        <w:rPr>
          <w:sz w:val="22"/>
        </w:rPr>
        <w:t>kërkesat për programet, shërbimet shoqëruese dhe të dhënat e tjera që do të mbështeten në multipleks, duke përfshirë kërkesat për programet</w:t>
      </w:r>
      <w:r>
        <w:rPr>
          <w:spacing w:val="-1"/>
          <w:sz w:val="22"/>
        </w:rPr>
        <w:t> </w:t>
      </w:r>
      <w:r>
        <w:rPr>
          <w:sz w:val="22"/>
        </w:rPr>
        <w:t>ekzistuese;</w:t>
      </w:r>
    </w:p>
    <w:p>
      <w:pPr>
        <w:pStyle w:val="ListParagraph"/>
        <w:numPr>
          <w:ilvl w:val="0"/>
          <w:numId w:val="145"/>
        </w:numPr>
        <w:tabs>
          <w:tab w:pos="1081" w:val="left" w:leader="none"/>
        </w:tabs>
        <w:spacing w:line="252" w:lineRule="exact" w:before="0" w:after="0"/>
        <w:ind w:left="1080" w:right="0" w:hanging="241"/>
        <w:jc w:val="both"/>
        <w:rPr>
          <w:sz w:val="22"/>
        </w:rPr>
      </w:pPr>
      <w:r>
        <w:rPr>
          <w:sz w:val="22"/>
        </w:rPr>
        <w:t>kushtet dhe afatet për realizimin e mbulimit të zonës me</w:t>
      </w:r>
      <w:r>
        <w:rPr>
          <w:spacing w:val="-3"/>
          <w:sz w:val="22"/>
        </w:rPr>
        <w:t> </w:t>
      </w:r>
      <w:r>
        <w:rPr>
          <w:sz w:val="22"/>
        </w:rPr>
        <w:t>sinjal;</w:t>
      </w:r>
    </w:p>
    <w:p>
      <w:pPr>
        <w:pStyle w:val="ListParagraph"/>
        <w:numPr>
          <w:ilvl w:val="0"/>
          <w:numId w:val="145"/>
        </w:numPr>
        <w:tabs>
          <w:tab w:pos="1112" w:val="left" w:leader="none"/>
        </w:tabs>
        <w:spacing w:line="240" w:lineRule="auto" w:before="0" w:after="0"/>
        <w:ind w:left="120" w:right="113" w:firstLine="720"/>
        <w:jc w:val="both"/>
        <w:rPr>
          <w:sz w:val="22"/>
        </w:rPr>
      </w:pPr>
      <w:r>
        <w:rPr>
          <w:sz w:val="22"/>
        </w:rPr>
        <w:t>kushtet për sigurimin e pajisjeve për marrjen e shërbimeve me pagesë nga përdoruesit e autorizuar dhe paraqitjen e programeve të mbështetura në të gjitha multiplekset, që transmetojnë në atë zonë;</w:t>
      </w:r>
    </w:p>
    <w:p>
      <w:pPr>
        <w:pStyle w:val="BodyText"/>
        <w:spacing w:line="252" w:lineRule="exact" w:before="1"/>
        <w:ind w:left="840" w:firstLine="0"/>
        <w:jc w:val="both"/>
      </w:pPr>
      <w:r>
        <w:rPr/>
        <w:t>ç) kushtet për përputhjen me kërkesat teknike dhe cilësinë e shërbimit.</w:t>
      </w:r>
    </w:p>
    <w:p>
      <w:pPr>
        <w:pStyle w:val="ListParagraph"/>
        <w:numPr>
          <w:ilvl w:val="0"/>
          <w:numId w:val="144"/>
        </w:numPr>
        <w:tabs>
          <w:tab w:pos="1102" w:val="left" w:leader="none"/>
        </w:tabs>
        <w:spacing w:line="240" w:lineRule="auto" w:before="0" w:after="0"/>
        <w:ind w:left="120" w:right="116" w:firstLine="720"/>
        <w:jc w:val="both"/>
        <w:rPr>
          <w:sz w:val="22"/>
        </w:rPr>
      </w:pPr>
      <w:r>
        <w:rPr>
          <w:sz w:val="22"/>
        </w:rPr>
        <w:t>Licenca e rrjetit numerik përmban kushtet për pagesën e detyrimeve nga i licencuari ndaj AMA-s, si dhe kushtet për sigurimin e informacionit që AMA kërkon t’i vihet në dispozicion për ushtrimin e kompetencave të veta, përfshirë kopje të llogarive dhe</w:t>
      </w:r>
      <w:r>
        <w:rPr>
          <w:spacing w:val="-8"/>
          <w:sz w:val="22"/>
        </w:rPr>
        <w:t> </w:t>
      </w:r>
      <w:r>
        <w:rPr>
          <w:sz w:val="22"/>
        </w:rPr>
        <w:t>bilanceve.</w:t>
      </w:r>
    </w:p>
    <w:p>
      <w:pPr>
        <w:pStyle w:val="ListParagraph"/>
        <w:numPr>
          <w:ilvl w:val="0"/>
          <w:numId w:val="144"/>
        </w:numPr>
        <w:tabs>
          <w:tab w:pos="1131" w:val="left" w:leader="none"/>
        </w:tabs>
        <w:spacing w:line="240" w:lineRule="auto" w:before="0" w:after="0"/>
        <w:ind w:left="120" w:right="115" w:firstLine="720"/>
        <w:jc w:val="both"/>
        <w:rPr>
          <w:sz w:val="22"/>
        </w:rPr>
      </w:pPr>
      <w:r>
        <w:rPr>
          <w:sz w:val="22"/>
        </w:rPr>
        <w:t>AMA, në funksion të interesit të përdoruesve të shërbimeve të rrjetit numerik dhe në përmbushje të objektivave rregullatorë të saj, vendos kushte për të garantuar një konkurrencë efektive midis ofruesve të shërbimit mediatik që mbështeten në multipleks, në mënyrë që i</w:t>
      </w:r>
      <w:r>
        <w:rPr>
          <w:spacing w:val="-18"/>
          <w:sz w:val="22"/>
        </w:rPr>
        <w:t> </w:t>
      </w:r>
      <w:r>
        <w:rPr>
          <w:sz w:val="22"/>
        </w:rPr>
        <w:t>licencuari:</w:t>
      </w:r>
    </w:p>
    <w:p>
      <w:pPr>
        <w:pStyle w:val="ListParagraph"/>
        <w:numPr>
          <w:ilvl w:val="0"/>
          <w:numId w:val="146"/>
        </w:numPr>
        <w:tabs>
          <w:tab w:pos="1076" w:val="left" w:leader="none"/>
        </w:tabs>
        <w:spacing w:line="240" w:lineRule="auto" w:before="0" w:after="0"/>
        <w:ind w:left="120" w:right="116" w:firstLine="720"/>
        <w:jc w:val="both"/>
        <w:rPr>
          <w:sz w:val="22"/>
        </w:rPr>
      </w:pPr>
      <w:r>
        <w:rPr>
          <w:sz w:val="22"/>
        </w:rPr>
        <w:t>të mos pengojë përdoruesit që, në ndonjë hapësirë mbulimi, të marrin shërbimet e multipleksit në aparatin</w:t>
      </w:r>
      <w:r>
        <w:rPr>
          <w:spacing w:val="-1"/>
          <w:sz w:val="22"/>
        </w:rPr>
        <w:t> </w:t>
      </w:r>
      <w:r>
        <w:rPr>
          <w:sz w:val="22"/>
        </w:rPr>
        <w:t>marrës;</w:t>
      </w:r>
    </w:p>
    <w:p>
      <w:pPr>
        <w:pStyle w:val="ListParagraph"/>
        <w:numPr>
          <w:ilvl w:val="0"/>
          <w:numId w:val="146"/>
        </w:numPr>
        <w:tabs>
          <w:tab w:pos="1081" w:val="left" w:leader="none"/>
        </w:tabs>
        <w:spacing w:line="240" w:lineRule="auto" w:before="0" w:after="0"/>
        <w:ind w:left="120" w:right="115" w:firstLine="720"/>
        <w:jc w:val="both"/>
        <w:rPr>
          <w:sz w:val="22"/>
        </w:rPr>
      </w:pPr>
      <w:r>
        <w:rPr>
          <w:sz w:val="22"/>
        </w:rPr>
        <w:t>të garantojë që çdo aparat marrës të jetë në gjendje të realizojë sistemin e çkodimit për hapjen e të gjitha shërbimeve të koduara të mbështetura në rrjetin numerik në zonën përkatëse të</w:t>
      </w:r>
      <w:r>
        <w:rPr>
          <w:spacing w:val="-16"/>
          <w:sz w:val="22"/>
        </w:rPr>
        <w:t> </w:t>
      </w:r>
      <w:r>
        <w:rPr>
          <w:sz w:val="22"/>
        </w:rPr>
        <w:t>mbulimit.</w:t>
      </w:r>
    </w:p>
    <w:p>
      <w:pPr>
        <w:pStyle w:val="ListParagraph"/>
        <w:numPr>
          <w:ilvl w:val="0"/>
          <w:numId w:val="144"/>
        </w:numPr>
        <w:tabs>
          <w:tab w:pos="1066" w:val="left" w:leader="none"/>
        </w:tabs>
        <w:spacing w:line="240" w:lineRule="auto" w:before="0" w:after="0"/>
        <w:ind w:left="120" w:right="113" w:firstLine="720"/>
        <w:jc w:val="both"/>
        <w:rPr>
          <w:sz w:val="22"/>
        </w:rPr>
      </w:pPr>
      <w:r>
        <w:rPr>
          <w:sz w:val="22"/>
        </w:rPr>
        <w:t>Operatorët e rrjeteve dhe ofruesit e shërbimeve numerike tokësore të transmetimit sigurojnë që programet që transmetojnë të respektojnë rregullat e etikës dhe të kriptimit e kodimit kur i dedikohen publikut të grupmoshave specifike.</w:t>
      </w:r>
    </w:p>
    <w:p>
      <w:pPr>
        <w:pStyle w:val="ListParagraph"/>
        <w:numPr>
          <w:ilvl w:val="0"/>
          <w:numId w:val="144"/>
        </w:numPr>
        <w:tabs>
          <w:tab w:pos="1092" w:val="left" w:leader="none"/>
        </w:tabs>
        <w:spacing w:line="240" w:lineRule="auto" w:before="0" w:after="0"/>
        <w:ind w:left="120" w:right="118" w:firstLine="720"/>
        <w:jc w:val="both"/>
        <w:rPr>
          <w:sz w:val="22"/>
        </w:rPr>
      </w:pPr>
      <w:r>
        <w:rPr>
          <w:sz w:val="22"/>
        </w:rPr>
        <w:t>Licenca e rrjetit numerik përmban edhe kushtet, që AMA i konsideron të përshtatshme në përmbushje të qëllimeve të këtij</w:t>
      </w:r>
      <w:r>
        <w:rPr>
          <w:spacing w:val="-4"/>
          <w:sz w:val="22"/>
        </w:rPr>
        <w:t> </w:t>
      </w:r>
      <w:r>
        <w:rPr>
          <w:sz w:val="22"/>
        </w:rPr>
        <w:t>ligji.</w:t>
      </w:r>
    </w:p>
    <w:p>
      <w:pPr>
        <w:pStyle w:val="BodyText"/>
        <w:spacing w:before="185"/>
        <w:ind w:left="146" w:right="146" w:firstLine="0"/>
        <w:jc w:val="center"/>
      </w:pPr>
      <w:r>
        <w:rPr/>
        <w:t>Neni 73</w:t>
      </w:r>
    </w:p>
    <w:p>
      <w:pPr>
        <w:pStyle w:val="Heading1"/>
        <w:spacing w:before="3"/>
        <w:ind w:right="144"/>
      </w:pPr>
      <w:r>
        <w:rPr/>
        <w:t>Shërbime me ekran të gjerë</w:t>
      </w:r>
    </w:p>
    <w:p>
      <w:pPr>
        <w:pStyle w:val="BodyText"/>
        <w:spacing w:before="7"/>
        <w:ind w:left="0" w:firstLine="0"/>
        <w:rPr>
          <w:b/>
          <w:sz w:val="21"/>
        </w:rPr>
      </w:pPr>
    </w:p>
    <w:p>
      <w:pPr>
        <w:pStyle w:val="ListParagraph"/>
        <w:numPr>
          <w:ilvl w:val="0"/>
          <w:numId w:val="147"/>
        </w:numPr>
        <w:tabs>
          <w:tab w:pos="1069" w:val="left" w:leader="none"/>
        </w:tabs>
        <w:spacing w:line="240" w:lineRule="auto" w:before="0" w:after="0"/>
        <w:ind w:left="120" w:right="114" w:firstLine="720"/>
        <w:jc w:val="left"/>
        <w:rPr>
          <w:sz w:val="22"/>
        </w:rPr>
      </w:pPr>
      <w:r>
        <w:rPr>
          <w:sz w:val="22"/>
        </w:rPr>
        <w:t>Rrjetet publike të komunikimit elektronik, të krijuara për shpërndarjen e shërbimeve televizive numerike, duhet të jenë në gjendje të shpërndajnë shërbime dhe programe televizive me ekran të</w:t>
      </w:r>
      <w:r>
        <w:rPr>
          <w:spacing w:val="-19"/>
          <w:sz w:val="22"/>
        </w:rPr>
        <w:t> </w:t>
      </w:r>
      <w:r>
        <w:rPr>
          <w:sz w:val="22"/>
        </w:rPr>
        <w:t>gjerë.</w:t>
      </w:r>
    </w:p>
    <w:p>
      <w:pPr>
        <w:pStyle w:val="ListParagraph"/>
        <w:numPr>
          <w:ilvl w:val="0"/>
          <w:numId w:val="147"/>
        </w:numPr>
        <w:tabs>
          <w:tab w:pos="1088" w:val="left" w:leader="none"/>
        </w:tabs>
        <w:spacing w:line="240" w:lineRule="auto" w:before="1" w:after="0"/>
        <w:ind w:left="120" w:right="113" w:firstLine="720"/>
        <w:jc w:val="left"/>
        <w:rPr>
          <w:sz w:val="22"/>
        </w:rPr>
      </w:pPr>
      <w:r>
        <w:rPr>
          <w:sz w:val="22"/>
        </w:rPr>
        <w:t>Operatorët e rrjeteve që marrin dhe rishpërndajnë shërbime apo programe me ekran të gjerë ruajnë të njëjtin</w:t>
      </w:r>
      <w:r>
        <w:rPr>
          <w:spacing w:val="-3"/>
          <w:sz w:val="22"/>
        </w:rPr>
        <w:t> </w:t>
      </w:r>
      <w:r>
        <w:rPr>
          <w:sz w:val="22"/>
        </w:rPr>
        <w:t>format.</w:t>
      </w:r>
    </w:p>
    <w:p>
      <w:pPr>
        <w:pStyle w:val="BodyText"/>
        <w:spacing w:before="10"/>
        <w:ind w:left="0" w:firstLine="0"/>
        <w:rPr>
          <w:sz w:val="21"/>
        </w:rPr>
      </w:pPr>
    </w:p>
    <w:p>
      <w:pPr>
        <w:pStyle w:val="BodyText"/>
        <w:ind w:left="146" w:right="146" w:firstLine="0"/>
        <w:jc w:val="center"/>
      </w:pPr>
      <w:r>
        <w:rPr/>
        <w:t>Neni 74</w:t>
      </w:r>
    </w:p>
    <w:p>
      <w:pPr>
        <w:pStyle w:val="Heading1"/>
        <w:ind w:right="144"/>
      </w:pPr>
      <w:r>
        <w:rPr/>
        <w:t>Afati i licencës dhe transferimi i të drejtave dhe detyrimeve që rrjedhin prej saj</w:t>
      </w:r>
    </w:p>
    <w:p>
      <w:pPr>
        <w:pStyle w:val="BodyText"/>
        <w:spacing w:before="7"/>
        <w:ind w:left="0" w:firstLine="0"/>
        <w:rPr>
          <w:b/>
          <w:sz w:val="21"/>
        </w:rPr>
      </w:pPr>
    </w:p>
    <w:p>
      <w:pPr>
        <w:pStyle w:val="ListParagraph"/>
        <w:numPr>
          <w:ilvl w:val="0"/>
          <w:numId w:val="148"/>
        </w:numPr>
        <w:tabs>
          <w:tab w:pos="1062" w:val="left" w:leader="none"/>
        </w:tabs>
        <w:spacing w:line="240" w:lineRule="auto" w:before="0" w:after="0"/>
        <w:ind w:left="1061" w:right="0" w:hanging="222"/>
        <w:jc w:val="left"/>
        <w:rPr>
          <w:sz w:val="22"/>
        </w:rPr>
      </w:pPr>
      <w:r>
        <w:rPr>
          <w:sz w:val="22"/>
        </w:rPr>
        <w:t>Afati i vlefshmërisë së licencës së rrjetit numerik</w:t>
      </w:r>
      <w:r>
        <w:rPr>
          <w:spacing w:val="-10"/>
          <w:sz w:val="22"/>
        </w:rPr>
        <w:t> </w:t>
      </w:r>
      <w:r>
        <w:rPr>
          <w:sz w:val="22"/>
        </w:rPr>
        <w:t>është:</w:t>
      </w:r>
    </w:p>
    <w:p>
      <w:pPr>
        <w:spacing w:after="0" w:line="240" w:lineRule="auto"/>
        <w:jc w:val="left"/>
        <w:rPr>
          <w:sz w:val="22"/>
        </w:rPr>
        <w:sectPr>
          <w:pgSz w:w="12240" w:h="15840"/>
          <w:pgMar w:top="1360" w:bottom="280" w:left="1320" w:right="1320"/>
        </w:sectPr>
      </w:pPr>
    </w:p>
    <w:p>
      <w:pPr>
        <w:pStyle w:val="ListParagraph"/>
        <w:numPr>
          <w:ilvl w:val="0"/>
          <w:numId w:val="149"/>
        </w:numPr>
        <w:tabs>
          <w:tab w:pos="1069" w:val="left" w:leader="none"/>
        </w:tabs>
        <w:spacing w:line="252" w:lineRule="exact" w:before="74" w:after="0"/>
        <w:ind w:left="1068" w:right="0" w:hanging="229"/>
        <w:jc w:val="left"/>
        <w:rPr>
          <w:sz w:val="22"/>
        </w:rPr>
      </w:pPr>
      <w:r>
        <w:rPr>
          <w:sz w:val="22"/>
        </w:rPr>
        <w:t>15 vjet për transmetimet</w:t>
      </w:r>
      <w:r>
        <w:rPr>
          <w:spacing w:val="2"/>
          <w:sz w:val="22"/>
        </w:rPr>
        <w:t> </w:t>
      </w:r>
      <w:r>
        <w:rPr>
          <w:sz w:val="22"/>
        </w:rPr>
        <w:t>kombëtare;</w:t>
      </w:r>
    </w:p>
    <w:p>
      <w:pPr>
        <w:pStyle w:val="ListParagraph"/>
        <w:numPr>
          <w:ilvl w:val="0"/>
          <w:numId w:val="149"/>
        </w:numPr>
        <w:tabs>
          <w:tab w:pos="1081" w:val="left" w:leader="none"/>
        </w:tabs>
        <w:spacing w:line="252" w:lineRule="exact" w:before="0" w:after="0"/>
        <w:ind w:left="1080" w:right="0" w:hanging="241"/>
        <w:jc w:val="left"/>
        <w:rPr>
          <w:sz w:val="22"/>
        </w:rPr>
      </w:pPr>
      <w:r>
        <w:rPr>
          <w:sz w:val="22"/>
        </w:rPr>
        <w:t>8 vjet për transmetimet rajonale e</w:t>
      </w:r>
      <w:r>
        <w:rPr>
          <w:spacing w:val="-6"/>
          <w:sz w:val="22"/>
        </w:rPr>
        <w:t> </w:t>
      </w:r>
      <w:r>
        <w:rPr>
          <w:sz w:val="22"/>
        </w:rPr>
        <w:t>lokale.</w:t>
      </w:r>
    </w:p>
    <w:p>
      <w:pPr>
        <w:pStyle w:val="ListParagraph"/>
        <w:numPr>
          <w:ilvl w:val="0"/>
          <w:numId w:val="148"/>
        </w:numPr>
        <w:tabs>
          <w:tab w:pos="1086" w:val="left" w:leader="none"/>
        </w:tabs>
        <w:spacing w:line="240" w:lineRule="auto" w:before="1" w:after="0"/>
        <w:ind w:left="120" w:right="112" w:firstLine="720"/>
        <w:jc w:val="left"/>
        <w:rPr>
          <w:sz w:val="22"/>
        </w:rPr>
      </w:pPr>
      <w:r>
        <w:rPr>
          <w:sz w:val="22"/>
        </w:rPr>
        <w:t>Transferimi i të drejtave dhe detyrimeve, që rrjedhin nga licenca, nuk mund të realizohet pa marrë paraprakisht miratimin me shkrim të</w:t>
      </w:r>
      <w:r>
        <w:rPr>
          <w:spacing w:val="-4"/>
          <w:sz w:val="22"/>
        </w:rPr>
        <w:t> </w:t>
      </w:r>
      <w:r>
        <w:rPr>
          <w:sz w:val="22"/>
        </w:rPr>
        <w:t>AMA-s.</w:t>
      </w:r>
    </w:p>
    <w:p>
      <w:pPr>
        <w:pStyle w:val="ListParagraph"/>
        <w:numPr>
          <w:ilvl w:val="0"/>
          <w:numId w:val="148"/>
        </w:numPr>
        <w:tabs>
          <w:tab w:pos="1066" w:val="left" w:leader="none"/>
        </w:tabs>
        <w:spacing w:line="240" w:lineRule="auto" w:before="0" w:after="0"/>
        <w:ind w:left="120" w:right="113" w:firstLine="720"/>
        <w:jc w:val="left"/>
        <w:rPr>
          <w:sz w:val="22"/>
        </w:rPr>
      </w:pPr>
      <w:r>
        <w:rPr>
          <w:sz w:val="22"/>
        </w:rPr>
        <w:t>Ndryshimi i neneve të statutit që përcaktojnë pronësinë dhe çështjet që lidhen me të, nuk mund të realizohet pa marrë paraprakisht miratimin me shkrim të</w:t>
      </w:r>
      <w:r>
        <w:rPr>
          <w:spacing w:val="-9"/>
          <w:sz w:val="22"/>
        </w:rPr>
        <w:t> </w:t>
      </w:r>
      <w:r>
        <w:rPr>
          <w:sz w:val="22"/>
        </w:rPr>
        <w:t>AMA-s.</w:t>
      </w:r>
    </w:p>
    <w:p>
      <w:pPr>
        <w:pStyle w:val="BodyText"/>
        <w:spacing w:before="11"/>
        <w:ind w:left="0" w:firstLine="0"/>
        <w:rPr>
          <w:sz w:val="21"/>
        </w:rPr>
      </w:pPr>
    </w:p>
    <w:p>
      <w:pPr>
        <w:pStyle w:val="BodyText"/>
        <w:spacing w:line="252" w:lineRule="exact"/>
        <w:ind w:left="142" w:right="147" w:firstLine="0"/>
        <w:jc w:val="center"/>
      </w:pPr>
      <w:r>
        <w:rPr/>
        <w:t>KREU IX</w:t>
      </w:r>
    </w:p>
    <w:p>
      <w:pPr>
        <w:pStyle w:val="BodyText"/>
        <w:ind w:left="1833" w:right="1834" w:firstLine="0"/>
        <w:jc w:val="center"/>
      </w:pPr>
      <w:r>
        <w:rPr/>
        <w:t>SHËRBIMET MEDIATIKE AUDIO DHE/OSE AUDIOVIZIVE SIPAS KËRKESËS SË PËRDORUESIT</w:t>
      </w:r>
    </w:p>
    <w:p>
      <w:pPr>
        <w:pStyle w:val="BodyText"/>
        <w:spacing w:before="10"/>
        <w:ind w:left="0" w:firstLine="0"/>
        <w:rPr>
          <w:sz w:val="21"/>
        </w:rPr>
      </w:pPr>
    </w:p>
    <w:p>
      <w:pPr>
        <w:pStyle w:val="BodyText"/>
        <w:ind w:left="146" w:right="146" w:firstLine="0"/>
        <w:jc w:val="center"/>
      </w:pPr>
      <w:r>
        <w:rPr/>
        <w:t>Neni 75</w:t>
      </w:r>
    </w:p>
    <w:p>
      <w:pPr>
        <w:pStyle w:val="Heading1"/>
        <w:spacing w:before="7"/>
        <w:ind w:right="145"/>
      </w:pPr>
      <w:r>
        <w:rPr/>
        <w:t>Ofrimi i shërbimeve mediatike audio dhe/ose audiovizive sipas kërkesës së përdoruesit</w:t>
      </w:r>
    </w:p>
    <w:p>
      <w:pPr>
        <w:pStyle w:val="BodyText"/>
        <w:spacing w:before="6"/>
        <w:ind w:left="0" w:firstLine="0"/>
        <w:rPr>
          <w:b/>
          <w:sz w:val="21"/>
        </w:rPr>
      </w:pPr>
    </w:p>
    <w:p>
      <w:pPr>
        <w:pStyle w:val="ListParagraph"/>
        <w:numPr>
          <w:ilvl w:val="0"/>
          <w:numId w:val="150"/>
        </w:numPr>
        <w:tabs>
          <w:tab w:pos="1071" w:val="left" w:leader="none"/>
        </w:tabs>
        <w:spacing w:line="240" w:lineRule="auto" w:before="1" w:after="0"/>
        <w:ind w:left="119" w:right="113" w:firstLine="720"/>
        <w:jc w:val="both"/>
        <w:rPr>
          <w:sz w:val="22"/>
        </w:rPr>
      </w:pPr>
      <w:r>
        <w:rPr>
          <w:sz w:val="22"/>
        </w:rPr>
        <w:t>Ofrimi i shërbimeve mediatike audio dhe/ose audiovizive, sipas kërkesës së përdoruesit, bëhet mbi bazën e autorizimit të lëshuar nga AMA përveç shërbimeve të shoqërisë së informacionit, të përcaktuara nga ligji nr. 10 128, datë 11.05.2009 “Për tregtinë</w:t>
      </w:r>
      <w:r>
        <w:rPr>
          <w:spacing w:val="-8"/>
          <w:sz w:val="22"/>
        </w:rPr>
        <w:t> </w:t>
      </w:r>
      <w:r>
        <w:rPr>
          <w:sz w:val="22"/>
        </w:rPr>
        <w:t>elektronike”.</w:t>
      </w:r>
    </w:p>
    <w:p>
      <w:pPr>
        <w:pStyle w:val="ListParagraph"/>
        <w:numPr>
          <w:ilvl w:val="0"/>
          <w:numId w:val="150"/>
        </w:numPr>
        <w:tabs>
          <w:tab w:pos="1061" w:val="left" w:leader="none"/>
        </w:tabs>
        <w:spacing w:line="252" w:lineRule="exact" w:before="0" w:after="0"/>
        <w:ind w:left="1060" w:right="0" w:hanging="222"/>
        <w:jc w:val="both"/>
        <w:rPr>
          <w:sz w:val="22"/>
        </w:rPr>
      </w:pPr>
      <w:r>
        <w:rPr>
          <w:sz w:val="22"/>
        </w:rPr>
        <w:t>Autorizimi jepet brenda 30 ditëve nga data e dorëzimit të</w:t>
      </w:r>
      <w:r>
        <w:rPr>
          <w:spacing w:val="-5"/>
          <w:sz w:val="22"/>
        </w:rPr>
        <w:t> </w:t>
      </w:r>
      <w:r>
        <w:rPr>
          <w:sz w:val="22"/>
        </w:rPr>
        <w:t>aplikimit.</w:t>
      </w:r>
    </w:p>
    <w:p>
      <w:pPr>
        <w:pStyle w:val="ListParagraph"/>
        <w:numPr>
          <w:ilvl w:val="0"/>
          <w:numId w:val="150"/>
        </w:numPr>
        <w:tabs>
          <w:tab w:pos="1085" w:val="left" w:leader="none"/>
        </w:tabs>
        <w:spacing w:line="240" w:lineRule="auto" w:before="0" w:after="0"/>
        <w:ind w:left="119" w:right="113" w:firstLine="720"/>
        <w:jc w:val="both"/>
        <w:rPr>
          <w:sz w:val="22"/>
        </w:rPr>
      </w:pPr>
      <w:r>
        <w:rPr>
          <w:sz w:val="22"/>
        </w:rPr>
        <w:t>Në aplikim duhet të përcaktohen emri, mbiemri, numri i dokumentit personal identifikues të subjektit aplikues, kur ky është person fizik, dhe emri i shoqërisë, numri i regjistrimit dhe informacioni përkatës për anëtarët themelues dhe për veprimtaritë e tyre, sidomos në fushën e medias, kur aplikuesi është person juridik. Nëse aplikimi paraqitet nga një sipërmarrje tregtare, duhet të përfshijë informacionin lidhur me anëtarët themelues, si dhe me personat e strukturave drejtuese të subjektit, përfshirë emrat dhe funksionet e</w:t>
      </w:r>
      <w:r>
        <w:rPr>
          <w:spacing w:val="-2"/>
          <w:sz w:val="22"/>
        </w:rPr>
        <w:t> </w:t>
      </w:r>
      <w:r>
        <w:rPr>
          <w:sz w:val="22"/>
        </w:rPr>
        <w:t>tyre.</w:t>
      </w:r>
    </w:p>
    <w:p>
      <w:pPr>
        <w:pStyle w:val="ListParagraph"/>
        <w:numPr>
          <w:ilvl w:val="0"/>
          <w:numId w:val="150"/>
        </w:numPr>
        <w:tabs>
          <w:tab w:pos="1061" w:val="left" w:leader="none"/>
        </w:tabs>
        <w:spacing w:line="252" w:lineRule="exact" w:before="0" w:after="0"/>
        <w:ind w:left="1060" w:right="0" w:hanging="222"/>
        <w:jc w:val="both"/>
        <w:rPr>
          <w:sz w:val="22"/>
        </w:rPr>
      </w:pPr>
      <w:r>
        <w:rPr>
          <w:sz w:val="22"/>
        </w:rPr>
        <w:t>Aplikimi shoqërohet</w:t>
      </w:r>
      <w:r>
        <w:rPr>
          <w:spacing w:val="1"/>
          <w:sz w:val="22"/>
        </w:rPr>
        <w:t> </w:t>
      </w:r>
      <w:r>
        <w:rPr>
          <w:sz w:val="22"/>
        </w:rPr>
        <w:t>nga:</w:t>
      </w:r>
    </w:p>
    <w:p>
      <w:pPr>
        <w:pStyle w:val="ListParagraph"/>
        <w:numPr>
          <w:ilvl w:val="0"/>
          <w:numId w:val="151"/>
        </w:numPr>
        <w:tabs>
          <w:tab w:pos="1085" w:val="left" w:leader="none"/>
        </w:tabs>
        <w:spacing w:line="240" w:lineRule="auto" w:before="0" w:after="0"/>
        <w:ind w:left="119" w:right="112" w:firstLine="720"/>
        <w:jc w:val="both"/>
        <w:rPr>
          <w:sz w:val="22"/>
        </w:rPr>
      </w:pPr>
      <w:r>
        <w:rPr>
          <w:sz w:val="22"/>
        </w:rPr>
        <w:t>oferta bazë e shërbimit, duke përcaktuar emrin e ofruesit të shërbimit mediatik audio dhe/ose audioviziv, në bazë të kërkesës së përdoruesit, emrin, qëllimin e përdorimit dhe formatin e katalogut, si dhe çdo informacion tjetër, të cilin aplikuesi e vlerëson të rëndësishëm për veprimtarinë që ka planifikuar të</w:t>
      </w:r>
      <w:r>
        <w:rPr>
          <w:spacing w:val="-1"/>
          <w:sz w:val="22"/>
        </w:rPr>
        <w:t> </w:t>
      </w:r>
      <w:r>
        <w:rPr>
          <w:sz w:val="22"/>
        </w:rPr>
        <w:t>ofrojë;</w:t>
      </w:r>
    </w:p>
    <w:p>
      <w:pPr>
        <w:pStyle w:val="ListParagraph"/>
        <w:numPr>
          <w:ilvl w:val="0"/>
          <w:numId w:val="151"/>
        </w:numPr>
        <w:tabs>
          <w:tab w:pos="1097" w:val="left" w:leader="none"/>
        </w:tabs>
        <w:spacing w:line="240" w:lineRule="auto" w:before="0" w:after="0"/>
        <w:ind w:left="1096" w:right="0" w:hanging="258"/>
        <w:jc w:val="both"/>
        <w:rPr>
          <w:sz w:val="22"/>
        </w:rPr>
      </w:pPr>
      <w:r>
        <w:rPr>
          <w:sz w:val="22"/>
        </w:rPr>
        <w:t>dokumentet që vërtetojnë burimet e financimit për vitin e pare të ushtrimit të veprimtarisë</w:t>
      </w:r>
      <w:r>
        <w:rPr>
          <w:spacing w:val="7"/>
          <w:sz w:val="22"/>
        </w:rPr>
        <w:t> </w:t>
      </w:r>
      <w:r>
        <w:rPr>
          <w:sz w:val="22"/>
        </w:rPr>
        <w:t>së</w:t>
      </w:r>
    </w:p>
    <w:p>
      <w:pPr>
        <w:pStyle w:val="BodyText"/>
        <w:spacing w:line="252" w:lineRule="exact"/>
        <w:ind w:left="119" w:firstLine="0"/>
      </w:pPr>
      <w:r>
        <w:rPr/>
        <w:t>vet;</w:t>
      </w:r>
    </w:p>
    <w:p>
      <w:pPr>
        <w:pStyle w:val="ListParagraph"/>
        <w:numPr>
          <w:ilvl w:val="0"/>
          <w:numId w:val="151"/>
        </w:numPr>
        <w:tabs>
          <w:tab w:pos="1088" w:val="left" w:leader="none"/>
        </w:tabs>
        <w:spacing w:line="240" w:lineRule="auto" w:before="1" w:after="0"/>
        <w:ind w:left="1087" w:right="0" w:hanging="249"/>
        <w:jc w:val="left"/>
        <w:rPr>
          <w:sz w:val="22"/>
        </w:rPr>
      </w:pPr>
      <w:r>
        <w:rPr>
          <w:sz w:val="22"/>
        </w:rPr>
        <w:t>informacionin</w:t>
      </w:r>
      <w:r>
        <w:rPr>
          <w:spacing w:val="14"/>
          <w:sz w:val="22"/>
        </w:rPr>
        <w:t> </w:t>
      </w:r>
      <w:r>
        <w:rPr>
          <w:sz w:val="22"/>
        </w:rPr>
        <w:t>se</w:t>
      </w:r>
      <w:r>
        <w:rPr>
          <w:spacing w:val="17"/>
          <w:sz w:val="22"/>
        </w:rPr>
        <w:t> </w:t>
      </w:r>
      <w:r>
        <w:rPr>
          <w:sz w:val="22"/>
        </w:rPr>
        <w:t>cili</w:t>
      </w:r>
      <w:r>
        <w:rPr>
          <w:spacing w:val="18"/>
          <w:sz w:val="22"/>
        </w:rPr>
        <w:t> </w:t>
      </w:r>
      <w:r>
        <w:rPr>
          <w:sz w:val="22"/>
        </w:rPr>
        <w:t>rrjet</w:t>
      </w:r>
      <w:r>
        <w:rPr>
          <w:spacing w:val="19"/>
          <w:sz w:val="22"/>
        </w:rPr>
        <w:t> </w:t>
      </w:r>
      <w:r>
        <w:rPr>
          <w:sz w:val="22"/>
        </w:rPr>
        <w:t>komunikimi</w:t>
      </w:r>
      <w:r>
        <w:rPr>
          <w:spacing w:val="18"/>
          <w:sz w:val="22"/>
        </w:rPr>
        <w:t> </w:t>
      </w:r>
      <w:r>
        <w:rPr>
          <w:sz w:val="22"/>
        </w:rPr>
        <w:t>elektronik</w:t>
      </w:r>
      <w:r>
        <w:rPr>
          <w:spacing w:val="14"/>
          <w:sz w:val="22"/>
        </w:rPr>
        <w:t> </w:t>
      </w:r>
      <w:r>
        <w:rPr>
          <w:sz w:val="22"/>
        </w:rPr>
        <w:t>do</w:t>
      </w:r>
      <w:r>
        <w:rPr>
          <w:spacing w:val="18"/>
          <w:sz w:val="22"/>
        </w:rPr>
        <w:t> </w:t>
      </w:r>
      <w:r>
        <w:rPr>
          <w:sz w:val="22"/>
        </w:rPr>
        <w:t>të</w:t>
      </w:r>
      <w:r>
        <w:rPr>
          <w:spacing w:val="17"/>
          <w:sz w:val="22"/>
        </w:rPr>
        <w:t> </w:t>
      </w:r>
      <w:r>
        <w:rPr>
          <w:sz w:val="22"/>
        </w:rPr>
        <w:t>përdoret</w:t>
      </w:r>
      <w:r>
        <w:rPr>
          <w:spacing w:val="18"/>
          <w:sz w:val="22"/>
        </w:rPr>
        <w:t> </w:t>
      </w:r>
      <w:r>
        <w:rPr>
          <w:sz w:val="22"/>
        </w:rPr>
        <w:t>për</w:t>
      </w:r>
      <w:r>
        <w:rPr>
          <w:spacing w:val="19"/>
          <w:sz w:val="22"/>
        </w:rPr>
        <w:t> </w:t>
      </w:r>
      <w:r>
        <w:rPr>
          <w:sz w:val="22"/>
        </w:rPr>
        <w:t>shpërndarjen</w:t>
      </w:r>
      <w:r>
        <w:rPr>
          <w:spacing w:val="17"/>
          <w:sz w:val="22"/>
        </w:rPr>
        <w:t> </w:t>
      </w:r>
      <w:r>
        <w:rPr>
          <w:sz w:val="22"/>
        </w:rPr>
        <w:t>e</w:t>
      </w:r>
      <w:r>
        <w:rPr>
          <w:spacing w:val="17"/>
          <w:sz w:val="22"/>
        </w:rPr>
        <w:t> </w:t>
      </w:r>
      <w:r>
        <w:rPr>
          <w:sz w:val="22"/>
        </w:rPr>
        <w:t>shërbimit</w:t>
      </w:r>
    </w:p>
    <w:p>
      <w:pPr>
        <w:pStyle w:val="BodyText"/>
        <w:spacing w:line="252" w:lineRule="exact"/>
        <w:ind w:left="119" w:firstLine="0"/>
      </w:pPr>
      <w:r>
        <w:rPr/>
        <w:t>përkatës;</w:t>
      </w:r>
    </w:p>
    <w:p>
      <w:pPr>
        <w:pStyle w:val="BodyText"/>
        <w:spacing w:line="252" w:lineRule="exact"/>
        <w:ind w:left="839" w:firstLine="0"/>
        <w:jc w:val="both"/>
      </w:pPr>
      <w:r>
        <w:rPr/>
        <w:t>ç) dokumentacionin që vërteton pagesën e detyrimeve fiskale e financiare ndaj shtetit.</w:t>
      </w:r>
    </w:p>
    <w:p>
      <w:pPr>
        <w:pStyle w:val="ListParagraph"/>
        <w:numPr>
          <w:ilvl w:val="0"/>
          <w:numId w:val="150"/>
        </w:numPr>
        <w:tabs>
          <w:tab w:pos="1064" w:val="left" w:leader="none"/>
        </w:tabs>
        <w:spacing w:line="240" w:lineRule="auto" w:before="1" w:after="0"/>
        <w:ind w:left="119" w:right="116" w:firstLine="720"/>
        <w:jc w:val="both"/>
        <w:rPr>
          <w:sz w:val="22"/>
        </w:rPr>
      </w:pPr>
      <w:r>
        <w:rPr>
          <w:sz w:val="22"/>
        </w:rPr>
        <w:t>AMA regjistron në një regjistër të veçantë ofruesit e shërbimit mediatik audio e/ose audioviziv, sipas kërkesës. Ky regjistër publikohet në faqen e internetit të AMA-s. Përmbajtja dhe ruajtja e regjistrit përcaktohen nga</w:t>
      </w:r>
      <w:r>
        <w:rPr>
          <w:spacing w:val="-1"/>
          <w:sz w:val="22"/>
        </w:rPr>
        <w:t> </w:t>
      </w:r>
      <w:r>
        <w:rPr>
          <w:sz w:val="22"/>
        </w:rPr>
        <w:t>AMA.</w:t>
      </w:r>
    </w:p>
    <w:p>
      <w:pPr>
        <w:pStyle w:val="ListParagraph"/>
        <w:numPr>
          <w:ilvl w:val="0"/>
          <w:numId w:val="150"/>
        </w:numPr>
        <w:tabs>
          <w:tab w:pos="1061" w:val="left" w:leader="none"/>
        </w:tabs>
        <w:spacing w:line="252" w:lineRule="exact" w:before="0" w:after="0"/>
        <w:ind w:left="1060" w:right="0" w:hanging="222"/>
        <w:jc w:val="both"/>
        <w:rPr>
          <w:sz w:val="22"/>
        </w:rPr>
      </w:pPr>
      <w:r>
        <w:rPr>
          <w:sz w:val="22"/>
        </w:rPr>
        <w:t>I autorizuari njofton AMA-n për çdo ndryshim të të dhënave të paraqitura në</w:t>
      </w:r>
      <w:r>
        <w:rPr>
          <w:spacing w:val="-14"/>
          <w:sz w:val="22"/>
        </w:rPr>
        <w:t> </w:t>
      </w:r>
      <w:r>
        <w:rPr>
          <w:sz w:val="22"/>
        </w:rPr>
        <w:t>aplikim.</w:t>
      </w:r>
    </w:p>
    <w:p>
      <w:pPr>
        <w:pStyle w:val="ListParagraph"/>
        <w:numPr>
          <w:ilvl w:val="0"/>
          <w:numId w:val="150"/>
        </w:numPr>
        <w:tabs>
          <w:tab w:pos="1061" w:val="left" w:leader="none"/>
        </w:tabs>
        <w:spacing w:line="240" w:lineRule="auto" w:before="0" w:after="0"/>
        <w:ind w:left="119" w:right="194" w:firstLine="720"/>
        <w:jc w:val="both"/>
        <w:rPr>
          <w:sz w:val="22"/>
        </w:rPr>
      </w:pPr>
      <w:r>
        <w:rPr>
          <w:sz w:val="22"/>
        </w:rPr>
        <w:t>Dhënia e autorizimit për ofrimin e shërbimit mediatik audio dhe/ose audioviziv, sipas kërkesës së përdoruesit, nuk përfshin dhënien e</w:t>
      </w:r>
      <w:r>
        <w:rPr>
          <w:spacing w:val="-12"/>
          <w:sz w:val="22"/>
        </w:rPr>
        <w:t> </w:t>
      </w:r>
      <w:r>
        <w:rPr>
          <w:sz w:val="22"/>
        </w:rPr>
        <w:t>frekuencave.</w:t>
      </w:r>
    </w:p>
    <w:p>
      <w:pPr>
        <w:pStyle w:val="ListParagraph"/>
        <w:numPr>
          <w:ilvl w:val="0"/>
          <w:numId w:val="150"/>
        </w:numPr>
        <w:tabs>
          <w:tab w:pos="1061" w:val="left" w:leader="none"/>
        </w:tabs>
        <w:spacing w:line="240" w:lineRule="auto" w:before="0" w:after="0"/>
        <w:ind w:left="1060" w:right="0" w:hanging="222"/>
        <w:jc w:val="both"/>
        <w:rPr>
          <w:sz w:val="22"/>
        </w:rPr>
      </w:pPr>
      <w:r>
        <w:rPr>
          <w:sz w:val="22"/>
        </w:rPr>
        <w:t>Vlefshmëria e autorizimit përfundon</w:t>
      </w:r>
      <w:r>
        <w:rPr>
          <w:spacing w:val="-2"/>
          <w:sz w:val="22"/>
        </w:rPr>
        <w:t> </w:t>
      </w:r>
      <w:r>
        <w:rPr>
          <w:sz w:val="22"/>
        </w:rPr>
        <w:t>kur:</w:t>
      </w:r>
    </w:p>
    <w:p>
      <w:pPr>
        <w:pStyle w:val="ListParagraph"/>
        <w:numPr>
          <w:ilvl w:val="0"/>
          <w:numId w:val="152"/>
        </w:numPr>
        <w:tabs>
          <w:tab w:pos="1068" w:val="left" w:leader="none"/>
        </w:tabs>
        <w:spacing w:line="252" w:lineRule="exact" w:before="1" w:after="0"/>
        <w:ind w:left="1067" w:right="0" w:hanging="229"/>
        <w:jc w:val="left"/>
        <w:rPr>
          <w:sz w:val="22"/>
        </w:rPr>
      </w:pPr>
      <w:r>
        <w:rPr>
          <w:sz w:val="22"/>
        </w:rPr>
        <w:t>ofruesi i shërbimit njofton me shkrim AMA-n për mbylljen e</w:t>
      </w:r>
      <w:r>
        <w:rPr>
          <w:spacing w:val="-10"/>
          <w:sz w:val="22"/>
        </w:rPr>
        <w:t> </w:t>
      </w:r>
      <w:r>
        <w:rPr>
          <w:sz w:val="22"/>
        </w:rPr>
        <w:t>aktivitetit;</w:t>
      </w:r>
    </w:p>
    <w:p>
      <w:pPr>
        <w:pStyle w:val="ListParagraph"/>
        <w:numPr>
          <w:ilvl w:val="0"/>
          <w:numId w:val="152"/>
        </w:numPr>
        <w:tabs>
          <w:tab w:pos="1080" w:val="left" w:leader="none"/>
        </w:tabs>
        <w:spacing w:line="252" w:lineRule="exact" w:before="0" w:after="0"/>
        <w:ind w:left="1079" w:right="0" w:hanging="241"/>
        <w:jc w:val="left"/>
        <w:rPr>
          <w:sz w:val="22"/>
        </w:rPr>
      </w:pPr>
      <w:r>
        <w:rPr>
          <w:sz w:val="22"/>
        </w:rPr>
        <w:t>nuk e ushtron aktivitetin për më shumë se një</w:t>
      </w:r>
      <w:r>
        <w:rPr>
          <w:spacing w:val="-6"/>
          <w:sz w:val="22"/>
        </w:rPr>
        <w:t> </w:t>
      </w:r>
      <w:r>
        <w:rPr>
          <w:sz w:val="22"/>
        </w:rPr>
        <w:t>vit;</w:t>
      </w:r>
    </w:p>
    <w:p>
      <w:pPr>
        <w:pStyle w:val="ListParagraph"/>
        <w:numPr>
          <w:ilvl w:val="0"/>
          <w:numId w:val="152"/>
        </w:numPr>
        <w:tabs>
          <w:tab w:pos="1068" w:val="left" w:leader="none"/>
        </w:tabs>
        <w:spacing w:line="252" w:lineRule="exact" w:before="2" w:after="0"/>
        <w:ind w:left="1067" w:right="0" w:hanging="229"/>
        <w:jc w:val="left"/>
        <w:rPr>
          <w:sz w:val="22"/>
        </w:rPr>
      </w:pPr>
      <w:r>
        <w:rPr>
          <w:sz w:val="22"/>
        </w:rPr>
        <w:t>nuk përmbush kërkesat teknike të transmetimit të</w:t>
      </w:r>
      <w:r>
        <w:rPr>
          <w:spacing w:val="-4"/>
          <w:sz w:val="22"/>
        </w:rPr>
        <w:t> </w:t>
      </w:r>
      <w:r>
        <w:rPr>
          <w:sz w:val="22"/>
        </w:rPr>
        <w:t>programeve;</w:t>
      </w:r>
    </w:p>
    <w:p>
      <w:pPr>
        <w:pStyle w:val="BodyText"/>
        <w:spacing w:line="252" w:lineRule="exact"/>
        <w:ind w:left="839" w:firstLine="0"/>
      </w:pPr>
      <w:r>
        <w:rPr/>
        <w:t>ç) ka një vendim të formës së prerë nga gjykata që ndalon ushtrimin e aktivitetit nga i autorizuari.</w:t>
      </w:r>
    </w:p>
    <w:p>
      <w:pPr>
        <w:pStyle w:val="ListParagraph"/>
        <w:numPr>
          <w:ilvl w:val="0"/>
          <w:numId w:val="150"/>
        </w:numPr>
        <w:tabs>
          <w:tab w:pos="1116" w:val="left" w:leader="none"/>
        </w:tabs>
        <w:spacing w:line="240" w:lineRule="auto" w:before="0" w:after="0"/>
        <w:ind w:left="119" w:right="115" w:firstLine="720"/>
        <w:jc w:val="left"/>
        <w:rPr>
          <w:sz w:val="22"/>
        </w:rPr>
      </w:pPr>
      <w:r>
        <w:rPr>
          <w:sz w:val="22"/>
        </w:rPr>
        <w:t>Pikat 1 deri në 8 të këtij neni zbatohen vetëm për ata OSHMA audiovizive që kryejnë transmetime</w:t>
      </w:r>
      <w:r>
        <w:rPr>
          <w:spacing w:val="-1"/>
          <w:sz w:val="22"/>
        </w:rPr>
        <w:t> </w:t>
      </w:r>
      <w:r>
        <w:rPr>
          <w:sz w:val="22"/>
        </w:rPr>
        <w:t>televizive.</w:t>
      </w:r>
    </w:p>
    <w:p>
      <w:pPr>
        <w:pStyle w:val="BodyText"/>
        <w:spacing w:before="1"/>
        <w:ind w:left="0" w:firstLine="0"/>
      </w:pPr>
    </w:p>
    <w:p>
      <w:pPr>
        <w:pStyle w:val="BodyText"/>
        <w:ind w:left="146" w:right="146" w:firstLine="0"/>
        <w:jc w:val="center"/>
      </w:pPr>
      <w:r>
        <w:rPr/>
        <w:t>Neni 76</w:t>
      </w:r>
    </w:p>
    <w:p>
      <w:pPr>
        <w:pStyle w:val="Heading1"/>
        <w:ind w:left="973" w:right="971"/>
      </w:pPr>
      <w:r>
        <w:rPr/>
        <w:t>Kushtet për ofrimin e shërbimit mediatik audio dhe/ose audioviziv sipas kërkesës së përdoruesit</w:t>
      </w:r>
    </w:p>
    <w:p>
      <w:pPr>
        <w:spacing w:after="0"/>
        <w:sectPr>
          <w:pgSz w:w="12240" w:h="15840"/>
          <w:pgMar w:top="1360" w:bottom="280" w:left="1320" w:right="1320"/>
        </w:sectPr>
      </w:pPr>
    </w:p>
    <w:p>
      <w:pPr>
        <w:pStyle w:val="ListParagraph"/>
        <w:numPr>
          <w:ilvl w:val="0"/>
          <w:numId w:val="153"/>
        </w:numPr>
        <w:tabs>
          <w:tab w:pos="1064" w:val="left" w:leader="none"/>
        </w:tabs>
        <w:spacing w:line="240" w:lineRule="auto" w:before="185" w:after="0"/>
        <w:ind w:left="120" w:right="116" w:firstLine="720"/>
        <w:jc w:val="both"/>
        <w:rPr>
          <w:sz w:val="22"/>
        </w:rPr>
      </w:pPr>
      <w:r>
        <w:rPr>
          <w:sz w:val="22"/>
        </w:rPr>
        <w:t>Shërbimet e ofruara sipas kërkesës së përdoruesit nuk lejohen të përfshijnë programe që nxisin urrejtjen mbi baza racore, etnike, gjinore, kombëtare ose</w:t>
      </w:r>
      <w:r>
        <w:rPr>
          <w:spacing w:val="-9"/>
          <w:sz w:val="22"/>
        </w:rPr>
        <w:t> </w:t>
      </w:r>
      <w:r>
        <w:rPr>
          <w:sz w:val="22"/>
        </w:rPr>
        <w:t>fetare.</w:t>
      </w:r>
    </w:p>
    <w:p>
      <w:pPr>
        <w:pStyle w:val="ListParagraph"/>
        <w:numPr>
          <w:ilvl w:val="0"/>
          <w:numId w:val="153"/>
        </w:numPr>
        <w:tabs>
          <w:tab w:pos="1121" w:val="left" w:leader="none"/>
        </w:tabs>
        <w:spacing w:line="240" w:lineRule="auto" w:before="1" w:after="0"/>
        <w:ind w:left="120" w:right="113" w:firstLine="720"/>
        <w:jc w:val="both"/>
        <w:rPr>
          <w:sz w:val="22"/>
        </w:rPr>
      </w:pPr>
      <w:r>
        <w:rPr>
          <w:sz w:val="22"/>
        </w:rPr>
        <w:t>Veprat kinematografike në këto shërbime duhet të transmetohen në bazë të kushteve të miratuara me mbajtësit e të drejtave përkatëse për këto</w:t>
      </w:r>
      <w:r>
        <w:rPr>
          <w:spacing w:val="-7"/>
          <w:sz w:val="22"/>
        </w:rPr>
        <w:t> </w:t>
      </w:r>
      <w:r>
        <w:rPr>
          <w:sz w:val="22"/>
        </w:rPr>
        <w:t>vepra.</w:t>
      </w:r>
    </w:p>
    <w:p>
      <w:pPr>
        <w:pStyle w:val="ListParagraph"/>
        <w:numPr>
          <w:ilvl w:val="0"/>
          <w:numId w:val="153"/>
        </w:numPr>
        <w:tabs>
          <w:tab w:pos="1092" w:val="left" w:leader="none"/>
        </w:tabs>
        <w:spacing w:line="240" w:lineRule="auto" w:before="0" w:after="0"/>
        <w:ind w:left="120" w:right="115" w:firstLine="720"/>
        <w:jc w:val="both"/>
        <w:rPr>
          <w:sz w:val="22"/>
        </w:rPr>
      </w:pPr>
      <w:r>
        <w:rPr>
          <w:sz w:val="22"/>
        </w:rPr>
        <w:t>Dispozitat e kreut IV zbatohen edhe për shërbimet mediatike audio dhe/ose audiovizive, në bazë të kërkesës së</w:t>
      </w:r>
      <w:r>
        <w:rPr>
          <w:spacing w:val="-3"/>
          <w:sz w:val="22"/>
        </w:rPr>
        <w:t> </w:t>
      </w:r>
      <w:r>
        <w:rPr>
          <w:sz w:val="22"/>
        </w:rPr>
        <w:t>përdoruesit.</w:t>
      </w:r>
    </w:p>
    <w:p>
      <w:pPr>
        <w:pStyle w:val="ListParagraph"/>
        <w:numPr>
          <w:ilvl w:val="0"/>
          <w:numId w:val="153"/>
        </w:numPr>
        <w:tabs>
          <w:tab w:pos="1066" w:val="left" w:leader="none"/>
        </w:tabs>
        <w:spacing w:line="240" w:lineRule="auto" w:before="0" w:after="0"/>
        <w:ind w:left="120" w:right="113" w:firstLine="720"/>
        <w:jc w:val="both"/>
        <w:rPr>
          <w:sz w:val="22"/>
        </w:rPr>
      </w:pPr>
      <w:r>
        <w:rPr>
          <w:sz w:val="22"/>
        </w:rPr>
        <w:t>Shërbimet mediatike audio dhe/ose audiovizive, në bazë të kërkesës së përdoruesit, që mund të dëmtojnë rëndë zhvillimin fizik, mendor ose moral të të miturve, transmetohen në formë të koduar, të tillë që të sigurojnë mosmarrjen e tyre nga të miturit në kushte të</w:t>
      </w:r>
      <w:r>
        <w:rPr>
          <w:spacing w:val="-9"/>
          <w:sz w:val="22"/>
        </w:rPr>
        <w:t> </w:t>
      </w:r>
      <w:r>
        <w:rPr>
          <w:sz w:val="22"/>
        </w:rPr>
        <w:t>zakonshme.</w:t>
      </w:r>
    </w:p>
    <w:p>
      <w:pPr>
        <w:pStyle w:val="BodyText"/>
        <w:spacing w:before="10"/>
        <w:ind w:left="0" w:firstLine="0"/>
        <w:rPr>
          <w:sz w:val="21"/>
        </w:rPr>
      </w:pPr>
    </w:p>
    <w:p>
      <w:pPr>
        <w:pStyle w:val="BodyText"/>
        <w:ind w:left="146" w:right="146" w:firstLine="0"/>
        <w:jc w:val="center"/>
      </w:pPr>
      <w:r>
        <w:rPr/>
        <w:t>Neni</w:t>
      </w:r>
      <w:r>
        <w:rPr>
          <w:spacing w:val="1"/>
        </w:rPr>
        <w:t> </w:t>
      </w:r>
      <w:r>
        <w:rPr/>
        <w:t>77</w:t>
      </w:r>
    </w:p>
    <w:p>
      <w:pPr>
        <w:pStyle w:val="Heading1"/>
        <w:spacing w:before="6"/>
        <w:ind w:right="147"/>
      </w:pPr>
      <w:r>
        <w:rPr/>
        <w:t>Promovimi i prodhimit të veprave europiane nga shërbimet mediatike audio dhe/ose audiovizive në bazë të kërkesës së përdoruesit</w:t>
      </w:r>
    </w:p>
    <w:p>
      <w:pPr>
        <w:pStyle w:val="BodyText"/>
        <w:spacing w:before="6"/>
        <w:ind w:left="0" w:firstLine="0"/>
        <w:rPr>
          <w:b/>
          <w:sz w:val="21"/>
        </w:rPr>
      </w:pPr>
    </w:p>
    <w:p>
      <w:pPr>
        <w:pStyle w:val="ListParagraph"/>
        <w:numPr>
          <w:ilvl w:val="0"/>
          <w:numId w:val="154"/>
        </w:numPr>
        <w:tabs>
          <w:tab w:pos="1083" w:val="left" w:leader="none"/>
        </w:tabs>
        <w:spacing w:line="240" w:lineRule="auto" w:before="1" w:after="0"/>
        <w:ind w:left="120" w:right="113" w:firstLine="720"/>
        <w:jc w:val="both"/>
        <w:rPr>
          <w:sz w:val="22"/>
        </w:rPr>
      </w:pPr>
      <w:r>
        <w:rPr>
          <w:sz w:val="22"/>
        </w:rPr>
        <w:t>Shërbimet mediatike audio dhe/ose audiovizive, sipas kërkesës së përdoruesit, të ofruara nga operatorët e shërbimit të medias brenda juridiksionit të tyre promovojnë, kur është e mundur dhe me mjete të përshtatshme, prodhimin e veprave europiane dhe aksesin ndaj këtyre</w:t>
      </w:r>
      <w:r>
        <w:rPr>
          <w:spacing w:val="-9"/>
          <w:sz w:val="22"/>
        </w:rPr>
        <w:t> </w:t>
      </w:r>
      <w:r>
        <w:rPr>
          <w:sz w:val="22"/>
        </w:rPr>
        <w:t>veprave.</w:t>
      </w:r>
    </w:p>
    <w:p>
      <w:pPr>
        <w:pStyle w:val="ListParagraph"/>
        <w:numPr>
          <w:ilvl w:val="0"/>
          <w:numId w:val="154"/>
        </w:numPr>
        <w:tabs>
          <w:tab w:pos="1064" w:val="left" w:leader="none"/>
        </w:tabs>
        <w:spacing w:line="240" w:lineRule="auto" w:before="0" w:after="0"/>
        <w:ind w:left="120" w:right="113" w:firstLine="720"/>
        <w:jc w:val="both"/>
        <w:rPr>
          <w:sz w:val="22"/>
        </w:rPr>
      </w:pPr>
      <w:r>
        <w:rPr>
          <w:sz w:val="22"/>
        </w:rPr>
        <w:t>Promovimi i veprave europiane mund të bëhet përmes kontributit financiar që shërbime të tilla mediatike akordojnë për prodhimin dhe blerjen e të drejtave të punëve europiane, ose në përqindjet dhe/ose dominimin e veprave europiane në katalogun e programeve të ofruara nga shërbimet mediatike audio dhe/ose audiovizive, sipas kërkesës së</w:t>
      </w:r>
      <w:r>
        <w:rPr>
          <w:spacing w:val="-8"/>
          <w:sz w:val="22"/>
        </w:rPr>
        <w:t> </w:t>
      </w:r>
      <w:r>
        <w:rPr>
          <w:sz w:val="22"/>
        </w:rPr>
        <w:t>përdoruesit.</w:t>
      </w:r>
    </w:p>
    <w:p>
      <w:pPr>
        <w:pStyle w:val="ListParagraph"/>
        <w:numPr>
          <w:ilvl w:val="0"/>
          <w:numId w:val="154"/>
        </w:numPr>
        <w:tabs>
          <w:tab w:pos="1062" w:val="left" w:leader="none"/>
        </w:tabs>
        <w:spacing w:line="240" w:lineRule="auto" w:before="0" w:after="0"/>
        <w:ind w:left="1061" w:right="0" w:hanging="222"/>
        <w:jc w:val="both"/>
        <w:rPr>
          <w:sz w:val="22"/>
        </w:rPr>
      </w:pPr>
      <w:r>
        <w:rPr>
          <w:sz w:val="22"/>
        </w:rPr>
        <w:t>AMA përcakton në rregullore mënyrën e zbatimit të këtij</w:t>
      </w:r>
      <w:r>
        <w:rPr>
          <w:spacing w:val="-2"/>
          <w:sz w:val="22"/>
        </w:rPr>
        <w:t> </w:t>
      </w:r>
      <w:r>
        <w:rPr>
          <w:sz w:val="22"/>
        </w:rPr>
        <w:t>neni.</w:t>
      </w:r>
    </w:p>
    <w:p>
      <w:pPr>
        <w:pStyle w:val="BodyText"/>
        <w:ind w:left="0" w:firstLine="0"/>
      </w:pPr>
    </w:p>
    <w:p>
      <w:pPr>
        <w:pStyle w:val="BodyText"/>
        <w:spacing w:line="252" w:lineRule="exact"/>
        <w:ind w:left="146" w:right="146" w:firstLine="0"/>
        <w:jc w:val="center"/>
      </w:pPr>
      <w:r>
        <w:rPr/>
        <w:t>KREU X</w:t>
      </w:r>
    </w:p>
    <w:p>
      <w:pPr>
        <w:pStyle w:val="BodyText"/>
        <w:spacing w:line="252" w:lineRule="exact"/>
        <w:ind w:left="139" w:right="147" w:firstLine="0"/>
        <w:jc w:val="center"/>
      </w:pPr>
      <w:r>
        <w:rPr/>
        <w:t>ZBATIMI DHE PËRPUTHSHMËRIA ME KUSHTET E LICENCËS DHE/OSE AUTORIZIMIT</w:t>
      </w:r>
    </w:p>
    <w:p>
      <w:pPr>
        <w:pStyle w:val="BodyText"/>
        <w:ind w:left="0" w:firstLine="0"/>
      </w:pPr>
    </w:p>
    <w:p>
      <w:pPr>
        <w:pStyle w:val="BodyText"/>
        <w:ind w:left="146" w:right="146" w:firstLine="0"/>
        <w:jc w:val="center"/>
      </w:pPr>
      <w:r>
        <w:rPr/>
        <w:t>Neni 78</w:t>
      </w:r>
    </w:p>
    <w:p>
      <w:pPr>
        <w:pStyle w:val="Heading1"/>
      </w:pPr>
      <w:r>
        <w:rPr/>
        <w:t>Inspektimi i veprimtarisë së të licencuarit/të autorizuarit</w:t>
      </w:r>
    </w:p>
    <w:p>
      <w:pPr>
        <w:pStyle w:val="BodyText"/>
        <w:spacing w:before="7"/>
        <w:ind w:left="0" w:firstLine="0"/>
        <w:rPr>
          <w:b/>
          <w:sz w:val="21"/>
        </w:rPr>
      </w:pPr>
    </w:p>
    <w:p>
      <w:pPr>
        <w:pStyle w:val="ListParagraph"/>
        <w:numPr>
          <w:ilvl w:val="0"/>
          <w:numId w:val="155"/>
        </w:numPr>
        <w:tabs>
          <w:tab w:pos="1105" w:val="left" w:leader="none"/>
        </w:tabs>
        <w:spacing w:line="240" w:lineRule="auto" w:before="0" w:after="0"/>
        <w:ind w:left="119" w:right="112" w:firstLine="720"/>
        <w:jc w:val="both"/>
        <w:rPr>
          <w:sz w:val="22"/>
        </w:rPr>
      </w:pPr>
      <w:r>
        <w:rPr>
          <w:sz w:val="22"/>
        </w:rPr>
        <w:t>AMA ka të drejtë të ushtrojë kontroll të veprimtarisë programore, financiare, teknike dhe organizative të mbajtësit të një licence dhe/ose autorizimi, sipas përcaktimeve të këtij ligji. Çdo inspektim, veçanërisht inspektimi i veprimtarisë programore, nuk duhet të cenojë lirinë e shprehjes. I licencuari bashkëpunon me AMA-n për realizimin e këtij</w:t>
      </w:r>
      <w:r>
        <w:rPr>
          <w:spacing w:val="1"/>
          <w:sz w:val="22"/>
        </w:rPr>
        <w:t> </w:t>
      </w:r>
      <w:r>
        <w:rPr>
          <w:sz w:val="22"/>
        </w:rPr>
        <w:t>funksioni.</w:t>
      </w:r>
    </w:p>
    <w:p>
      <w:pPr>
        <w:pStyle w:val="ListParagraph"/>
        <w:numPr>
          <w:ilvl w:val="0"/>
          <w:numId w:val="155"/>
        </w:numPr>
        <w:tabs>
          <w:tab w:pos="1128" w:val="left" w:leader="none"/>
        </w:tabs>
        <w:spacing w:line="240" w:lineRule="auto" w:before="1" w:after="0"/>
        <w:ind w:left="119" w:right="115" w:firstLine="720"/>
        <w:jc w:val="both"/>
        <w:rPr>
          <w:sz w:val="22"/>
        </w:rPr>
      </w:pPr>
      <w:r>
        <w:rPr>
          <w:sz w:val="22"/>
        </w:rPr>
        <w:t>AMA autorizon nëpunës të specializuar të administratës së vet apo persona të tjerë të specializuar për të realizuar këtë inspektim</w:t>
      </w:r>
      <w:r>
        <w:rPr>
          <w:spacing w:val="-12"/>
          <w:sz w:val="22"/>
        </w:rPr>
        <w:t> </w:t>
      </w:r>
      <w:r>
        <w:rPr>
          <w:sz w:val="22"/>
        </w:rPr>
        <w:t>nëse:</w:t>
      </w:r>
    </w:p>
    <w:p>
      <w:pPr>
        <w:pStyle w:val="ListParagraph"/>
        <w:numPr>
          <w:ilvl w:val="0"/>
          <w:numId w:val="156"/>
        </w:numPr>
        <w:tabs>
          <w:tab w:pos="1088" w:val="left" w:leader="none"/>
        </w:tabs>
        <w:spacing w:line="240" w:lineRule="auto" w:before="0" w:after="0"/>
        <w:ind w:left="119" w:right="115" w:firstLine="720"/>
        <w:jc w:val="both"/>
        <w:rPr>
          <w:sz w:val="22"/>
        </w:rPr>
      </w:pPr>
      <w:r>
        <w:rPr>
          <w:sz w:val="22"/>
        </w:rPr>
        <w:t>ekzistojnë shkaqe të arsyeshme, që tregojnë se i licencuari dhe/ose i autorizuari nuk realizon shërbimin në përputhje me kushtet e licencës dhe/ose</w:t>
      </w:r>
      <w:r>
        <w:rPr>
          <w:spacing w:val="-7"/>
          <w:sz w:val="22"/>
        </w:rPr>
        <w:t> </w:t>
      </w:r>
      <w:r>
        <w:rPr>
          <w:sz w:val="22"/>
        </w:rPr>
        <w:t>autorizimit;</w:t>
      </w:r>
    </w:p>
    <w:p>
      <w:pPr>
        <w:pStyle w:val="ListParagraph"/>
        <w:numPr>
          <w:ilvl w:val="0"/>
          <w:numId w:val="156"/>
        </w:numPr>
        <w:tabs>
          <w:tab w:pos="1080" w:val="left" w:leader="none"/>
        </w:tabs>
        <w:spacing w:line="251" w:lineRule="exact" w:before="0" w:after="0"/>
        <w:ind w:left="1079" w:right="0" w:hanging="241"/>
        <w:jc w:val="both"/>
        <w:rPr>
          <w:sz w:val="22"/>
        </w:rPr>
      </w:pPr>
      <w:r>
        <w:rPr>
          <w:sz w:val="22"/>
        </w:rPr>
        <w:t>realizimi i shërbimit të ofruar nga i licencuari shkakton</w:t>
      </w:r>
      <w:r>
        <w:rPr>
          <w:spacing w:val="-3"/>
          <w:sz w:val="22"/>
        </w:rPr>
        <w:t> </w:t>
      </w:r>
      <w:r>
        <w:rPr>
          <w:sz w:val="22"/>
        </w:rPr>
        <w:t>interferenca;</w:t>
      </w:r>
    </w:p>
    <w:p>
      <w:pPr>
        <w:pStyle w:val="ListParagraph"/>
        <w:numPr>
          <w:ilvl w:val="0"/>
          <w:numId w:val="156"/>
        </w:numPr>
        <w:tabs>
          <w:tab w:pos="1068" w:val="left" w:leader="none"/>
        </w:tabs>
        <w:spacing w:line="240" w:lineRule="auto" w:before="1" w:after="0"/>
        <w:ind w:left="839" w:right="2445" w:firstLine="0"/>
        <w:jc w:val="both"/>
        <w:rPr>
          <w:sz w:val="22"/>
        </w:rPr>
      </w:pPr>
      <w:r>
        <w:rPr>
          <w:sz w:val="22"/>
        </w:rPr>
        <w:t>ka informacion për veprimtari të palicencuar dhe/ose të paautorizuar; ç) ka një njoftim të përligjur nga një palë e tretë e</w:t>
      </w:r>
      <w:r>
        <w:rPr>
          <w:spacing w:val="-13"/>
          <w:sz w:val="22"/>
        </w:rPr>
        <w:t> </w:t>
      </w:r>
      <w:r>
        <w:rPr>
          <w:sz w:val="22"/>
        </w:rPr>
        <w:t>interesuar.</w:t>
      </w:r>
    </w:p>
    <w:p>
      <w:pPr>
        <w:pStyle w:val="ListParagraph"/>
        <w:numPr>
          <w:ilvl w:val="0"/>
          <w:numId w:val="155"/>
        </w:numPr>
        <w:tabs>
          <w:tab w:pos="1073" w:val="left" w:leader="none"/>
        </w:tabs>
        <w:spacing w:line="240" w:lineRule="auto" w:before="1" w:after="0"/>
        <w:ind w:left="119" w:right="115" w:firstLine="720"/>
        <w:jc w:val="both"/>
        <w:rPr>
          <w:sz w:val="22"/>
        </w:rPr>
      </w:pPr>
      <w:r>
        <w:rPr>
          <w:sz w:val="22"/>
        </w:rPr>
        <w:t>Përveç përcaktimeve të pikës 2 të këtij neni, AMA ka të drejtë të kryejë inspektime periodike me ose pa njoftim paraprak të të licencuarit dhe/ose të të</w:t>
      </w:r>
      <w:r>
        <w:rPr>
          <w:spacing w:val="-13"/>
          <w:sz w:val="22"/>
        </w:rPr>
        <w:t> </w:t>
      </w:r>
      <w:r>
        <w:rPr>
          <w:sz w:val="22"/>
        </w:rPr>
        <w:t>autorizuarit.</w:t>
      </w:r>
    </w:p>
    <w:p>
      <w:pPr>
        <w:pStyle w:val="ListParagraph"/>
        <w:numPr>
          <w:ilvl w:val="0"/>
          <w:numId w:val="155"/>
        </w:numPr>
        <w:tabs>
          <w:tab w:pos="1109" w:val="left" w:leader="none"/>
        </w:tabs>
        <w:spacing w:line="240" w:lineRule="auto" w:before="0" w:after="0"/>
        <w:ind w:left="120" w:right="115" w:firstLine="719"/>
        <w:jc w:val="both"/>
        <w:rPr>
          <w:sz w:val="22"/>
        </w:rPr>
      </w:pPr>
      <w:r>
        <w:rPr>
          <w:sz w:val="22"/>
        </w:rPr>
        <w:t>I licencuari dhe/ose i autorizuari duhet t’i paraqesë personit të autorizuar për kryerjen e inspektimit informacionin apo regjistrimet që zotëron lidhur me këtë kontroll, të lejojë hyrjen në mjediset e veta për të realizuar inspektimin dhe të ushtrojë këqyrjen e pajisjeve transmetuese në këto mjedise, si dhe, kur është e nevojshme, t’u përgjigjet kërkesave të personit të autorizuar për ushtrimin e inspektimit me qëllim realizimin e</w:t>
      </w:r>
      <w:r>
        <w:rPr>
          <w:spacing w:val="-4"/>
          <w:sz w:val="22"/>
        </w:rPr>
        <w:t> </w:t>
      </w:r>
      <w:r>
        <w:rPr>
          <w:sz w:val="22"/>
        </w:rPr>
        <w:t>tij.</w:t>
      </w:r>
    </w:p>
    <w:p>
      <w:pPr>
        <w:pStyle w:val="ListParagraph"/>
        <w:numPr>
          <w:ilvl w:val="0"/>
          <w:numId w:val="155"/>
        </w:numPr>
        <w:tabs>
          <w:tab w:pos="1100" w:val="left" w:leader="none"/>
        </w:tabs>
        <w:spacing w:line="240" w:lineRule="auto" w:before="0" w:after="0"/>
        <w:ind w:left="120" w:right="112" w:firstLine="720"/>
        <w:jc w:val="both"/>
        <w:rPr>
          <w:sz w:val="22"/>
        </w:rPr>
      </w:pPr>
      <w:r>
        <w:rPr>
          <w:sz w:val="22"/>
        </w:rPr>
        <w:t>Kur personi i autorizuar për të ushtruar inspektimin, pas këqyrjes, vlerëson se i licencuari dhe/ose i autorizuari ka kryer shkelje të kushteve të licencës dhe/ose autorizimit, ia bën këtë me dije të licencuarit/të</w:t>
      </w:r>
      <w:r>
        <w:rPr>
          <w:spacing w:val="25"/>
          <w:sz w:val="22"/>
        </w:rPr>
        <w:t> </w:t>
      </w:r>
      <w:r>
        <w:rPr>
          <w:sz w:val="22"/>
        </w:rPr>
        <w:t>autorizuarit</w:t>
      </w:r>
      <w:r>
        <w:rPr>
          <w:spacing w:val="26"/>
          <w:sz w:val="22"/>
        </w:rPr>
        <w:t> </w:t>
      </w:r>
      <w:r>
        <w:rPr>
          <w:sz w:val="22"/>
        </w:rPr>
        <w:t>nëpërmjet</w:t>
      </w:r>
      <w:r>
        <w:rPr>
          <w:spacing w:val="23"/>
          <w:sz w:val="22"/>
        </w:rPr>
        <w:t> </w:t>
      </w:r>
      <w:r>
        <w:rPr>
          <w:sz w:val="22"/>
        </w:rPr>
        <w:t>një</w:t>
      </w:r>
      <w:r>
        <w:rPr>
          <w:spacing w:val="26"/>
          <w:sz w:val="22"/>
        </w:rPr>
        <w:t> </w:t>
      </w:r>
      <w:r>
        <w:rPr>
          <w:sz w:val="22"/>
        </w:rPr>
        <w:t>procesverbali</w:t>
      </w:r>
      <w:r>
        <w:rPr>
          <w:spacing w:val="24"/>
          <w:sz w:val="22"/>
        </w:rPr>
        <w:t> </w:t>
      </w:r>
      <w:r>
        <w:rPr>
          <w:sz w:val="22"/>
        </w:rPr>
        <w:t>që</w:t>
      </w:r>
      <w:r>
        <w:rPr>
          <w:spacing w:val="22"/>
          <w:sz w:val="22"/>
        </w:rPr>
        <w:t> </w:t>
      </w:r>
      <w:r>
        <w:rPr>
          <w:sz w:val="22"/>
        </w:rPr>
        <w:t>nënshkruhet</w:t>
      </w:r>
      <w:r>
        <w:rPr>
          <w:spacing w:val="24"/>
          <w:sz w:val="22"/>
        </w:rPr>
        <w:t> </w:t>
      </w:r>
      <w:r>
        <w:rPr>
          <w:sz w:val="22"/>
        </w:rPr>
        <w:t>nga</w:t>
      </w:r>
      <w:r>
        <w:rPr>
          <w:spacing w:val="23"/>
          <w:sz w:val="22"/>
        </w:rPr>
        <w:t> </w:t>
      </w:r>
      <w:r>
        <w:rPr>
          <w:sz w:val="22"/>
        </w:rPr>
        <w:t>të</w:t>
      </w:r>
      <w:r>
        <w:rPr>
          <w:spacing w:val="25"/>
          <w:sz w:val="22"/>
        </w:rPr>
        <w:t> </w:t>
      </w:r>
      <w:r>
        <w:rPr>
          <w:sz w:val="22"/>
        </w:rPr>
        <w:t>dy</w:t>
      </w:r>
      <w:r>
        <w:rPr>
          <w:spacing w:val="20"/>
          <w:sz w:val="22"/>
        </w:rPr>
        <w:t> </w:t>
      </w:r>
      <w:r>
        <w:rPr>
          <w:sz w:val="22"/>
        </w:rPr>
        <w:t>palët</w:t>
      </w:r>
      <w:r>
        <w:rPr>
          <w:spacing w:val="24"/>
          <w:sz w:val="22"/>
        </w:rPr>
        <w:t> </w:t>
      </w:r>
      <w:r>
        <w:rPr>
          <w:sz w:val="22"/>
        </w:rPr>
        <w:t>dhe</w:t>
      </w:r>
      <w:r>
        <w:rPr>
          <w:spacing w:val="23"/>
          <w:sz w:val="22"/>
        </w:rPr>
        <w:t> </w:t>
      </w:r>
      <w:r>
        <w:rPr>
          <w:sz w:val="22"/>
        </w:rPr>
        <w:t>e</w:t>
      </w:r>
      <w:r>
        <w:rPr>
          <w:spacing w:val="22"/>
          <w:sz w:val="22"/>
        </w:rPr>
        <w:t> </w:t>
      </w:r>
      <w:r>
        <w:rPr>
          <w:sz w:val="22"/>
        </w:rPr>
        <w:t>njofton</w:t>
      </w:r>
      <w:r>
        <w:rPr>
          <w:spacing w:val="23"/>
          <w:sz w:val="22"/>
        </w:rPr>
        <w:t> </w:t>
      </w:r>
      <w:r>
        <w:rPr>
          <w:sz w:val="22"/>
        </w:rPr>
        <w:t>për</w:t>
      </w:r>
    </w:p>
    <w:p>
      <w:pPr>
        <w:spacing w:after="0" w:line="240" w:lineRule="auto"/>
        <w:jc w:val="both"/>
        <w:rPr>
          <w:sz w:val="22"/>
        </w:rPr>
        <w:sectPr>
          <w:pgSz w:w="12240" w:h="15840"/>
          <w:pgMar w:top="1500" w:bottom="280" w:left="1320" w:right="1320"/>
        </w:sectPr>
      </w:pPr>
    </w:p>
    <w:p>
      <w:pPr>
        <w:pStyle w:val="BodyText"/>
        <w:spacing w:before="74"/>
        <w:ind w:right="114" w:firstLine="0"/>
        <w:jc w:val="both"/>
      </w:pPr>
      <w:r>
        <w:rPr/>
        <w:t>mundësinë që të paraqesë pretendimet e veta në përputhje me pikën 7 të këtij neni. Në rast se i licencuari/i autorizuari refuzon të nënshkruajë procesverbalin, njoftimi kryhet sipas nenit 81 të këtij ligji.</w:t>
      </w:r>
    </w:p>
    <w:p>
      <w:pPr>
        <w:pStyle w:val="ListParagraph"/>
        <w:numPr>
          <w:ilvl w:val="0"/>
          <w:numId w:val="155"/>
        </w:numPr>
        <w:tabs>
          <w:tab w:pos="1069" w:val="left" w:leader="none"/>
        </w:tabs>
        <w:spacing w:line="240" w:lineRule="auto" w:before="0" w:after="0"/>
        <w:ind w:left="120" w:right="114" w:firstLine="720"/>
        <w:jc w:val="both"/>
        <w:rPr>
          <w:sz w:val="22"/>
        </w:rPr>
      </w:pPr>
      <w:r>
        <w:rPr>
          <w:sz w:val="22"/>
        </w:rPr>
        <w:t>I licencuari dhe/ose i autorizuari i interesuar i paraqet AMA-s informacionin dhe regjistrimet e nevojshme për realizimin e shqyrtimit të</w:t>
      </w:r>
      <w:r>
        <w:rPr>
          <w:spacing w:val="-4"/>
          <w:sz w:val="22"/>
        </w:rPr>
        <w:t> </w:t>
      </w:r>
      <w:r>
        <w:rPr>
          <w:sz w:val="22"/>
        </w:rPr>
        <w:t>çështjes.</w:t>
      </w:r>
    </w:p>
    <w:p>
      <w:pPr>
        <w:pStyle w:val="ListParagraph"/>
        <w:numPr>
          <w:ilvl w:val="0"/>
          <w:numId w:val="155"/>
        </w:numPr>
        <w:tabs>
          <w:tab w:pos="1071" w:val="left" w:leader="none"/>
        </w:tabs>
        <w:spacing w:line="240" w:lineRule="auto" w:before="0" w:after="0"/>
        <w:ind w:left="119" w:right="113" w:firstLine="720"/>
        <w:jc w:val="both"/>
        <w:rPr>
          <w:sz w:val="22"/>
        </w:rPr>
      </w:pPr>
      <w:r>
        <w:rPr>
          <w:sz w:val="22"/>
        </w:rPr>
        <w:t>Pas paraqitjes së pretendimeve nga i licencuari dhe/ose i autorizuari, nëse ka, AMA përcakton nëse ky ka shkelur ose jo kushtet e licencës dhe/ose autorizimit dhe merr vendimin përkatës, duke përfshirë sanksionet në përputhje me këtë</w:t>
      </w:r>
      <w:r>
        <w:rPr>
          <w:spacing w:val="-5"/>
          <w:sz w:val="22"/>
        </w:rPr>
        <w:t> </w:t>
      </w:r>
      <w:r>
        <w:rPr>
          <w:sz w:val="22"/>
        </w:rPr>
        <w:t>ligj.</w:t>
      </w:r>
    </w:p>
    <w:p>
      <w:pPr>
        <w:pStyle w:val="ListParagraph"/>
        <w:numPr>
          <w:ilvl w:val="0"/>
          <w:numId w:val="155"/>
        </w:numPr>
        <w:tabs>
          <w:tab w:pos="1064" w:val="left" w:leader="none"/>
        </w:tabs>
        <w:spacing w:line="240" w:lineRule="auto" w:before="0" w:after="0"/>
        <w:ind w:left="119" w:right="113" w:firstLine="720"/>
        <w:jc w:val="both"/>
        <w:rPr>
          <w:sz w:val="22"/>
        </w:rPr>
      </w:pPr>
      <w:r>
        <w:rPr>
          <w:sz w:val="22"/>
        </w:rPr>
        <w:t>AMA përcakton rregulla për realizimin e së drejtës së të licencuarve dhe/ose të autorizuarve, të përmendur në pikën 4 të këtij neni. Rregullat miratohen për kohëzgjatjen e procedurave të përcaktuara në pikën 4 të këtij neni dhe mund të përfshijnë dispozita për seanca dëgjimore ose forma të tjera, që vlerësohen të</w:t>
      </w:r>
      <w:r>
        <w:rPr>
          <w:spacing w:val="-4"/>
          <w:sz w:val="22"/>
        </w:rPr>
        <w:t> </w:t>
      </w:r>
      <w:r>
        <w:rPr>
          <w:sz w:val="22"/>
        </w:rPr>
        <w:t>përshtatshme.</w:t>
      </w:r>
    </w:p>
    <w:p>
      <w:pPr>
        <w:pStyle w:val="ListParagraph"/>
        <w:numPr>
          <w:ilvl w:val="0"/>
          <w:numId w:val="155"/>
        </w:numPr>
        <w:tabs>
          <w:tab w:pos="1109" w:val="left" w:leader="none"/>
        </w:tabs>
        <w:spacing w:line="240" w:lineRule="auto" w:before="0" w:after="0"/>
        <w:ind w:left="119" w:right="116" w:firstLine="720"/>
        <w:jc w:val="both"/>
        <w:rPr>
          <w:sz w:val="22"/>
        </w:rPr>
      </w:pPr>
      <w:r>
        <w:rPr>
          <w:sz w:val="22"/>
        </w:rPr>
        <w:t>Pavarësisht nga përcaktimet e pikave 4 deri në 7 të këtij neni, në rastin e konstatimit të interferencave, veprohet në përputhje me pikën 5 të nenit 80 të këtij</w:t>
      </w:r>
      <w:r>
        <w:rPr>
          <w:spacing w:val="-10"/>
          <w:sz w:val="22"/>
        </w:rPr>
        <w:t> </w:t>
      </w:r>
      <w:r>
        <w:rPr>
          <w:sz w:val="22"/>
        </w:rPr>
        <w:t>ligji.</w:t>
      </w:r>
    </w:p>
    <w:p>
      <w:pPr>
        <w:pStyle w:val="BodyText"/>
        <w:spacing w:before="11"/>
        <w:ind w:left="0" w:firstLine="0"/>
        <w:rPr>
          <w:sz w:val="21"/>
        </w:rPr>
      </w:pPr>
    </w:p>
    <w:p>
      <w:pPr>
        <w:pStyle w:val="BodyText"/>
        <w:ind w:left="146" w:right="146" w:firstLine="0"/>
        <w:jc w:val="center"/>
      </w:pPr>
      <w:r>
        <w:rPr/>
        <w:t>Neni</w:t>
      </w:r>
      <w:r>
        <w:rPr>
          <w:spacing w:val="1"/>
        </w:rPr>
        <w:t> </w:t>
      </w:r>
      <w:r>
        <w:rPr/>
        <w:t>79</w:t>
      </w:r>
    </w:p>
    <w:p>
      <w:pPr>
        <w:pStyle w:val="Heading1"/>
      </w:pPr>
      <w:bookmarkStart w:name="Monitorimi i spektrit të frekuencave" w:id="14"/>
      <w:bookmarkEnd w:id="14"/>
      <w:r>
        <w:rPr>
          <w:b w:val="0"/>
        </w:rPr>
      </w:r>
      <w:r>
        <w:rPr/>
        <w:t>Monitorimi i spektrit të frekuencave</w:t>
      </w:r>
    </w:p>
    <w:p>
      <w:pPr>
        <w:pStyle w:val="BodyText"/>
        <w:spacing w:before="7"/>
        <w:ind w:left="0" w:firstLine="0"/>
        <w:rPr>
          <w:b/>
          <w:sz w:val="21"/>
        </w:rPr>
      </w:pPr>
    </w:p>
    <w:p>
      <w:pPr>
        <w:pStyle w:val="ListParagraph"/>
        <w:numPr>
          <w:ilvl w:val="0"/>
          <w:numId w:val="157"/>
        </w:numPr>
        <w:tabs>
          <w:tab w:pos="1095" w:val="left" w:leader="none"/>
        </w:tabs>
        <w:spacing w:line="240" w:lineRule="auto" w:before="0" w:after="0"/>
        <w:ind w:left="119" w:right="115" w:firstLine="720"/>
        <w:jc w:val="left"/>
        <w:rPr>
          <w:sz w:val="22"/>
        </w:rPr>
      </w:pPr>
      <w:r>
        <w:rPr>
          <w:sz w:val="22"/>
        </w:rPr>
        <w:t>AMA monitoron brezat e frekuencave, të caktuara në Planin Kombëtar të Frekuencave për transmetime audiovizive, me qëllim</w:t>
      </w:r>
      <w:r>
        <w:rPr>
          <w:spacing w:val="-5"/>
          <w:sz w:val="22"/>
        </w:rPr>
        <w:t> </w:t>
      </w:r>
      <w:r>
        <w:rPr>
          <w:sz w:val="22"/>
        </w:rPr>
        <w:t>që:</w:t>
      </w:r>
    </w:p>
    <w:p>
      <w:pPr>
        <w:pStyle w:val="ListParagraph"/>
        <w:numPr>
          <w:ilvl w:val="0"/>
          <w:numId w:val="158"/>
        </w:numPr>
        <w:tabs>
          <w:tab w:pos="1124" w:val="left" w:leader="none"/>
        </w:tabs>
        <w:spacing w:line="240" w:lineRule="auto" w:before="0" w:after="0"/>
        <w:ind w:left="119" w:right="115" w:firstLine="720"/>
        <w:jc w:val="left"/>
        <w:rPr>
          <w:sz w:val="22"/>
        </w:rPr>
      </w:pPr>
      <w:r>
        <w:rPr>
          <w:sz w:val="22"/>
        </w:rPr>
        <w:t>përdorimi i frekuencave të dhëna me licencë të jetë në përputhje me kuadrin ligjor dhe rregullator në fuqi, në zbatim të kushteve të</w:t>
      </w:r>
      <w:r>
        <w:rPr>
          <w:spacing w:val="-5"/>
          <w:sz w:val="22"/>
        </w:rPr>
        <w:t> </w:t>
      </w:r>
      <w:r>
        <w:rPr>
          <w:sz w:val="22"/>
        </w:rPr>
        <w:t>licencës;</w:t>
      </w:r>
    </w:p>
    <w:p>
      <w:pPr>
        <w:pStyle w:val="ListParagraph"/>
        <w:numPr>
          <w:ilvl w:val="0"/>
          <w:numId w:val="158"/>
        </w:numPr>
        <w:tabs>
          <w:tab w:pos="1081" w:val="left" w:leader="none"/>
        </w:tabs>
        <w:spacing w:line="252" w:lineRule="exact" w:before="0" w:after="0"/>
        <w:ind w:left="1080" w:right="0" w:hanging="241"/>
        <w:jc w:val="left"/>
        <w:rPr>
          <w:sz w:val="22"/>
        </w:rPr>
      </w:pPr>
      <w:r>
        <w:rPr>
          <w:sz w:val="22"/>
        </w:rPr>
        <w:t>spektri i frekuencave të përdoret vetëm nga përdoruesit e lejuar, sipas dispozitave të këtij</w:t>
      </w:r>
      <w:r>
        <w:rPr>
          <w:spacing w:val="-21"/>
          <w:sz w:val="22"/>
        </w:rPr>
        <w:t> </w:t>
      </w:r>
      <w:r>
        <w:rPr>
          <w:sz w:val="22"/>
        </w:rPr>
        <w:t>ligji;</w:t>
      </w:r>
    </w:p>
    <w:p>
      <w:pPr>
        <w:pStyle w:val="ListParagraph"/>
        <w:numPr>
          <w:ilvl w:val="0"/>
          <w:numId w:val="158"/>
        </w:numPr>
        <w:tabs>
          <w:tab w:pos="1076" w:val="left" w:leader="none"/>
        </w:tabs>
        <w:spacing w:line="240" w:lineRule="auto" w:before="0" w:after="0"/>
        <w:ind w:left="119" w:right="117" w:firstLine="720"/>
        <w:jc w:val="left"/>
        <w:rPr>
          <w:sz w:val="22"/>
        </w:rPr>
      </w:pPr>
      <w:r>
        <w:rPr>
          <w:sz w:val="22"/>
        </w:rPr>
        <w:t>të krijojë një mjedis të përshtatshëm dhe pa interferenca të dëmshme për operimin e sistemeve dhe të stacioneve të transmetimit audioviziv, që do të përdoren për qëllime private ose</w:t>
      </w:r>
      <w:r>
        <w:rPr>
          <w:spacing w:val="-13"/>
          <w:sz w:val="22"/>
        </w:rPr>
        <w:t> </w:t>
      </w:r>
      <w:r>
        <w:rPr>
          <w:sz w:val="22"/>
        </w:rPr>
        <w:t>publike.</w:t>
      </w:r>
    </w:p>
    <w:p>
      <w:pPr>
        <w:pStyle w:val="ListParagraph"/>
        <w:numPr>
          <w:ilvl w:val="0"/>
          <w:numId w:val="157"/>
        </w:numPr>
        <w:tabs>
          <w:tab w:pos="1071" w:val="left" w:leader="none"/>
        </w:tabs>
        <w:spacing w:line="240" w:lineRule="auto" w:before="0" w:after="0"/>
        <w:ind w:left="119" w:right="115" w:firstLine="720"/>
        <w:jc w:val="left"/>
        <w:rPr>
          <w:sz w:val="22"/>
        </w:rPr>
      </w:pPr>
      <w:r>
        <w:rPr>
          <w:sz w:val="22"/>
        </w:rPr>
        <w:t>AMA, për monitorimin e frekuencave, bashkëpunon me AKEP-in dhe me institucionet e tjera, të ngarkuara për administrimin e spektrit të</w:t>
      </w:r>
      <w:r>
        <w:rPr>
          <w:spacing w:val="-5"/>
          <w:sz w:val="22"/>
        </w:rPr>
        <w:t> </w:t>
      </w:r>
      <w:r>
        <w:rPr>
          <w:sz w:val="22"/>
        </w:rPr>
        <w:t>frekuencave.</w:t>
      </w:r>
    </w:p>
    <w:p>
      <w:pPr>
        <w:pStyle w:val="ListParagraph"/>
        <w:numPr>
          <w:ilvl w:val="0"/>
          <w:numId w:val="157"/>
        </w:numPr>
        <w:tabs>
          <w:tab w:pos="1061" w:val="left" w:leader="none"/>
        </w:tabs>
        <w:spacing w:line="252" w:lineRule="exact" w:before="1" w:after="0"/>
        <w:ind w:left="1060" w:right="0" w:hanging="222"/>
        <w:jc w:val="left"/>
        <w:rPr>
          <w:sz w:val="22"/>
        </w:rPr>
      </w:pPr>
      <w:r>
        <w:rPr>
          <w:sz w:val="22"/>
        </w:rPr>
        <w:t>Monitorimi i frekuencave bëhet në përputhje me rregulloren përkatëse, të hartuar nga</w:t>
      </w:r>
      <w:r>
        <w:rPr>
          <w:spacing w:val="-17"/>
          <w:sz w:val="22"/>
        </w:rPr>
        <w:t> </w:t>
      </w:r>
      <w:r>
        <w:rPr>
          <w:sz w:val="22"/>
        </w:rPr>
        <w:t>AMA.</w:t>
      </w:r>
    </w:p>
    <w:p>
      <w:pPr>
        <w:pStyle w:val="ListParagraph"/>
        <w:numPr>
          <w:ilvl w:val="0"/>
          <w:numId w:val="157"/>
        </w:numPr>
        <w:tabs>
          <w:tab w:pos="1076" w:val="left" w:leader="none"/>
        </w:tabs>
        <w:spacing w:line="240" w:lineRule="auto" w:before="0" w:after="0"/>
        <w:ind w:left="119" w:right="114" w:firstLine="720"/>
        <w:jc w:val="left"/>
        <w:rPr>
          <w:sz w:val="22"/>
        </w:rPr>
      </w:pPr>
      <w:r>
        <w:rPr>
          <w:sz w:val="22"/>
        </w:rPr>
        <w:t>Monitorimi i frekuencave mund të bëhet edhe me kërkesë të subjekteve, të cilat zotërojnë një licencë të lëshuar nga AMA. Në këtë rast shpenzimet e monitorimit përballohen nga subjekti i</w:t>
      </w:r>
      <w:r>
        <w:rPr>
          <w:spacing w:val="-26"/>
          <w:sz w:val="22"/>
        </w:rPr>
        <w:t> </w:t>
      </w:r>
      <w:r>
        <w:rPr>
          <w:sz w:val="22"/>
        </w:rPr>
        <w:t>interesuar.</w:t>
      </w:r>
    </w:p>
    <w:p>
      <w:pPr>
        <w:pStyle w:val="BodyText"/>
        <w:spacing w:before="10"/>
        <w:ind w:left="0" w:firstLine="0"/>
        <w:rPr>
          <w:sz w:val="21"/>
        </w:rPr>
      </w:pPr>
    </w:p>
    <w:p>
      <w:pPr>
        <w:pStyle w:val="BodyText"/>
        <w:ind w:left="146" w:right="146" w:firstLine="0"/>
        <w:jc w:val="center"/>
      </w:pPr>
      <w:r>
        <w:rPr/>
        <w:t>Neni 80</w:t>
      </w:r>
    </w:p>
    <w:p>
      <w:pPr>
        <w:pStyle w:val="Heading1"/>
        <w:spacing w:before="6"/>
        <w:ind w:right="143"/>
      </w:pPr>
      <w:bookmarkStart w:name="Bllokimi i pajisjeve dhe/ose ndalimi i f" w:id="15"/>
      <w:bookmarkEnd w:id="15"/>
      <w:r>
        <w:rPr>
          <w:b w:val="0"/>
        </w:rPr>
      </w:r>
      <w:r>
        <w:rPr/>
        <w:t>Bllokimi i pajisjeve dhe/ose ndalimi i funksionimit të tyre</w:t>
      </w:r>
    </w:p>
    <w:p>
      <w:pPr>
        <w:pStyle w:val="BodyText"/>
        <w:spacing w:before="5"/>
        <w:ind w:left="0" w:firstLine="0"/>
        <w:rPr>
          <w:b/>
          <w:sz w:val="21"/>
        </w:rPr>
      </w:pPr>
    </w:p>
    <w:p>
      <w:pPr>
        <w:pStyle w:val="ListParagraph"/>
        <w:numPr>
          <w:ilvl w:val="0"/>
          <w:numId w:val="159"/>
        </w:numPr>
        <w:tabs>
          <w:tab w:pos="1076" w:val="left" w:leader="none"/>
        </w:tabs>
        <w:spacing w:line="240" w:lineRule="auto" w:before="0" w:after="0"/>
        <w:ind w:left="120" w:right="115" w:firstLine="720"/>
        <w:jc w:val="both"/>
        <w:rPr>
          <w:sz w:val="22"/>
        </w:rPr>
      </w:pPr>
      <w:r>
        <w:rPr>
          <w:sz w:val="22"/>
        </w:rPr>
        <w:t>Kur një person fizik apo juridik zhvillon veprimtari në fushën e transmetimeve audio dhe/ose audiovizive, të palicencuar nga AMA, personat e autorizuar nga AMA bllokojnë</w:t>
      </w:r>
      <w:r>
        <w:rPr>
          <w:spacing w:val="-13"/>
          <w:sz w:val="22"/>
        </w:rPr>
        <w:t> </w:t>
      </w:r>
      <w:r>
        <w:rPr>
          <w:sz w:val="22"/>
        </w:rPr>
        <w:t>pajisjet.</w:t>
      </w:r>
    </w:p>
    <w:p>
      <w:pPr>
        <w:pStyle w:val="ListParagraph"/>
        <w:numPr>
          <w:ilvl w:val="0"/>
          <w:numId w:val="159"/>
        </w:numPr>
        <w:tabs>
          <w:tab w:pos="1064" w:val="left" w:leader="none"/>
        </w:tabs>
        <w:spacing w:line="240" w:lineRule="auto" w:before="0" w:after="0"/>
        <w:ind w:left="120" w:right="113" w:firstLine="720"/>
        <w:jc w:val="both"/>
        <w:rPr>
          <w:sz w:val="22"/>
        </w:rPr>
      </w:pPr>
      <w:r>
        <w:rPr>
          <w:sz w:val="22"/>
        </w:rPr>
        <w:t>Pajisjet e bllokuara sipas pikës 1 të këtij neni, brenda një muaji inventarizohen në prani edhe të personit fizik apo juridik që ushtron veprimtari të palicencuar dhe</w:t>
      </w:r>
      <w:r>
        <w:rPr>
          <w:spacing w:val="-15"/>
          <w:sz w:val="22"/>
        </w:rPr>
        <w:t> </w:t>
      </w:r>
      <w:r>
        <w:rPr>
          <w:sz w:val="22"/>
        </w:rPr>
        <w:t>sekuestrohen.</w:t>
      </w:r>
    </w:p>
    <w:p>
      <w:pPr>
        <w:pStyle w:val="ListParagraph"/>
        <w:numPr>
          <w:ilvl w:val="0"/>
          <w:numId w:val="159"/>
        </w:numPr>
        <w:tabs>
          <w:tab w:pos="1062" w:val="left" w:leader="none"/>
        </w:tabs>
        <w:spacing w:line="252" w:lineRule="exact" w:before="1" w:after="0"/>
        <w:ind w:left="1061" w:right="0" w:hanging="222"/>
        <w:jc w:val="both"/>
        <w:rPr>
          <w:sz w:val="22"/>
        </w:rPr>
      </w:pPr>
      <w:r>
        <w:rPr>
          <w:sz w:val="22"/>
        </w:rPr>
        <w:t>Kundër vendimit për sekuestrimin mund të bëhet ankim brenda 10 ditëve në</w:t>
      </w:r>
      <w:r>
        <w:rPr>
          <w:spacing w:val="-11"/>
          <w:sz w:val="22"/>
        </w:rPr>
        <w:t> </w:t>
      </w:r>
      <w:r>
        <w:rPr>
          <w:sz w:val="22"/>
        </w:rPr>
        <w:t>gjykatë.</w:t>
      </w:r>
    </w:p>
    <w:p>
      <w:pPr>
        <w:pStyle w:val="ListParagraph"/>
        <w:numPr>
          <w:ilvl w:val="0"/>
          <w:numId w:val="159"/>
        </w:numPr>
        <w:tabs>
          <w:tab w:pos="1119" w:val="left" w:leader="none"/>
        </w:tabs>
        <w:spacing w:line="240" w:lineRule="auto" w:before="0" w:after="0"/>
        <w:ind w:left="120" w:right="111" w:firstLine="720"/>
        <w:jc w:val="both"/>
        <w:rPr>
          <w:sz w:val="22"/>
        </w:rPr>
      </w:pPr>
      <w:r>
        <w:rPr>
          <w:sz w:val="22"/>
        </w:rPr>
        <w:t>Pas kalimit të afatit të ankimit dhe në rast se pas ankimit gjykata vlerëson të ligjshëm sekuestrimin, pajisjet e bllokuara konfiskohen dhe kalojnë në pronësi të</w:t>
      </w:r>
      <w:r>
        <w:rPr>
          <w:spacing w:val="-7"/>
          <w:sz w:val="22"/>
        </w:rPr>
        <w:t> </w:t>
      </w:r>
      <w:r>
        <w:rPr>
          <w:sz w:val="22"/>
        </w:rPr>
        <w:t>shtetit.</w:t>
      </w:r>
    </w:p>
    <w:p>
      <w:pPr>
        <w:pStyle w:val="ListParagraph"/>
        <w:numPr>
          <w:ilvl w:val="0"/>
          <w:numId w:val="159"/>
        </w:numPr>
        <w:tabs>
          <w:tab w:pos="1144" w:val="left" w:leader="none"/>
        </w:tabs>
        <w:spacing w:line="240" w:lineRule="auto" w:before="0" w:after="0"/>
        <w:ind w:left="120" w:right="114" w:firstLine="720"/>
        <w:jc w:val="both"/>
        <w:rPr>
          <w:sz w:val="22"/>
        </w:rPr>
      </w:pPr>
      <w:r>
        <w:rPr>
          <w:sz w:val="22"/>
        </w:rPr>
        <w:t>Kur personat e autorizuar nga AMA zbulojnë se pajisjet transmetuese të OSHMA-së shkaktojnë interferenca të dëmshme, pavarësisht se për përdorimin e tyre është marrë licenca ose autorizimi përkatës, kanë të drejtë të bëjnë ndalimin e funksionimit të</w:t>
      </w:r>
      <w:r>
        <w:rPr>
          <w:spacing w:val="-11"/>
          <w:sz w:val="22"/>
        </w:rPr>
        <w:t> </w:t>
      </w:r>
      <w:r>
        <w:rPr>
          <w:sz w:val="22"/>
        </w:rPr>
        <w:t>tyre.</w:t>
      </w:r>
    </w:p>
    <w:p>
      <w:pPr>
        <w:pStyle w:val="ListParagraph"/>
        <w:numPr>
          <w:ilvl w:val="0"/>
          <w:numId w:val="159"/>
        </w:numPr>
        <w:tabs>
          <w:tab w:pos="1120" w:val="left" w:leader="none"/>
        </w:tabs>
        <w:spacing w:line="240" w:lineRule="auto" w:before="1" w:after="0"/>
        <w:ind w:left="120" w:right="113" w:firstLine="720"/>
        <w:jc w:val="both"/>
        <w:rPr>
          <w:sz w:val="22"/>
        </w:rPr>
      </w:pPr>
      <w:r>
        <w:rPr>
          <w:sz w:val="22"/>
        </w:rPr>
        <w:t>Bllokimi dhe ndalimi i funksionimit të pajisjeve, sipas këtij neni, tregohet me një vulë, përmbajtja dhe forma e të cilës përcaktohen nga</w:t>
      </w:r>
      <w:r>
        <w:rPr>
          <w:spacing w:val="-4"/>
          <w:sz w:val="22"/>
        </w:rPr>
        <w:t> </w:t>
      </w:r>
      <w:r>
        <w:rPr>
          <w:sz w:val="22"/>
        </w:rPr>
        <w:t>AMA.</w:t>
      </w:r>
    </w:p>
    <w:p>
      <w:pPr>
        <w:pStyle w:val="ListParagraph"/>
        <w:numPr>
          <w:ilvl w:val="0"/>
          <w:numId w:val="159"/>
        </w:numPr>
        <w:tabs>
          <w:tab w:pos="1069" w:val="left" w:leader="none"/>
        </w:tabs>
        <w:spacing w:line="240" w:lineRule="auto" w:before="0" w:after="0"/>
        <w:ind w:left="120" w:right="115" w:firstLine="719"/>
        <w:jc w:val="both"/>
        <w:rPr>
          <w:sz w:val="22"/>
        </w:rPr>
      </w:pPr>
      <w:r>
        <w:rPr>
          <w:sz w:val="22"/>
        </w:rPr>
        <w:t>Përkundrejt kërkesës me shkrim të subjektit që ka shkaktuar interferencën, personi i autorizuar nga AMA bën verifikimin e nevojshëm dhe, nëse vëren se interferencat e dëmshme janë shmangur, lejon funksionimin e mëtejshëm të pajisjes së</w:t>
      </w:r>
      <w:r>
        <w:rPr>
          <w:spacing w:val="-7"/>
          <w:sz w:val="22"/>
        </w:rPr>
        <w:t> </w:t>
      </w:r>
      <w:r>
        <w:rPr>
          <w:sz w:val="22"/>
        </w:rPr>
        <w:t>ndaluar.</w:t>
      </w:r>
    </w:p>
    <w:p>
      <w:pPr>
        <w:pStyle w:val="ListParagraph"/>
        <w:numPr>
          <w:ilvl w:val="0"/>
          <w:numId w:val="159"/>
        </w:numPr>
        <w:tabs>
          <w:tab w:pos="1084" w:val="left" w:leader="none"/>
        </w:tabs>
        <w:spacing w:line="240" w:lineRule="auto" w:before="0" w:after="0"/>
        <w:ind w:left="120" w:right="113" w:firstLine="720"/>
        <w:jc w:val="both"/>
        <w:rPr>
          <w:sz w:val="22"/>
        </w:rPr>
      </w:pPr>
      <w:r>
        <w:rPr>
          <w:sz w:val="22"/>
        </w:rPr>
        <w:t>Për zbatimin e detyrave për bllokimin e pajisjeve, AMA bashkëpunon me autoritetet publike lokale, Policinë e Shtetit dhe shërbimin përmbarimor.</w:t>
      </w:r>
    </w:p>
    <w:p>
      <w:pPr>
        <w:spacing w:after="0" w:line="240" w:lineRule="auto"/>
        <w:jc w:val="both"/>
        <w:rPr>
          <w:sz w:val="22"/>
        </w:rPr>
        <w:sectPr>
          <w:pgSz w:w="12240" w:h="15840"/>
          <w:pgMar w:top="1360" w:bottom="280" w:left="1320" w:right="1320"/>
        </w:sectPr>
      </w:pPr>
    </w:p>
    <w:p>
      <w:pPr>
        <w:pStyle w:val="BodyText"/>
        <w:ind w:left="0" w:firstLine="0"/>
        <w:rPr>
          <w:sz w:val="20"/>
        </w:rPr>
      </w:pPr>
    </w:p>
    <w:p>
      <w:pPr>
        <w:pStyle w:val="BodyText"/>
        <w:ind w:left="0" w:firstLine="0"/>
        <w:rPr>
          <w:sz w:val="20"/>
        </w:rPr>
      </w:pPr>
    </w:p>
    <w:p>
      <w:pPr>
        <w:pStyle w:val="BodyText"/>
        <w:spacing w:before="2"/>
        <w:ind w:left="0" w:firstLine="0"/>
        <w:rPr>
          <w:sz w:val="20"/>
        </w:rPr>
      </w:pPr>
    </w:p>
    <w:p>
      <w:pPr>
        <w:pStyle w:val="BodyText"/>
        <w:ind w:left="146" w:right="146" w:firstLine="0"/>
        <w:jc w:val="center"/>
      </w:pPr>
      <w:r>
        <w:rPr/>
        <w:t>Neni 81</w:t>
      </w:r>
    </w:p>
    <w:p>
      <w:pPr>
        <w:pStyle w:val="Heading1"/>
        <w:spacing w:before="6"/>
      </w:pPr>
      <w:r>
        <w:rPr/>
        <w:t>Njoftimi</w:t>
      </w:r>
    </w:p>
    <w:p>
      <w:pPr>
        <w:pStyle w:val="BodyText"/>
        <w:spacing w:before="5"/>
        <w:ind w:left="0" w:firstLine="0"/>
        <w:rPr>
          <w:b/>
          <w:sz w:val="21"/>
        </w:rPr>
      </w:pPr>
    </w:p>
    <w:p>
      <w:pPr>
        <w:pStyle w:val="ListParagraph"/>
        <w:numPr>
          <w:ilvl w:val="0"/>
          <w:numId w:val="160"/>
        </w:numPr>
        <w:tabs>
          <w:tab w:pos="1069" w:val="left" w:leader="none"/>
        </w:tabs>
        <w:spacing w:line="240" w:lineRule="auto" w:before="0" w:after="0"/>
        <w:ind w:left="120" w:right="113" w:firstLine="720"/>
        <w:jc w:val="both"/>
        <w:rPr>
          <w:sz w:val="22"/>
        </w:rPr>
      </w:pPr>
      <w:r>
        <w:rPr>
          <w:sz w:val="22"/>
        </w:rPr>
        <w:t>Njoftimi i OSHMA-ve ose personave të tjerë, i përcaktuar në këtë kre duhet t’u drejtohet atyre në një nga mënyrat e mëposhtme:</w:t>
      </w:r>
    </w:p>
    <w:p>
      <w:pPr>
        <w:pStyle w:val="ListParagraph"/>
        <w:numPr>
          <w:ilvl w:val="0"/>
          <w:numId w:val="161"/>
        </w:numPr>
        <w:tabs>
          <w:tab w:pos="1069" w:val="left" w:leader="none"/>
        </w:tabs>
        <w:spacing w:line="240" w:lineRule="auto" w:before="0" w:after="0"/>
        <w:ind w:left="1068" w:right="0" w:hanging="229"/>
        <w:jc w:val="both"/>
        <w:rPr>
          <w:sz w:val="22"/>
        </w:rPr>
      </w:pPr>
      <w:r>
        <w:rPr>
          <w:sz w:val="22"/>
        </w:rPr>
        <w:t>duke e dërguar atë në adresën ku OSHMA-ja ose personi tjetër kryen veprimtarinë e</w:t>
      </w:r>
      <w:r>
        <w:rPr>
          <w:spacing w:val="-28"/>
          <w:sz w:val="22"/>
        </w:rPr>
        <w:t> </w:t>
      </w:r>
      <w:r>
        <w:rPr>
          <w:sz w:val="22"/>
        </w:rPr>
        <w:t>tij;</w:t>
      </w:r>
    </w:p>
    <w:p>
      <w:pPr>
        <w:pStyle w:val="ListParagraph"/>
        <w:numPr>
          <w:ilvl w:val="0"/>
          <w:numId w:val="161"/>
        </w:numPr>
        <w:tabs>
          <w:tab w:pos="1081" w:val="left" w:leader="none"/>
        </w:tabs>
        <w:spacing w:line="252" w:lineRule="exact" w:before="2" w:after="0"/>
        <w:ind w:left="1080" w:right="0" w:hanging="241"/>
        <w:jc w:val="both"/>
        <w:rPr>
          <w:sz w:val="22"/>
        </w:rPr>
      </w:pPr>
      <w:r>
        <w:rPr>
          <w:sz w:val="22"/>
        </w:rPr>
        <w:t>duke e dërguar atë me postë rekomande në adresën e përmendur në shkronjën “a” të kësaj</w:t>
      </w:r>
      <w:r>
        <w:rPr>
          <w:spacing w:val="-23"/>
          <w:sz w:val="22"/>
        </w:rPr>
        <w:t> </w:t>
      </w:r>
      <w:r>
        <w:rPr>
          <w:sz w:val="22"/>
        </w:rPr>
        <w:t>pike;</w:t>
      </w:r>
    </w:p>
    <w:p>
      <w:pPr>
        <w:pStyle w:val="ListParagraph"/>
        <w:numPr>
          <w:ilvl w:val="0"/>
          <w:numId w:val="161"/>
        </w:numPr>
        <w:tabs>
          <w:tab w:pos="1076" w:val="left" w:leader="none"/>
        </w:tabs>
        <w:spacing w:line="240" w:lineRule="auto" w:before="0" w:after="0"/>
        <w:ind w:left="120" w:right="113" w:firstLine="720"/>
        <w:jc w:val="both"/>
        <w:rPr>
          <w:sz w:val="22"/>
        </w:rPr>
      </w:pPr>
      <w:r>
        <w:rPr>
          <w:sz w:val="22"/>
        </w:rPr>
        <w:t>duke e dërguar atë nëpërmjet postës elektronike ose faksit në adresën dhe faksin e OSHMA-së ose personit tjetër, vetëm nëse ekziston mundësia e konfirmimit të marrjes së postës elektronike, ose aparati i faksit siguron konfirmimin e të gjitha faqeve të njoftimit. Në këtë rast, njoftimi duhet të dërgohet edhe në një nga mënyrat e parashikuara në shkronjat “a” dhe “b” të kësaj</w:t>
      </w:r>
      <w:r>
        <w:rPr>
          <w:spacing w:val="-10"/>
          <w:sz w:val="22"/>
        </w:rPr>
        <w:t> </w:t>
      </w:r>
      <w:r>
        <w:rPr>
          <w:sz w:val="22"/>
        </w:rPr>
        <w:t>pike.</w:t>
      </w:r>
    </w:p>
    <w:p>
      <w:pPr>
        <w:pStyle w:val="ListParagraph"/>
        <w:numPr>
          <w:ilvl w:val="0"/>
          <w:numId w:val="160"/>
        </w:numPr>
        <w:tabs>
          <w:tab w:pos="1069" w:val="left" w:leader="none"/>
        </w:tabs>
        <w:spacing w:line="240" w:lineRule="auto" w:before="0" w:after="0"/>
        <w:ind w:left="120" w:right="114" w:firstLine="720"/>
        <w:jc w:val="both"/>
        <w:rPr>
          <w:sz w:val="22"/>
        </w:rPr>
      </w:pPr>
      <w:r>
        <w:rPr>
          <w:sz w:val="22"/>
        </w:rPr>
        <w:t>Për qëllim të këtij neni, shoqëria e regjistruar sipas legjislacionit në fuqi për shoqëritë tregtare, prezumohet se ka adresë atë, në të cilën është</w:t>
      </w:r>
      <w:r>
        <w:rPr>
          <w:spacing w:val="-3"/>
          <w:sz w:val="22"/>
        </w:rPr>
        <w:t> </w:t>
      </w:r>
      <w:r>
        <w:rPr>
          <w:sz w:val="22"/>
        </w:rPr>
        <w:t>regjistruar.</w:t>
      </w:r>
    </w:p>
    <w:p>
      <w:pPr>
        <w:pStyle w:val="ListParagraph"/>
        <w:numPr>
          <w:ilvl w:val="0"/>
          <w:numId w:val="160"/>
        </w:numPr>
        <w:tabs>
          <w:tab w:pos="1085" w:val="left" w:leader="none"/>
        </w:tabs>
        <w:spacing w:line="240" w:lineRule="auto" w:before="0" w:after="0"/>
        <w:ind w:left="120" w:right="116" w:firstLine="720"/>
        <w:jc w:val="both"/>
        <w:rPr>
          <w:sz w:val="22"/>
        </w:rPr>
      </w:pPr>
      <w:r>
        <w:rPr>
          <w:sz w:val="22"/>
        </w:rPr>
        <w:t>Një kopje e njoftimit nënshkruhet nga personi i autorizuar për të ushtruar inspektimin, duke deklaruar përgjegjësinë e tij personale që akti i njoftimit është një dokument</w:t>
      </w:r>
      <w:r>
        <w:rPr>
          <w:spacing w:val="-7"/>
          <w:sz w:val="22"/>
        </w:rPr>
        <w:t> </w:t>
      </w:r>
      <w:r>
        <w:rPr>
          <w:sz w:val="22"/>
        </w:rPr>
        <w:t>zyrtar.</w:t>
      </w:r>
    </w:p>
    <w:p>
      <w:pPr>
        <w:pStyle w:val="BodyText"/>
        <w:spacing w:before="11"/>
        <w:ind w:left="0" w:firstLine="0"/>
        <w:rPr>
          <w:sz w:val="21"/>
        </w:rPr>
      </w:pPr>
    </w:p>
    <w:p>
      <w:pPr>
        <w:pStyle w:val="BodyText"/>
        <w:ind w:left="3386" w:right="3370" w:firstLine="969"/>
      </w:pPr>
      <w:r>
        <w:rPr/>
        <w:t>KREU XI SHËRBIMET E MBROJTURA</w:t>
      </w:r>
    </w:p>
    <w:p>
      <w:pPr>
        <w:pStyle w:val="BodyText"/>
        <w:spacing w:before="10"/>
        <w:ind w:left="0" w:firstLine="0"/>
        <w:rPr>
          <w:sz w:val="21"/>
        </w:rPr>
      </w:pPr>
    </w:p>
    <w:p>
      <w:pPr>
        <w:pStyle w:val="BodyText"/>
        <w:spacing w:before="1"/>
        <w:ind w:left="146" w:right="146" w:firstLine="0"/>
        <w:jc w:val="center"/>
      </w:pPr>
      <w:r>
        <w:rPr/>
        <w:t>Neni 82</w:t>
      </w:r>
    </w:p>
    <w:p>
      <w:pPr>
        <w:pStyle w:val="Heading1"/>
        <w:spacing w:before="3"/>
        <w:ind w:right="144"/>
      </w:pPr>
      <w:r>
        <w:rPr/>
        <w:t>Ofrimi i shërbimeve me akses të kushtëzuar</w:t>
      </w:r>
    </w:p>
    <w:p>
      <w:pPr>
        <w:pStyle w:val="BodyText"/>
        <w:spacing w:before="7"/>
        <w:ind w:left="0" w:firstLine="0"/>
        <w:rPr>
          <w:b/>
          <w:sz w:val="21"/>
        </w:rPr>
      </w:pPr>
    </w:p>
    <w:p>
      <w:pPr>
        <w:pStyle w:val="ListParagraph"/>
        <w:numPr>
          <w:ilvl w:val="0"/>
          <w:numId w:val="162"/>
        </w:numPr>
        <w:tabs>
          <w:tab w:pos="1102" w:val="left" w:leader="none"/>
        </w:tabs>
        <w:spacing w:line="240" w:lineRule="auto" w:before="1" w:after="0"/>
        <w:ind w:left="120" w:right="113" w:firstLine="719"/>
        <w:jc w:val="both"/>
        <w:rPr>
          <w:sz w:val="22"/>
        </w:rPr>
      </w:pPr>
      <w:r>
        <w:rPr>
          <w:sz w:val="22"/>
        </w:rPr>
        <w:t>Ofrimi i shërbimeve me akses të kushtëzuar dhe shërbimet shoqëruese/mbështetëse të tyre realizohen në përputhje me kërkesat e përcaktuara nga ky ligj dhe rregullat e nxjerra nga AMA. Me anë të rregullave të nxjerra në zbatim të këtij ligji, AMA siguron që shërbimet e mbrojtura ofrohen në kushte të drejta, të arsyeshme dhe</w:t>
      </w:r>
      <w:r>
        <w:rPr>
          <w:spacing w:val="-8"/>
          <w:sz w:val="22"/>
        </w:rPr>
        <w:t> </w:t>
      </w:r>
      <w:r>
        <w:rPr>
          <w:sz w:val="22"/>
        </w:rPr>
        <w:t>jodiskriminuese.</w:t>
      </w:r>
    </w:p>
    <w:p>
      <w:pPr>
        <w:pStyle w:val="ListParagraph"/>
        <w:numPr>
          <w:ilvl w:val="0"/>
          <w:numId w:val="162"/>
        </w:numPr>
        <w:tabs>
          <w:tab w:pos="1081" w:val="left" w:leader="none"/>
        </w:tabs>
        <w:spacing w:line="240" w:lineRule="auto" w:before="0" w:after="0"/>
        <w:ind w:left="120" w:right="112" w:firstLine="720"/>
        <w:jc w:val="both"/>
        <w:rPr>
          <w:sz w:val="22"/>
        </w:rPr>
      </w:pPr>
      <w:r>
        <w:rPr>
          <w:sz w:val="22"/>
        </w:rPr>
        <w:t>AMA ka të drejtë të imponojë detyrime për ofruesit e shërbimeve me akses të kushtëzuar në masën e nevojshme për të siguruar marrjen nga përdoruesit të shërbimeve audio dhe audiovizive, sipas specifikimeve të këtij</w:t>
      </w:r>
      <w:r>
        <w:rPr>
          <w:spacing w:val="2"/>
          <w:sz w:val="22"/>
        </w:rPr>
        <w:t> </w:t>
      </w:r>
      <w:r>
        <w:rPr>
          <w:sz w:val="22"/>
        </w:rPr>
        <w:t>ligji.</w:t>
      </w:r>
    </w:p>
    <w:p>
      <w:pPr>
        <w:pStyle w:val="ListParagraph"/>
        <w:numPr>
          <w:ilvl w:val="0"/>
          <w:numId w:val="162"/>
        </w:numPr>
        <w:tabs>
          <w:tab w:pos="1129" w:val="left" w:leader="none"/>
        </w:tabs>
        <w:spacing w:line="240" w:lineRule="auto" w:before="0" w:after="0"/>
        <w:ind w:left="120" w:right="113" w:firstLine="720"/>
        <w:jc w:val="both"/>
        <w:rPr>
          <w:sz w:val="22"/>
        </w:rPr>
      </w:pPr>
      <w:r>
        <w:rPr>
          <w:sz w:val="22"/>
        </w:rPr>
        <w:t>Ofruesit e shërbimit me akses të kushtëzuar sigurojnë akses në ndërfaqet/përshtatësit e programeve të aplikimit ose në udhëzuesit elektronikë të programeve në kushte të ndershme, jodiskriminuese dhe të</w:t>
      </w:r>
      <w:r>
        <w:rPr>
          <w:spacing w:val="-5"/>
          <w:sz w:val="22"/>
        </w:rPr>
        <w:t> </w:t>
      </w:r>
      <w:r>
        <w:rPr>
          <w:sz w:val="22"/>
        </w:rPr>
        <w:t>përshtatshme.</w:t>
      </w:r>
    </w:p>
    <w:p>
      <w:pPr>
        <w:pStyle w:val="ListParagraph"/>
        <w:numPr>
          <w:ilvl w:val="0"/>
          <w:numId w:val="162"/>
        </w:numPr>
        <w:tabs>
          <w:tab w:pos="1062" w:val="left" w:leader="none"/>
        </w:tabs>
        <w:spacing w:line="252" w:lineRule="exact" w:before="0" w:after="0"/>
        <w:ind w:left="1061" w:right="0" w:hanging="222"/>
        <w:jc w:val="both"/>
        <w:rPr>
          <w:sz w:val="22"/>
        </w:rPr>
      </w:pPr>
      <w:r>
        <w:rPr>
          <w:sz w:val="22"/>
        </w:rPr>
        <w:t>AMA përcakton kushtet e funksionimit të pajisjeve të televizionit numerik për</w:t>
      </w:r>
      <w:r>
        <w:rPr>
          <w:spacing w:val="-14"/>
          <w:sz w:val="22"/>
        </w:rPr>
        <w:t> </w:t>
      </w:r>
      <w:r>
        <w:rPr>
          <w:sz w:val="22"/>
        </w:rPr>
        <w:t>përdoruesit.</w:t>
      </w:r>
    </w:p>
    <w:p>
      <w:pPr>
        <w:pStyle w:val="BodyText"/>
        <w:ind w:left="0" w:firstLine="0"/>
      </w:pPr>
    </w:p>
    <w:p>
      <w:pPr>
        <w:pStyle w:val="BodyText"/>
        <w:ind w:left="146" w:right="145" w:firstLine="0"/>
        <w:jc w:val="center"/>
      </w:pPr>
      <w:r>
        <w:rPr/>
        <w:t>Neni 83</w:t>
      </w:r>
    </w:p>
    <w:p>
      <w:pPr>
        <w:pStyle w:val="Heading1"/>
        <w:ind w:right="145"/>
      </w:pPr>
      <w:r>
        <w:rPr/>
        <w:t>Sistemet e aksesit të kushtëzuar</w:t>
      </w:r>
    </w:p>
    <w:p>
      <w:pPr>
        <w:pStyle w:val="BodyText"/>
        <w:spacing w:before="7"/>
        <w:ind w:left="0" w:firstLine="0"/>
        <w:rPr>
          <w:b/>
          <w:sz w:val="21"/>
        </w:rPr>
      </w:pPr>
    </w:p>
    <w:p>
      <w:pPr>
        <w:pStyle w:val="ListParagraph"/>
        <w:numPr>
          <w:ilvl w:val="0"/>
          <w:numId w:val="163"/>
        </w:numPr>
        <w:tabs>
          <w:tab w:pos="1137" w:val="left" w:leader="none"/>
        </w:tabs>
        <w:spacing w:line="240" w:lineRule="auto" w:before="0" w:after="0"/>
        <w:ind w:left="121" w:right="113" w:firstLine="720"/>
        <w:jc w:val="both"/>
        <w:rPr>
          <w:sz w:val="22"/>
        </w:rPr>
      </w:pPr>
      <w:r>
        <w:rPr>
          <w:sz w:val="22"/>
        </w:rPr>
        <w:t>Sistemet e aksesit të kushtëzuar për shërbimet radiotelevizive numerike duhet të kenë kapacitetet e nevojshme teknike për të mundësuar që operatorët e rrjeteve të kenë kontrollin e plotë mbi shërbimet që përdorin këto</w:t>
      </w:r>
      <w:r>
        <w:rPr>
          <w:spacing w:val="-3"/>
          <w:sz w:val="22"/>
        </w:rPr>
        <w:t> </w:t>
      </w:r>
      <w:r>
        <w:rPr>
          <w:sz w:val="22"/>
        </w:rPr>
        <w:t>sisteme.</w:t>
      </w:r>
    </w:p>
    <w:p>
      <w:pPr>
        <w:pStyle w:val="ListParagraph"/>
        <w:numPr>
          <w:ilvl w:val="0"/>
          <w:numId w:val="163"/>
        </w:numPr>
        <w:tabs>
          <w:tab w:pos="1094" w:val="left" w:leader="none"/>
        </w:tabs>
        <w:spacing w:line="240" w:lineRule="auto" w:before="1" w:after="0"/>
        <w:ind w:left="121" w:right="114" w:firstLine="720"/>
        <w:jc w:val="both"/>
        <w:rPr>
          <w:sz w:val="22"/>
        </w:rPr>
      </w:pPr>
      <w:r>
        <w:rPr>
          <w:sz w:val="22"/>
        </w:rPr>
        <w:t>Ofruesit e shërbimeve të aksesit të kushtëzuar, që sigurojnë aksesin në shërbimet radio dhe televizive numerike, janë të detyruar t’u ofrojnë të gjithë OSHMA-ve, në kushte të ndershme, të arsyeshme dhe jo diskriminuese, asistencë teknike, që mundëson abonentët e tyre të kenë akses në shërbimet e ofruara me anë të</w:t>
      </w:r>
      <w:r>
        <w:rPr>
          <w:spacing w:val="-2"/>
          <w:sz w:val="22"/>
        </w:rPr>
        <w:t> </w:t>
      </w:r>
      <w:r>
        <w:rPr>
          <w:sz w:val="22"/>
        </w:rPr>
        <w:t>dekoderëve.</w:t>
      </w:r>
    </w:p>
    <w:p>
      <w:pPr>
        <w:pStyle w:val="ListParagraph"/>
        <w:numPr>
          <w:ilvl w:val="0"/>
          <w:numId w:val="163"/>
        </w:numPr>
        <w:tabs>
          <w:tab w:pos="1094" w:val="left" w:leader="none"/>
        </w:tabs>
        <w:spacing w:line="240" w:lineRule="auto" w:before="0" w:after="0"/>
        <w:ind w:left="121" w:right="114" w:firstLine="720"/>
        <w:jc w:val="both"/>
        <w:rPr>
          <w:sz w:val="22"/>
        </w:rPr>
      </w:pPr>
      <w:r>
        <w:rPr>
          <w:sz w:val="22"/>
        </w:rPr>
        <w:t>Për ofrimin e shërbimit të aksesit të kushtëzuar, operatorët që ofrojnë këtë shërbim mbajnë llogari të ndara nga pjesa tjetër e</w:t>
      </w:r>
      <w:r>
        <w:rPr>
          <w:spacing w:val="1"/>
          <w:sz w:val="22"/>
        </w:rPr>
        <w:t> </w:t>
      </w:r>
      <w:r>
        <w:rPr>
          <w:sz w:val="22"/>
        </w:rPr>
        <w:t>aktivitetit.</w:t>
      </w:r>
    </w:p>
    <w:p>
      <w:pPr>
        <w:pStyle w:val="BodyText"/>
        <w:spacing w:before="9"/>
        <w:ind w:left="0" w:firstLine="0"/>
        <w:rPr>
          <w:sz w:val="21"/>
        </w:rPr>
      </w:pPr>
    </w:p>
    <w:p>
      <w:pPr>
        <w:pStyle w:val="BodyText"/>
        <w:ind w:left="146" w:right="143" w:firstLine="0"/>
        <w:jc w:val="center"/>
      </w:pPr>
      <w:r>
        <w:rPr/>
        <w:t>Neni 84</w:t>
      </w:r>
    </w:p>
    <w:p>
      <w:pPr>
        <w:spacing w:after="0"/>
        <w:jc w:val="center"/>
        <w:sectPr>
          <w:pgSz w:w="12240" w:h="15840"/>
          <w:pgMar w:top="1500" w:bottom="280" w:left="1320" w:right="1320"/>
        </w:sectPr>
      </w:pPr>
    </w:p>
    <w:p>
      <w:pPr>
        <w:pStyle w:val="Heading1"/>
        <w:spacing w:before="78"/>
      </w:pPr>
      <w:r>
        <w:rPr/>
        <w:t>Aktivitete të ndaluara për aksesin e kushtëzuar</w:t>
      </w:r>
    </w:p>
    <w:p>
      <w:pPr>
        <w:pStyle w:val="BodyText"/>
        <w:spacing w:before="7"/>
        <w:ind w:left="0" w:firstLine="0"/>
        <w:rPr>
          <w:b/>
          <w:sz w:val="21"/>
        </w:rPr>
      </w:pPr>
    </w:p>
    <w:p>
      <w:pPr>
        <w:pStyle w:val="BodyText"/>
        <w:spacing w:line="252" w:lineRule="exact"/>
        <w:ind w:left="840" w:firstLine="0"/>
      </w:pPr>
      <w:r>
        <w:rPr/>
        <w:t>Në territorin e Republikës së Shqipërisë ndalohet kryerja e aktiviteteve të mëposhtme:</w:t>
      </w:r>
    </w:p>
    <w:p>
      <w:pPr>
        <w:pStyle w:val="ListParagraph"/>
        <w:numPr>
          <w:ilvl w:val="0"/>
          <w:numId w:val="164"/>
        </w:numPr>
        <w:tabs>
          <w:tab w:pos="1083" w:val="left" w:leader="none"/>
        </w:tabs>
        <w:spacing w:line="240" w:lineRule="auto" w:before="0" w:after="0"/>
        <w:ind w:left="120" w:right="115" w:firstLine="719"/>
        <w:jc w:val="left"/>
        <w:rPr>
          <w:sz w:val="22"/>
        </w:rPr>
      </w:pPr>
      <w:r>
        <w:rPr>
          <w:sz w:val="22"/>
        </w:rPr>
        <w:t>Prodhimi, importimi, shpërndarja, shitja, dhënia me qira ose posedimi për qëllime tregtare të pajisjeve të</w:t>
      </w:r>
      <w:r>
        <w:rPr>
          <w:spacing w:val="-1"/>
          <w:sz w:val="22"/>
        </w:rPr>
        <w:t> </w:t>
      </w:r>
      <w:r>
        <w:rPr>
          <w:sz w:val="22"/>
        </w:rPr>
        <w:t>ndaluara.</w:t>
      </w:r>
    </w:p>
    <w:p>
      <w:pPr>
        <w:pStyle w:val="ListParagraph"/>
        <w:numPr>
          <w:ilvl w:val="0"/>
          <w:numId w:val="164"/>
        </w:numPr>
        <w:tabs>
          <w:tab w:pos="1062" w:val="left" w:leader="none"/>
        </w:tabs>
        <w:spacing w:line="252" w:lineRule="exact" w:before="0" w:after="0"/>
        <w:ind w:left="1061" w:right="0" w:hanging="222"/>
        <w:jc w:val="left"/>
        <w:rPr>
          <w:sz w:val="22"/>
        </w:rPr>
      </w:pPr>
      <w:r>
        <w:rPr>
          <w:sz w:val="22"/>
        </w:rPr>
        <w:t>Instalimi, mirëmbajtja ose zëvendësimi për qëllime tregtare të një pajisje të</w:t>
      </w:r>
      <w:r>
        <w:rPr>
          <w:spacing w:val="-11"/>
          <w:sz w:val="22"/>
        </w:rPr>
        <w:t> </w:t>
      </w:r>
      <w:r>
        <w:rPr>
          <w:sz w:val="22"/>
        </w:rPr>
        <w:t>ndaluar.</w:t>
      </w:r>
    </w:p>
    <w:p>
      <w:pPr>
        <w:pStyle w:val="ListParagraph"/>
        <w:numPr>
          <w:ilvl w:val="0"/>
          <w:numId w:val="164"/>
        </w:numPr>
        <w:tabs>
          <w:tab w:pos="1062" w:val="left" w:leader="none"/>
        </w:tabs>
        <w:spacing w:line="252" w:lineRule="exact" w:before="0" w:after="0"/>
        <w:ind w:left="1061" w:right="0" w:hanging="222"/>
        <w:jc w:val="left"/>
        <w:rPr>
          <w:sz w:val="22"/>
        </w:rPr>
      </w:pPr>
      <w:r>
        <w:rPr>
          <w:sz w:val="22"/>
        </w:rPr>
        <w:t>Përdorimi i komunikimeve tregtare për promovimin e pajisjeve të ndaluara.</w:t>
      </w:r>
    </w:p>
    <w:p>
      <w:pPr>
        <w:pStyle w:val="BodyText"/>
        <w:ind w:left="0" w:firstLine="0"/>
      </w:pPr>
    </w:p>
    <w:p>
      <w:pPr>
        <w:pStyle w:val="BodyText"/>
        <w:spacing w:before="1"/>
        <w:ind w:left="146" w:right="144" w:firstLine="0"/>
        <w:jc w:val="center"/>
      </w:pPr>
      <w:r>
        <w:rPr/>
        <w:t>Neni 85</w:t>
      </w:r>
    </w:p>
    <w:p>
      <w:pPr>
        <w:pStyle w:val="Heading1"/>
        <w:spacing w:before="6"/>
        <w:ind w:right="142"/>
      </w:pPr>
      <w:r>
        <w:rPr/>
        <w:t>Kriteret për mbrojtjen e aksesit të kushtëzuar</w:t>
      </w:r>
    </w:p>
    <w:p>
      <w:pPr>
        <w:pStyle w:val="BodyText"/>
        <w:spacing w:before="4"/>
        <w:ind w:left="0" w:firstLine="0"/>
        <w:rPr>
          <w:b/>
          <w:sz w:val="21"/>
        </w:rPr>
      </w:pPr>
    </w:p>
    <w:p>
      <w:pPr>
        <w:pStyle w:val="ListParagraph"/>
        <w:numPr>
          <w:ilvl w:val="0"/>
          <w:numId w:val="165"/>
        </w:numPr>
        <w:tabs>
          <w:tab w:pos="1096" w:val="left" w:leader="none"/>
        </w:tabs>
        <w:spacing w:line="240" w:lineRule="auto" w:before="1" w:after="0"/>
        <w:ind w:left="121" w:right="112" w:firstLine="719"/>
        <w:jc w:val="both"/>
        <w:rPr>
          <w:sz w:val="22"/>
        </w:rPr>
      </w:pPr>
      <w:r>
        <w:rPr>
          <w:sz w:val="22"/>
        </w:rPr>
        <w:t>Mosrespektimi i detyrimeve të përcaktuara në nenin 84 të këtij ligji, kur nuk përbën vepër penale, ndëshkohet me gjobë sipas përcaktimeve të nenit 133 të këtij ligji. Masa e ndëshkimit duhet të jetë efektive dhe në proporcion me dëmin e</w:t>
      </w:r>
      <w:r>
        <w:rPr>
          <w:spacing w:val="-4"/>
          <w:sz w:val="22"/>
        </w:rPr>
        <w:t> </w:t>
      </w:r>
      <w:r>
        <w:rPr>
          <w:sz w:val="22"/>
        </w:rPr>
        <w:t>shkaktuar.</w:t>
      </w:r>
    </w:p>
    <w:p>
      <w:pPr>
        <w:pStyle w:val="ListParagraph"/>
        <w:numPr>
          <w:ilvl w:val="0"/>
          <w:numId w:val="165"/>
        </w:numPr>
        <w:tabs>
          <w:tab w:pos="1073" w:val="left" w:leader="none"/>
        </w:tabs>
        <w:spacing w:line="240" w:lineRule="auto" w:before="1" w:after="0"/>
        <w:ind w:left="121" w:right="110" w:firstLine="720"/>
        <w:jc w:val="both"/>
        <w:rPr>
          <w:sz w:val="22"/>
        </w:rPr>
      </w:pPr>
      <w:r>
        <w:rPr>
          <w:sz w:val="22"/>
        </w:rPr>
        <w:t>Ofruesit e shërbimeve me akses të kushtëzuar, interesat e të cilëve cenohen nga një veprimtari e paligjshme, kanë të drejtë të kërkojnë kompensim për dëmin e shkaktuar në përputhje me legjislacionin në fuqi. Në rast konstatimi të kësaj veprimtarie, AMA bashkëpunon me organet kompetente dhe, kur e sheh të arsyeshme, kërkon nxjerrjen jashtë tregut të pajisjeve të</w:t>
      </w:r>
      <w:r>
        <w:rPr>
          <w:spacing w:val="-10"/>
          <w:sz w:val="22"/>
        </w:rPr>
        <w:t> </w:t>
      </w:r>
      <w:r>
        <w:rPr>
          <w:sz w:val="22"/>
        </w:rPr>
        <w:t>paligjshme.</w:t>
      </w:r>
    </w:p>
    <w:p>
      <w:pPr>
        <w:pStyle w:val="BodyText"/>
        <w:ind w:left="0" w:firstLine="0"/>
      </w:pPr>
    </w:p>
    <w:p>
      <w:pPr>
        <w:pStyle w:val="BodyText"/>
        <w:ind w:left="146" w:right="141" w:firstLine="0"/>
        <w:jc w:val="center"/>
      </w:pPr>
      <w:r>
        <w:rPr/>
        <w:t>Neni 86</w:t>
      </w:r>
    </w:p>
    <w:p>
      <w:pPr>
        <w:pStyle w:val="Heading1"/>
        <w:ind w:right="139"/>
      </w:pPr>
      <w:r>
        <w:rPr/>
        <w:t>Udhëzuesi elektronik i programit</w:t>
      </w:r>
    </w:p>
    <w:p>
      <w:pPr>
        <w:pStyle w:val="BodyText"/>
        <w:spacing w:before="7"/>
        <w:ind w:left="0" w:firstLine="0"/>
        <w:rPr>
          <w:b/>
          <w:sz w:val="21"/>
        </w:rPr>
      </w:pPr>
    </w:p>
    <w:p>
      <w:pPr>
        <w:pStyle w:val="ListParagraph"/>
        <w:numPr>
          <w:ilvl w:val="0"/>
          <w:numId w:val="166"/>
        </w:numPr>
        <w:tabs>
          <w:tab w:pos="1076" w:val="left" w:leader="none"/>
        </w:tabs>
        <w:spacing w:line="240" w:lineRule="auto" w:before="0" w:after="0"/>
        <w:ind w:left="122" w:right="112" w:firstLine="720"/>
        <w:jc w:val="both"/>
        <w:rPr>
          <w:sz w:val="22"/>
        </w:rPr>
      </w:pPr>
      <w:r>
        <w:rPr>
          <w:sz w:val="22"/>
        </w:rPr>
        <w:t>Udhëzuesi elektronik i programit është mënyra elektronike e informimit të publikut lidhur me listën dhe orarin e programeve nga shërbimi i transmetimit, e cila është pjesë përbërëse e sistemit të transmetimit.</w:t>
      </w:r>
    </w:p>
    <w:p>
      <w:pPr>
        <w:pStyle w:val="BodyText"/>
        <w:spacing w:before="1"/>
        <w:ind w:left="0" w:firstLine="0"/>
      </w:pPr>
    </w:p>
    <w:p>
      <w:pPr>
        <w:pStyle w:val="ListParagraph"/>
        <w:numPr>
          <w:ilvl w:val="0"/>
          <w:numId w:val="166"/>
        </w:numPr>
        <w:tabs>
          <w:tab w:pos="1069" w:val="left" w:leader="none"/>
        </w:tabs>
        <w:spacing w:line="240" w:lineRule="auto" w:before="0" w:after="0"/>
        <w:ind w:left="122" w:right="113" w:firstLine="720"/>
        <w:jc w:val="left"/>
        <w:rPr>
          <w:sz w:val="22"/>
        </w:rPr>
      </w:pPr>
      <w:r>
        <w:rPr>
          <w:sz w:val="22"/>
        </w:rPr>
        <w:t>Çdo person fizik ose juridik ka të drejtë të përgatisë dhe të vërë në përdorim një ose më shumë udhëzues elektronikë të programit, sipas një autorizimi të dhënë nga</w:t>
      </w:r>
      <w:r>
        <w:rPr>
          <w:spacing w:val="-3"/>
          <w:sz w:val="22"/>
        </w:rPr>
        <w:t> </w:t>
      </w:r>
      <w:r>
        <w:rPr>
          <w:sz w:val="22"/>
        </w:rPr>
        <w:t>AMA.</w:t>
      </w:r>
    </w:p>
    <w:p>
      <w:pPr>
        <w:pStyle w:val="ListParagraph"/>
        <w:numPr>
          <w:ilvl w:val="0"/>
          <w:numId w:val="166"/>
        </w:numPr>
        <w:tabs>
          <w:tab w:pos="1081" w:val="left" w:leader="none"/>
        </w:tabs>
        <w:spacing w:line="242" w:lineRule="auto" w:before="0" w:after="0"/>
        <w:ind w:left="122" w:right="112" w:firstLine="720"/>
        <w:jc w:val="left"/>
        <w:rPr>
          <w:sz w:val="22"/>
        </w:rPr>
      </w:pPr>
      <w:r>
        <w:rPr>
          <w:sz w:val="22"/>
        </w:rPr>
        <w:t>Autorizimi për udhëzuesin elektronik të programit duhet të përfshijë kushtet e përcaktuara në rregulloren e përgatitur nga AMA për këtë qëllim. Kjo rregullore</w:t>
      </w:r>
      <w:r>
        <w:rPr>
          <w:spacing w:val="-8"/>
          <w:sz w:val="22"/>
        </w:rPr>
        <w:t> </w:t>
      </w:r>
      <w:r>
        <w:rPr>
          <w:sz w:val="22"/>
        </w:rPr>
        <w:t>përcakton:</w:t>
      </w:r>
    </w:p>
    <w:p>
      <w:pPr>
        <w:pStyle w:val="ListParagraph"/>
        <w:numPr>
          <w:ilvl w:val="0"/>
          <w:numId w:val="167"/>
        </w:numPr>
        <w:tabs>
          <w:tab w:pos="1071" w:val="left" w:leader="none"/>
        </w:tabs>
        <w:spacing w:line="248" w:lineRule="exact" w:before="0" w:after="0"/>
        <w:ind w:left="1070" w:right="0" w:hanging="229"/>
        <w:jc w:val="left"/>
        <w:rPr>
          <w:sz w:val="22"/>
        </w:rPr>
      </w:pPr>
      <w:r>
        <w:rPr>
          <w:sz w:val="22"/>
        </w:rPr>
        <w:t>formën e paraqitjes së</w:t>
      </w:r>
      <w:r>
        <w:rPr>
          <w:spacing w:val="-6"/>
          <w:sz w:val="22"/>
        </w:rPr>
        <w:t> </w:t>
      </w:r>
      <w:r>
        <w:rPr>
          <w:sz w:val="22"/>
        </w:rPr>
        <w:t>informacionit;</w:t>
      </w:r>
    </w:p>
    <w:p>
      <w:pPr>
        <w:pStyle w:val="ListParagraph"/>
        <w:numPr>
          <w:ilvl w:val="0"/>
          <w:numId w:val="167"/>
        </w:numPr>
        <w:tabs>
          <w:tab w:pos="1083" w:val="left" w:leader="none"/>
        </w:tabs>
        <w:spacing w:line="252" w:lineRule="exact" w:before="0" w:after="0"/>
        <w:ind w:left="1082" w:right="0" w:hanging="241"/>
        <w:jc w:val="left"/>
        <w:rPr>
          <w:sz w:val="22"/>
        </w:rPr>
      </w:pPr>
      <w:r>
        <w:rPr>
          <w:sz w:val="22"/>
        </w:rPr>
        <w:t>listën dhe oraret e</w:t>
      </w:r>
      <w:r>
        <w:rPr>
          <w:spacing w:val="-3"/>
          <w:sz w:val="22"/>
        </w:rPr>
        <w:t> </w:t>
      </w:r>
      <w:r>
        <w:rPr>
          <w:sz w:val="22"/>
        </w:rPr>
        <w:t>programeve;</w:t>
      </w:r>
    </w:p>
    <w:p>
      <w:pPr>
        <w:pStyle w:val="ListParagraph"/>
        <w:numPr>
          <w:ilvl w:val="0"/>
          <w:numId w:val="167"/>
        </w:numPr>
        <w:tabs>
          <w:tab w:pos="1071" w:val="left" w:leader="none"/>
        </w:tabs>
        <w:spacing w:line="240" w:lineRule="auto" w:before="0" w:after="0"/>
        <w:ind w:left="842" w:right="1407" w:firstLine="0"/>
        <w:jc w:val="left"/>
        <w:rPr>
          <w:sz w:val="22"/>
        </w:rPr>
      </w:pPr>
      <w:r>
        <w:rPr>
          <w:sz w:val="22"/>
        </w:rPr>
        <w:t>përparësinë e renditjes së shërbimeve të ofruara nga RTSH-ja brenda</w:t>
      </w:r>
      <w:r>
        <w:rPr>
          <w:spacing w:val="-26"/>
          <w:sz w:val="22"/>
        </w:rPr>
        <w:t> </w:t>
      </w:r>
      <w:r>
        <w:rPr>
          <w:sz w:val="22"/>
        </w:rPr>
        <w:t>udhëzuesit; ç) përparësinë e renditjes së ofruesve të tjerë të shërbimeve</w:t>
      </w:r>
      <w:r>
        <w:rPr>
          <w:spacing w:val="-11"/>
          <w:sz w:val="22"/>
        </w:rPr>
        <w:t> </w:t>
      </w:r>
      <w:r>
        <w:rPr>
          <w:sz w:val="22"/>
        </w:rPr>
        <w:t>mediatike;</w:t>
      </w:r>
    </w:p>
    <w:p>
      <w:pPr>
        <w:pStyle w:val="ListParagraph"/>
        <w:numPr>
          <w:ilvl w:val="0"/>
          <w:numId w:val="167"/>
        </w:numPr>
        <w:tabs>
          <w:tab w:pos="1095" w:val="left" w:leader="none"/>
        </w:tabs>
        <w:spacing w:line="240" w:lineRule="auto" w:before="0" w:after="0"/>
        <w:ind w:left="122" w:right="113" w:firstLine="720"/>
        <w:jc w:val="left"/>
        <w:rPr>
          <w:sz w:val="22"/>
        </w:rPr>
      </w:pPr>
      <w:r>
        <w:rPr>
          <w:sz w:val="22"/>
        </w:rPr>
        <w:t>kushtet për përdorimin sa më të thjeshtë të udhëzuesit elektronik nga përdoruesit për të marrë lehtësisht informacionin për listën dhe orarin e programeve objekt i</w:t>
      </w:r>
      <w:r>
        <w:rPr>
          <w:spacing w:val="-6"/>
          <w:sz w:val="22"/>
        </w:rPr>
        <w:t> </w:t>
      </w:r>
      <w:r>
        <w:rPr>
          <w:sz w:val="22"/>
        </w:rPr>
        <w:t>licencës.</w:t>
      </w:r>
    </w:p>
    <w:p>
      <w:pPr>
        <w:pStyle w:val="ListParagraph"/>
        <w:numPr>
          <w:ilvl w:val="0"/>
          <w:numId w:val="166"/>
        </w:numPr>
        <w:tabs>
          <w:tab w:pos="1073" w:val="left" w:leader="none"/>
        </w:tabs>
        <w:spacing w:line="240" w:lineRule="auto" w:before="0" w:after="0"/>
        <w:ind w:left="122" w:right="112" w:firstLine="720"/>
        <w:jc w:val="left"/>
        <w:rPr>
          <w:sz w:val="22"/>
        </w:rPr>
      </w:pPr>
      <w:r>
        <w:rPr>
          <w:sz w:val="22"/>
        </w:rPr>
        <w:t>AMA ka të drejtë të udhëzojë RTSH-në ose një të licencuar, si ofrues i shërbimeve mediatike, të përdorë udhëzuesin elektronik të programit të licencuar sipas pikës 3 të këtij</w:t>
      </w:r>
      <w:r>
        <w:rPr>
          <w:spacing w:val="-14"/>
          <w:sz w:val="22"/>
        </w:rPr>
        <w:t> </w:t>
      </w:r>
      <w:r>
        <w:rPr>
          <w:sz w:val="22"/>
        </w:rPr>
        <w:t>neni.</w:t>
      </w:r>
    </w:p>
    <w:p>
      <w:pPr>
        <w:pStyle w:val="BodyText"/>
        <w:spacing w:before="10"/>
        <w:ind w:left="0" w:firstLine="0"/>
        <w:rPr>
          <w:sz w:val="21"/>
        </w:rPr>
      </w:pPr>
    </w:p>
    <w:p>
      <w:pPr>
        <w:pStyle w:val="BodyText"/>
        <w:ind w:left="146" w:right="141" w:firstLine="0"/>
        <w:jc w:val="center"/>
      </w:pPr>
      <w:r>
        <w:rPr/>
        <w:t>Neni 87</w:t>
      </w:r>
    </w:p>
    <w:p>
      <w:pPr>
        <w:pStyle w:val="Heading1"/>
        <w:ind w:right="141"/>
      </w:pPr>
      <w:r>
        <w:rPr/>
        <w:t>Detyrimet e mbartjes</w:t>
      </w:r>
    </w:p>
    <w:p>
      <w:pPr>
        <w:pStyle w:val="BodyText"/>
        <w:spacing w:before="7"/>
        <w:ind w:left="0" w:firstLine="0"/>
        <w:rPr>
          <w:b/>
          <w:sz w:val="21"/>
        </w:rPr>
      </w:pPr>
    </w:p>
    <w:p>
      <w:pPr>
        <w:pStyle w:val="ListParagraph"/>
        <w:numPr>
          <w:ilvl w:val="0"/>
          <w:numId w:val="168"/>
        </w:numPr>
        <w:tabs>
          <w:tab w:pos="1076" w:val="left" w:leader="none"/>
        </w:tabs>
        <w:spacing w:line="240" w:lineRule="auto" w:before="0" w:after="0"/>
        <w:ind w:left="122" w:right="111" w:firstLine="720"/>
        <w:jc w:val="both"/>
        <w:rPr>
          <w:sz w:val="22"/>
        </w:rPr>
      </w:pPr>
      <w:r>
        <w:rPr>
          <w:sz w:val="22"/>
        </w:rPr>
        <w:t>AMA ka të drejtë t’u vendosë OSHMA-ve detyrime të arsyeshme për transmetimin e një ose më shumë programeve audio dhe audiovizive me interes të përgjithshëm për publikun, me qëllim marrjen e tyre në territorin e Republikës së Shqipërisë në nivel kombëtar, rajonal ose</w:t>
      </w:r>
      <w:r>
        <w:rPr>
          <w:spacing w:val="-8"/>
          <w:sz w:val="22"/>
        </w:rPr>
        <w:t> </w:t>
      </w:r>
      <w:r>
        <w:rPr>
          <w:sz w:val="22"/>
        </w:rPr>
        <w:t>lokal.</w:t>
      </w:r>
    </w:p>
    <w:p>
      <w:pPr>
        <w:pStyle w:val="ListParagraph"/>
        <w:numPr>
          <w:ilvl w:val="0"/>
          <w:numId w:val="168"/>
        </w:numPr>
        <w:tabs>
          <w:tab w:pos="1117" w:val="left" w:leader="none"/>
        </w:tabs>
        <w:spacing w:line="240" w:lineRule="auto" w:before="0" w:after="0"/>
        <w:ind w:left="122" w:right="112" w:firstLine="720"/>
        <w:jc w:val="both"/>
        <w:rPr>
          <w:sz w:val="22"/>
        </w:rPr>
      </w:pPr>
      <w:r>
        <w:rPr>
          <w:sz w:val="22"/>
        </w:rPr>
        <w:t>Detyrimet e mbartjes, sipas pikës 1 të këtij neni, imponohen në përputhje me parimet e proporcionalitetit dhe transparencës, vetëm ndaj operatorëve të komunikimeve elektronike, rrjetet e të cilëve shfrytëzohen nga një numër i konsiderueshëm përdoruesish, si mjet kryesor për marrjen e programeve audiovizive, dhe vetëm nëse kjo është në interes të</w:t>
      </w:r>
      <w:r>
        <w:rPr>
          <w:spacing w:val="-10"/>
          <w:sz w:val="22"/>
        </w:rPr>
        <w:t> </w:t>
      </w:r>
      <w:r>
        <w:rPr>
          <w:sz w:val="22"/>
        </w:rPr>
        <w:t>publikut.</w:t>
      </w:r>
    </w:p>
    <w:p>
      <w:pPr>
        <w:pStyle w:val="ListParagraph"/>
        <w:numPr>
          <w:ilvl w:val="0"/>
          <w:numId w:val="168"/>
        </w:numPr>
        <w:tabs>
          <w:tab w:pos="1100" w:val="left" w:leader="none"/>
        </w:tabs>
        <w:spacing w:line="240" w:lineRule="auto" w:before="0" w:after="0"/>
        <w:ind w:left="122" w:right="110" w:firstLine="720"/>
        <w:jc w:val="both"/>
        <w:rPr>
          <w:sz w:val="22"/>
        </w:rPr>
      </w:pPr>
      <w:r>
        <w:rPr>
          <w:sz w:val="22"/>
        </w:rPr>
        <w:t>Në rastin e aplikimit të pagesave për mbartjen e programeve, në përputhje me detyrimet e përcaktuara pikës 1 të këtij neni, ato caktohen në përputhje me parimet e proporcionalitetit,</w:t>
      </w:r>
      <w:r>
        <w:rPr>
          <w:spacing w:val="6"/>
          <w:sz w:val="22"/>
        </w:rPr>
        <w:t> </w:t>
      </w:r>
      <w:r>
        <w:rPr>
          <w:sz w:val="22"/>
        </w:rPr>
        <w:t>transparencës</w:t>
      </w:r>
    </w:p>
    <w:p>
      <w:pPr>
        <w:spacing w:after="0" w:line="240" w:lineRule="auto"/>
        <w:jc w:val="both"/>
        <w:rPr>
          <w:sz w:val="22"/>
        </w:rPr>
        <w:sectPr>
          <w:pgSz w:w="12240" w:h="15840"/>
          <w:pgMar w:top="1360" w:bottom="280" w:left="1320" w:right="1320"/>
        </w:sectPr>
      </w:pPr>
    </w:p>
    <w:p>
      <w:pPr>
        <w:pStyle w:val="BodyText"/>
        <w:spacing w:line="252" w:lineRule="exact" w:before="74"/>
        <w:ind w:firstLine="0"/>
        <w:jc w:val="both"/>
      </w:pPr>
      <w:r>
        <w:rPr/>
        <w:t>dhe mosdiskriminimit.</w:t>
      </w:r>
    </w:p>
    <w:p>
      <w:pPr>
        <w:pStyle w:val="ListParagraph"/>
        <w:numPr>
          <w:ilvl w:val="0"/>
          <w:numId w:val="168"/>
        </w:numPr>
        <w:tabs>
          <w:tab w:pos="1066" w:val="left" w:leader="none"/>
        </w:tabs>
        <w:spacing w:line="240" w:lineRule="auto" w:before="0" w:after="0"/>
        <w:ind w:left="120" w:right="114" w:firstLine="720"/>
        <w:jc w:val="both"/>
        <w:rPr>
          <w:sz w:val="22"/>
        </w:rPr>
      </w:pPr>
      <w:r>
        <w:rPr>
          <w:sz w:val="22"/>
        </w:rPr>
        <w:t>AMA verifikon periodikisht zbatimin e detyrimeve të mbartjes, sipas pikës 1 të këtij neni. Çdo OSHMA, ndaj të cilit është vendosur detyrimi i mbartjes, ka të drejtë t’i kërkojë AMA-s rishqyrtimin e këtyre detyrimeve pas një periudhe 2-vjeçare nga fillimi i këtij</w:t>
      </w:r>
      <w:r>
        <w:rPr>
          <w:spacing w:val="-3"/>
          <w:sz w:val="22"/>
        </w:rPr>
        <w:t> </w:t>
      </w:r>
      <w:r>
        <w:rPr>
          <w:sz w:val="22"/>
        </w:rPr>
        <w:t>detyrimi.</w:t>
      </w:r>
    </w:p>
    <w:p>
      <w:pPr>
        <w:pStyle w:val="BodyText"/>
        <w:spacing w:before="11"/>
        <w:ind w:left="0" w:firstLine="0"/>
        <w:rPr>
          <w:sz w:val="21"/>
        </w:rPr>
      </w:pPr>
    </w:p>
    <w:p>
      <w:pPr>
        <w:pStyle w:val="BodyText"/>
        <w:ind w:left="146" w:right="146" w:firstLine="0"/>
        <w:jc w:val="center"/>
      </w:pPr>
      <w:r>
        <w:rPr/>
        <w:t>Neni 88</w:t>
      </w:r>
    </w:p>
    <w:p>
      <w:pPr>
        <w:pStyle w:val="Heading1"/>
        <w:ind w:right="90"/>
      </w:pPr>
      <w:r>
        <w:rPr/>
        <w:t>Ndryshimi i kushteve të licencës</w:t>
      </w:r>
    </w:p>
    <w:p>
      <w:pPr>
        <w:pStyle w:val="BodyText"/>
        <w:spacing w:before="7"/>
        <w:ind w:left="0" w:firstLine="0"/>
        <w:rPr>
          <w:b/>
          <w:sz w:val="21"/>
        </w:rPr>
      </w:pPr>
    </w:p>
    <w:p>
      <w:pPr>
        <w:pStyle w:val="ListParagraph"/>
        <w:numPr>
          <w:ilvl w:val="0"/>
          <w:numId w:val="169"/>
        </w:numPr>
        <w:tabs>
          <w:tab w:pos="1061" w:val="left" w:leader="none"/>
        </w:tabs>
        <w:spacing w:line="240" w:lineRule="auto" w:before="0" w:after="0"/>
        <w:ind w:left="1060" w:right="0" w:hanging="222"/>
        <w:jc w:val="left"/>
        <w:rPr>
          <w:sz w:val="22"/>
        </w:rPr>
      </w:pPr>
      <w:r>
        <w:rPr>
          <w:sz w:val="22"/>
        </w:rPr>
        <w:t>AMA ndryshon kushtet e licencës së transmetimit audio dhe/ose audiovizive me nismën e</w:t>
      </w:r>
      <w:r>
        <w:rPr>
          <w:spacing w:val="-15"/>
          <w:sz w:val="22"/>
        </w:rPr>
        <w:t> </w:t>
      </w:r>
      <w:r>
        <w:rPr>
          <w:sz w:val="22"/>
        </w:rPr>
        <w:t>vet:</w:t>
      </w:r>
    </w:p>
    <w:p>
      <w:pPr>
        <w:pStyle w:val="ListParagraph"/>
        <w:numPr>
          <w:ilvl w:val="0"/>
          <w:numId w:val="170"/>
        </w:numPr>
        <w:tabs>
          <w:tab w:pos="1102" w:val="left" w:leader="none"/>
        </w:tabs>
        <w:spacing w:line="240" w:lineRule="auto" w:before="1" w:after="0"/>
        <w:ind w:left="119" w:right="115" w:firstLine="720"/>
        <w:jc w:val="left"/>
        <w:rPr>
          <w:sz w:val="22"/>
        </w:rPr>
      </w:pPr>
      <w:r>
        <w:rPr>
          <w:sz w:val="22"/>
        </w:rPr>
        <w:t>kur ka ndryshuar Plani Kombëtar i Frekuencave ose Plani i Përdorimit të Frekuencave ose rregullat për kushtet e përdorimit të</w:t>
      </w:r>
      <w:r>
        <w:rPr>
          <w:spacing w:val="-3"/>
          <w:sz w:val="22"/>
        </w:rPr>
        <w:t> </w:t>
      </w:r>
      <w:r>
        <w:rPr>
          <w:sz w:val="22"/>
        </w:rPr>
        <w:t>frekuencave;</w:t>
      </w:r>
    </w:p>
    <w:p>
      <w:pPr>
        <w:pStyle w:val="ListParagraph"/>
        <w:numPr>
          <w:ilvl w:val="0"/>
          <w:numId w:val="170"/>
        </w:numPr>
        <w:tabs>
          <w:tab w:pos="1080" w:val="left" w:leader="none"/>
        </w:tabs>
        <w:spacing w:line="251" w:lineRule="exact" w:before="0" w:after="0"/>
        <w:ind w:left="1079" w:right="0" w:hanging="241"/>
        <w:jc w:val="left"/>
        <w:rPr>
          <w:sz w:val="22"/>
        </w:rPr>
      </w:pPr>
      <w:r>
        <w:rPr>
          <w:sz w:val="22"/>
        </w:rPr>
        <w:t>për nevoja publike, që nuk mund të plotësohen në mënyrë</w:t>
      </w:r>
      <w:r>
        <w:rPr>
          <w:spacing w:val="-8"/>
          <w:sz w:val="22"/>
        </w:rPr>
        <w:t> </w:t>
      </w:r>
      <w:r>
        <w:rPr>
          <w:sz w:val="22"/>
        </w:rPr>
        <w:t>tjetër;</w:t>
      </w:r>
    </w:p>
    <w:p>
      <w:pPr>
        <w:pStyle w:val="ListParagraph"/>
        <w:numPr>
          <w:ilvl w:val="0"/>
          <w:numId w:val="170"/>
        </w:numPr>
        <w:tabs>
          <w:tab w:pos="1119" w:val="left" w:leader="none"/>
        </w:tabs>
        <w:spacing w:line="240" w:lineRule="auto" w:before="2" w:after="0"/>
        <w:ind w:left="1118" w:right="0" w:hanging="279"/>
        <w:jc w:val="left"/>
        <w:rPr>
          <w:sz w:val="22"/>
        </w:rPr>
      </w:pPr>
      <w:r>
        <w:rPr>
          <w:sz w:val="22"/>
        </w:rPr>
        <w:t>kur</w:t>
      </w:r>
      <w:r>
        <w:rPr>
          <w:spacing w:val="49"/>
          <w:sz w:val="22"/>
        </w:rPr>
        <w:t> </w:t>
      </w:r>
      <w:r>
        <w:rPr>
          <w:sz w:val="22"/>
        </w:rPr>
        <w:t>ndryshimi</w:t>
      </w:r>
      <w:r>
        <w:rPr>
          <w:spacing w:val="49"/>
          <w:sz w:val="22"/>
        </w:rPr>
        <w:t> </w:t>
      </w:r>
      <w:r>
        <w:rPr>
          <w:sz w:val="22"/>
        </w:rPr>
        <w:t>i</w:t>
      </w:r>
      <w:r>
        <w:rPr>
          <w:spacing w:val="49"/>
          <w:sz w:val="22"/>
        </w:rPr>
        <w:t> </w:t>
      </w:r>
      <w:r>
        <w:rPr>
          <w:sz w:val="22"/>
        </w:rPr>
        <w:t>kërkuar</w:t>
      </w:r>
      <w:r>
        <w:rPr>
          <w:spacing w:val="49"/>
          <w:sz w:val="22"/>
        </w:rPr>
        <w:t> </w:t>
      </w:r>
      <w:r>
        <w:rPr>
          <w:sz w:val="22"/>
        </w:rPr>
        <w:t>i</w:t>
      </w:r>
      <w:r>
        <w:rPr>
          <w:spacing w:val="47"/>
          <w:sz w:val="22"/>
        </w:rPr>
        <w:t> </w:t>
      </w:r>
      <w:r>
        <w:rPr>
          <w:sz w:val="22"/>
        </w:rPr>
        <w:t>shërben</w:t>
      </w:r>
      <w:r>
        <w:rPr>
          <w:spacing w:val="46"/>
          <w:sz w:val="22"/>
        </w:rPr>
        <w:t> </w:t>
      </w:r>
      <w:r>
        <w:rPr>
          <w:sz w:val="22"/>
        </w:rPr>
        <w:t>përdorimit</w:t>
      </w:r>
      <w:r>
        <w:rPr>
          <w:spacing w:val="50"/>
          <w:sz w:val="22"/>
        </w:rPr>
        <w:t> </w:t>
      </w:r>
      <w:r>
        <w:rPr>
          <w:sz w:val="22"/>
        </w:rPr>
        <w:t>efiçent</w:t>
      </w:r>
      <w:r>
        <w:rPr>
          <w:spacing w:val="47"/>
          <w:sz w:val="22"/>
        </w:rPr>
        <w:t> </w:t>
      </w:r>
      <w:r>
        <w:rPr>
          <w:sz w:val="22"/>
        </w:rPr>
        <w:t>të</w:t>
      </w:r>
      <w:r>
        <w:rPr>
          <w:spacing w:val="46"/>
          <w:sz w:val="22"/>
        </w:rPr>
        <w:t> </w:t>
      </w:r>
      <w:r>
        <w:rPr>
          <w:sz w:val="22"/>
        </w:rPr>
        <w:t>frekuencave</w:t>
      </w:r>
      <w:r>
        <w:rPr>
          <w:spacing w:val="-1"/>
          <w:sz w:val="22"/>
        </w:rPr>
        <w:t> </w:t>
      </w:r>
      <w:r>
        <w:rPr>
          <w:sz w:val="22"/>
        </w:rPr>
        <w:t>dhe</w:t>
      </w:r>
      <w:r>
        <w:rPr>
          <w:spacing w:val="49"/>
          <w:sz w:val="22"/>
        </w:rPr>
        <w:t> </w:t>
      </w:r>
      <w:r>
        <w:rPr>
          <w:sz w:val="22"/>
        </w:rPr>
        <w:t>është</w:t>
      </w:r>
      <w:r>
        <w:rPr>
          <w:spacing w:val="46"/>
          <w:sz w:val="22"/>
        </w:rPr>
        <w:t> </w:t>
      </w:r>
      <w:r>
        <w:rPr>
          <w:sz w:val="22"/>
        </w:rPr>
        <w:t>me</w:t>
      </w:r>
      <w:r>
        <w:rPr>
          <w:spacing w:val="50"/>
          <w:sz w:val="22"/>
        </w:rPr>
        <w:t> </w:t>
      </w:r>
      <w:r>
        <w:rPr>
          <w:sz w:val="22"/>
        </w:rPr>
        <w:t>interes</w:t>
      </w:r>
    </w:p>
    <w:p>
      <w:pPr>
        <w:spacing w:after="0" w:line="240" w:lineRule="auto"/>
        <w:jc w:val="left"/>
        <w:rPr>
          <w:sz w:val="22"/>
        </w:rPr>
        <w:sectPr>
          <w:pgSz w:w="12240" w:h="15840"/>
          <w:pgMar w:top="1360" w:bottom="280" w:left="1320" w:right="1320"/>
        </w:sectPr>
      </w:pPr>
    </w:p>
    <w:p>
      <w:pPr>
        <w:pStyle w:val="BodyText"/>
        <w:spacing w:line="252" w:lineRule="exact"/>
        <w:ind w:firstLine="0"/>
      </w:pPr>
      <w:r>
        <w:rPr/>
        <w:t>publik;</w:t>
      </w:r>
    </w:p>
    <w:p>
      <w:pPr>
        <w:pStyle w:val="BodyText"/>
        <w:ind w:left="0" w:firstLine="0"/>
      </w:pPr>
      <w:r>
        <w:rPr/>
        <w:br w:type="column"/>
      </w:r>
      <w:r>
        <w:rPr/>
      </w:r>
    </w:p>
    <w:p>
      <w:pPr>
        <w:pStyle w:val="BodyText"/>
        <w:spacing w:line="252" w:lineRule="exact"/>
        <w:ind w:left="57" w:firstLine="0"/>
      </w:pPr>
      <w:r>
        <w:rPr/>
        <w:t>ç) kur interferencat e dëmshme nuk mund të shmangen në mënyrë tjetër;</w:t>
      </w:r>
    </w:p>
    <w:p>
      <w:pPr>
        <w:pStyle w:val="ListParagraph"/>
        <w:numPr>
          <w:ilvl w:val="0"/>
          <w:numId w:val="170"/>
        </w:numPr>
        <w:tabs>
          <w:tab w:pos="298" w:val="left" w:leader="none"/>
        </w:tabs>
        <w:spacing w:line="252" w:lineRule="exact" w:before="0" w:after="0"/>
        <w:ind w:left="297" w:right="0" w:hanging="241"/>
        <w:jc w:val="left"/>
        <w:rPr>
          <w:sz w:val="22"/>
        </w:rPr>
      </w:pPr>
      <w:r>
        <w:rPr>
          <w:sz w:val="22"/>
        </w:rPr>
        <w:t>kur ndryshimi buron nga aktet ndërkombëtare, të zbatueshme në Republikën e</w:t>
      </w:r>
      <w:r>
        <w:rPr>
          <w:spacing w:val="-13"/>
          <w:sz w:val="22"/>
        </w:rPr>
        <w:t> </w:t>
      </w:r>
      <w:r>
        <w:rPr>
          <w:sz w:val="22"/>
        </w:rPr>
        <w:t>Shqipërisë.</w:t>
      </w:r>
    </w:p>
    <w:p>
      <w:pPr>
        <w:pStyle w:val="ListParagraph"/>
        <w:numPr>
          <w:ilvl w:val="0"/>
          <w:numId w:val="169"/>
        </w:numPr>
        <w:tabs>
          <w:tab w:pos="295" w:val="left" w:leader="none"/>
        </w:tabs>
        <w:spacing w:line="240" w:lineRule="auto" w:before="1" w:after="0"/>
        <w:ind w:left="294" w:right="0" w:hanging="238"/>
        <w:jc w:val="left"/>
        <w:rPr>
          <w:sz w:val="22"/>
        </w:rPr>
      </w:pPr>
      <w:r>
        <w:rPr>
          <w:sz w:val="22"/>
        </w:rPr>
        <w:t>I</w:t>
      </w:r>
      <w:r>
        <w:rPr>
          <w:spacing w:val="11"/>
          <w:sz w:val="22"/>
        </w:rPr>
        <w:t> </w:t>
      </w:r>
      <w:r>
        <w:rPr>
          <w:sz w:val="22"/>
        </w:rPr>
        <w:t>licencuari</w:t>
      </w:r>
      <w:r>
        <w:rPr>
          <w:spacing w:val="14"/>
          <w:sz w:val="22"/>
        </w:rPr>
        <w:t> </w:t>
      </w:r>
      <w:r>
        <w:rPr>
          <w:sz w:val="22"/>
        </w:rPr>
        <w:t>përballon,</w:t>
      </w:r>
      <w:r>
        <w:rPr>
          <w:spacing w:val="12"/>
          <w:sz w:val="22"/>
        </w:rPr>
        <w:t> </w:t>
      </w:r>
      <w:r>
        <w:rPr>
          <w:sz w:val="22"/>
        </w:rPr>
        <w:t>me</w:t>
      </w:r>
      <w:r>
        <w:rPr>
          <w:spacing w:val="16"/>
          <w:sz w:val="22"/>
        </w:rPr>
        <w:t> </w:t>
      </w:r>
      <w:r>
        <w:rPr>
          <w:sz w:val="22"/>
        </w:rPr>
        <w:t>shpenzimet</w:t>
      </w:r>
      <w:r>
        <w:rPr>
          <w:spacing w:val="16"/>
          <w:sz w:val="22"/>
        </w:rPr>
        <w:t> </w:t>
      </w:r>
      <w:r>
        <w:rPr>
          <w:sz w:val="22"/>
        </w:rPr>
        <w:t>e</w:t>
      </w:r>
      <w:r>
        <w:rPr>
          <w:spacing w:val="16"/>
          <w:sz w:val="22"/>
        </w:rPr>
        <w:t> </w:t>
      </w:r>
      <w:r>
        <w:rPr>
          <w:sz w:val="22"/>
        </w:rPr>
        <w:t>veta,</w:t>
      </w:r>
      <w:r>
        <w:rPr>
          <w:spacing w:val="15"/>
          <w:sz w:val="22"/>
        </w:rPr>
        <w:t> </w:t>
      </w:r>
      <w:r>
        <w:rPr>
          <w:sz w:val="22"/>
        </w:rPr>
        <w:t>kryerjen</w:t>
      </w:r>
      <w:r>
        <w:rPr>
          <w:spacing w:val="16"/>
          <w:sz w:val="22"/>
        </w:rPr>
        <w:t> </w:t>
      </w:r>
      <w:r>
        <w:rPr>
          <w:sz w:val="22"/>
        </w:rPr>
        <w:t>e</w:t>
      </w:r>
      <w:r>
        <w:rPr>
          <w:spacing w:val="14"/>
          <w:sz w:val="22"/>
        </w:rPr>
        <w:t> </w:t>
      </w:r>
      <w:r>
        <w:rPr>
          <w:sz w:val="22"/>
        </w:rPr>
        <w:t>të</w:t>
      </w:r>
      <w:r>
        <w:rPr>
          <w:spacing w:val="13"/>
          <w:sz w:val="22"/>
        </w:rPr>
        <w:t> </w:t>
      </w:r>
      <w:r>
        <w:rPr>
          <w:sz w:val="22"/>
        </w:rPr>
        <w:t>gjitha</w:t>
      </w:r>
      <w:r>
        <w:rPr>
          <w:spacing w:val="16"/>
          <w:sz w:val="22"/>
        </w:rPr>
        <w:t> </w:t>
      </w:r>
      <w:r>
        <w:rPr>
          <w:sz w:val="22"/>
        </w:rPr>
        <w:t>veprimeve</w:t>
      </w:r>
      <w:r>
        <w:rPr>
          <w:spacing w:val="15"/>
          <w:sz w:val="22"/>
        </w:rPr>
        <w:t> </w:t>
      </w:r>
      <w:r>
        <w:rPr>
          <w:sz w:val="22"/>
        </w:rPr>
        <w:t>të</w:t>
      </w:r>
      <w:r>
        <w:rPr>
          <w:spacing w:val="14"/>
          <w:sz w:val="22"/>
        </w:rPr>
        <w:t> </w:t>
      </w:r>
      <w:r>
        <w:rPr>
          <w:sz w:val="22"/>
        </w:rPr>
        <w:t>nevojshme,</w:t>
      </w:r>
      <w:r>
        <w:rPr>
          <w:spacing w:val="15"/>
          <w:sz w:val="22"/>
        </w:rPr>
        <w:t> </w:t>
      </w:r>
      <w:r>
        <w:rPr>
          <w:sz w:val="22"/>
        </w:rPr>
        <w:t>që</w:t>
      </w:r>
    </w:p>
    <w:p>
      <w:pPr>
        <w:spacing w:after="0" w:line="240" w:lineRule="auto"/>
        <w:jc w:val="left"/>
        <w:rPr>
          <w:sz w:val="22"/>
        </w:rPr>
        <w:sectPr>
          <w:type w:val="continuous"/>
          <w:pgSz w:w="12240" w:h="15840"/>
          <w:pgMar w:top="1360" w:bottom="280" w:left="1320" w:right="1320"/>
          <w:cols w:num="2" w:equalWidth="0">
            <w:col w:w="744" w:space="40"/>
            <w:col w:w="8816"/>
          </w:cols>
        </w:sectPr>
      </w:pPr>
    </w:p>
    <w:p>
      <w:pPr>
        <w:pStyle w:val="BodyText"/>
        <w:spacing w:line="253" w:lineRule="exact"/>
        <w:ind w:firstLine="0"/>
      </w:pPr>
      <w:r>
        <w:rPr/>
        <w:t>burojnë nga ndryshimet në kushtet e licencës së transmetimit audio dhe/ose audiovizive.</w:t>
      </w:r>
    </w:p>
    <w:p>
      <w:pPr>
        <w:pStyle w:val="BodyText"/>
        <w:ind w:left="0" w:firstLine="0"/>
        <w:rPr>
          <w:sz w:val="20"/>
        </w:rPr>
      </w:pPr>
    </w:p>
    <w:p>
      <w:pPr>
        <w:pStyle w:val="BodyText"/>
        <w:ind w:left="146" w:right="146" w:firstLine="0"/>
        <w:jc w:val="center"/>
      </w:pPr>
      <w:r>
        <w:rPr/>
        <w:t>Neni 89</w:t>
      </w:r>
    </w:p>
    <w:p>
      <w:pPr>
        <w:pStyle w:val="Heading1"/>
        <w:spacing w:before="6"/>
      </w:pPr>
      <w:r>
        <w:rPr/>
        <w:t>Gjendja e jashtëzakonshme</w:t>
      </w:r>
    </w:p>
    <w:p>
      <w:pPr>
        <w:pStyle w:val="BodyText"/>
        <w:spacing w:before="5"/>
        <w:ind w:left="0" w:firstLine="0"/>
        <w:rPr>
          <w:b/>
          <w:sz w:val="21"/>
        </w:rPr>
      </w:pPr>
    </w:p>
    <w:p>
      <w:pPr>
        <w:pStyle w:val="ListParagraph"/>
        <w:numPr>
          <w:ilvl w:val="1"/>
          <w:numId w:val="169"/>
        </w:numPr>
        <w:tabs>
          <w:tab w:pos="1069" w:val="left" w:leader="none"/>
        </w:tabs>
        <w:spacing w:line="240" w:lineRule="auto" w:before="0" w:after="0"/>
        <w:ind w:left="120" w:right="114" w:firstLine="719"/>
        <w:jc w:val="both"/>
        <w:rPr>
          <w:sz w:val="22"/>
        </w:rPr>
      </w:pPr>
      <w:r>
        <w:rPr>
          <w:sz w:val="22"/>
        </w:rPr>
        <w:t>Gjatë kohëzgjatjes së gjendjes së jashtëzakonshme, AMA, me kërkesë të organeve kompetente të menaxhimit të kësaj gjendjeje, mund të nxjerrë urdhër për pezullimin e lejes së transmetimit ose të lejes së funksionimit të rrjetit. Vendimi i AMA-s, duhet të jetë proporcional, objektiv dhe jodiskriminues për OSHMA-të.</w:t>
      </w:r>
    </w:p>
    <w:p>
      <w:pPr>
        <w:pStyle w:val="ListParagraph"/>
        <w:numPr>
          <w:ilvl w:val="1"/>
          <w:numId w:val="169"/>
        </w:numPr>
        <w:tabs>
          <w:tab w:pos="1072" w:val="left" w:leader="none"/>
        </w:tabs>
        <w:spacing w:line="240" w:lineRule="auto" w:before="1" w:after="0"/>
        <w:ind w:left="120" w:right="114" w:firstLine="720"/>
        <w:jc w:val="both"/>
        <w:rPr>
          <w:sz w:val="22"/>
        </w:rPr>
      </w:pPr>
      <w:r>
        <w:rPr>
          <w:sz w:val="22"/>
        </w:rPr>
        <w:t>AMA mund t’i kërkojë të licencuarit të transmetimit, të bashkëpunojë me autoritetet përkatëse publike për përhapjen e informacioneve përkatëse gjatë kohëzgjatjes së gjendjes së</w:t>
      </w:r>
      <w:r>
        <w:rPr>
          <w:spacing w:val="-19"/>
          <w:sz w:val="22"/>
        </w:rPr>
        <w:t> </w:t>
      </w:r>
      <w:r>
        <w:rPr>
          <w:sz w:val="22"/>
        </w:rPr>
        <w:t>jashtëzakonshme.</w:t>
      </w:r>
    </w:p>
    <w:p>
      <w:pPr>
        <w:pStyle w:val="ListParagraph"/>
        <w:numPr>
          <w:ilvl w:val="1"/>
          <w:numId w:val="169"/>
        </w:numPr>
        <w:tabs>
          <w:tab w:pos="1139" w:val="left" w:leader="none"/>
        </w:tabs>
        <w:spacing w:line="240" w:lineRule="auto" w:before="0" w:after="0"/>
        <w:ind w:left="120" w:right="111" w:firstLine="720"/>
        <w:jc w:val="both"/>
        <w:rPr>
          <w:sz w:val="22"/>
        </w:rPr>
      </w:pPr>
      <w:r>
        <w:rPr>
          <w:sz w:val="22"/>
        </w:rPr>
        <w:t>Kur AMA ushtron kompetencën e përcaktuar në pikën 1 të këtij neni, i licencuari i transmetimit ose i rrjetit të transmetimit ka të drejtë të kërkojë mbulimin e shpenzimeve të nevojshme për zbatimin e kushteve të përcaktuara në urdhrin e AMA-s dhe kompensimin për dëmet e shkaktuara pronës së tij, si rrjedhojë e zbatimit të këtij</w:t>
      </w:r>
      <w:r>
        <w:rPr>
          <w:spacing w:val="-5"/>
          <w:sz w:val="22"/>
        </w:rPr>
        <w:t> </w:t>
      </w:r>
      <w:r>
        <w:rPr>
          <w:sz w:val="22"/>
        </w:rPr>
        <w:t>urdhri.</w:t>
      </w:r>
    </w:p>
    <w:p>
      <w:pPr>
        <w:pStyle w:val="ListParagraph"/>
        <w:numPr>
          <w:ilvl w:val="1"/>
          <w:numId w:val="169"/>
        </w:numPr>
        <w:tabs>
          <w:tab w:pos="1096" w:val="left" w:leader="none"/>
        </w:tabs>
        <w:spacing w:line="240" w:lineRule="auto" w:before="0" w:after="0"/>
        <w:ind w:left="121" w:right="114" w:firstLine="719"/>
        <w:jc w:val="both"/>
        <w:rPr>
          <w:sz w:val="22"/>
        </w:rPr>
      </w:pPr>
      <w:r>
        <w:rPr>
          <w:sz w:val="22"/>
        </w:rPr>
        <w:t>Me kërkesë të organeve kompetente të menaxhimit të gjendjes së jashtëzakonshme, AMA udhëzon të licencuarin e transmetimit, për të vënë në dispozicion kohë transmetimi për njoftimet e institucioneve shtetërore, lidhur me gjendjen e</w:t>
      </w:r>
      <w:r>
        <w:rPr>
          <w:spacing w:val="-9"/>
          <w:sz w:val="22"/>
        </w:rPr>
        <w:t> </w:t>
      </w:r>
      <w:r>
        <w:rPr>
          <w:sz w:val="22"/>
        </w:rPr>
        <w:t>jashtëzakonshme.</w:t>
      </w:r>
    </w:p>
    <w:p>
      <w:pPr>
        <w:pStyle w:val="BodyText"/>
        <w:spacing w:before="10"/>
        <w:ind w:left="0" w:firstLine="0"/>
        <w:rPr>
          <w:sz w:val="21"/>
        </w:rPr>
      </w:pPr>
    </w:p>
    <w:p>
      <w:pPr>
        <w:pStyle w:val="BodyText"/>
        <w:spacing w:before="1"/>
        <w:ind w:left="2396" w:right="2374" w:firstLine="1924"/>
      </w:pPr>
      <w:r>
        <w:rPr/>
        <w:t>KREU XII RADIOTELEVIZIONI PUBLIK SHQIPTAR (RTSH)</w:t>
      </w:r>
    </w:p>
    <w:p>
      <w:pPr>
        <w:pStyle w:val="BodyText"/>
        <w:spacing w:before="10"/>
        <w:ind w:left="0" w:firstLine="0"/>
        <w:rPr>
          <w:sz w:val="21"/>
        </w:rPr>
      </w:pPr>
    </w:p>
    <w:p>
      <w:pPr>
        <w:pStyle w:val="BodyText"/>
        <w:ind w:left="146" w:right="144" w:firstLine="0"/>
        <w:jc w:val="center"/>
      </w:pPr>
      <w:r>
        <w:rPr/>
        <w:t>Neni 90</w:t>
      </w:r>
    </w:p>
    <w:p>
      <w:pPr>
        <w:pStyle w:val="Heading1"/>
        <w:spacing w:before="7"/>
        <w:ind w:right="144"/>
      </w:pPr>
      <w:r>
        <w:rPr/>
        <w:t>Emërtimi, vendndodhja</w:t>
      </w:r>
    </w:p>
    <w:p>
      <w:pPr>
        <w:pStyle w:val="BodyText"/>
        <w:spacing w:before="7"/>
        <w:ind w:left="0" w:firstLine="0"/>
        <w:rPr>
          <w:b/>
          <w:sz w:val="21"/>
        </w:rPr>
      </w:pPr>
    </w:p>
    <w:p>
      <w:pPr>
        <w:pStyle w:val="ListParagraph"/>
        <w:numPr>
          <w:ilvl w:val="0"/>
          <w:numId w:val="171"/>
        </w:numPr>
        <w:tabs>
          <w:tab w:pos="1077" w:val="left" w:leader="none"/>
        </w:tabs>
        <w:spacing w:line="240" w:lineRule="auto" w:before="0" w:after="0"/>
        <w:ind w:left="121" w:right="114" w:firstLine="720"/>
        <w:jc w:val="both"/>
        <w:rPr>
          <w:sz w:val="22"/>
        </w:rPr>
      </w:pPr>
      <w:r>
        <w:rPr>
          <w:sz w:val="22"/>
        </w:rPr>
        <w:t>Radio e Televizioni Shqiptar (RTSH) është person juridik publik, jo me qëllim fitimi, me seli në Tiranë, që kryen shërbimet e transmetimit publik në fushën e shërbimeve audio dhe audiovizive në Republikën e Shqipërisë. RTSH-ja ka stemën dhe vulën e saj të përcaktuar nga statuti i</w:t>
      </w:r>
      <w:r>
        <w:rPr>
          <w:spacing w:val="-8"/>
          <w:sz w:val="22"/>
        </w:rPr>
        <w:t> </w:t>
      </w:r>
      <w:r>
        <w:rPr>
          <w:sz w:val="22"/>
        </w:rPr>
        <w:t>saj.</w:t>
      </w:r>
    </w:p>
    <w:p>
      <w:pPr>
        <w:pStyle w:val="ListParagraph"/>
        <w:numPr>
          <w:ilvl w:val="0"/>
          <w:numId w:val="171"/>
        </w:numPr>
        <w:tabs>
          <w:tab w:pos="1101" w:val="left" w:leader="none"/>
        </w:tabs>
        <w:spacing w:line="240" w:lineRule="auto" w:before="0" w:after="0"/>
        <w:ind w:left="121" w:right="112" w:firstLine="720"/>
        <w:jc w:val="both"/>
        <w:rPr>
          <w:sz w:val="22"/>
        </w:rPr>
      </w:pPr>
      <w:r>
        <w:rPr>
          <w:sz w:val="22"/>
        </w:rPr>
        <w:t>Veprimtaria e RTSH-së rregullohet sipas përcaktimeve të këtij ligji, deklaratës së qëllimit, kontratës së shërbimit të transmetimit publik të miratuar sipas nenit 117 dhe statutit të</w:t>
      </w:r>
      <w:r>
        <w:rPr>
          <w:spacing w:val="-10"/>
          <w:sz w:val="22"/>
        </w:rPr>
        <w:t> </w:t>
      </w:r>
      <w:r>
        <w:rPr>
          <w:sz w:val="22"/>
        </w:rPr>
        <w:t>saj.</w:t>
      </w:r>
    </w:p>
    <w:p>
      <w:pPr>
        <w:pStyle w:val="ListParagraph"/>
        <w:numPr>
          <w:ilvl w:val="0"/>
          <w:numId w:val="171"/>
        </w:numPr>
        <w:tabs>
          <w:tab w:pos="1074" w:val="left" w:leader="none"/>
        </w:tabs>
        <w:spacing w:line="240" w:lineRule="auto" w:before="0" w:after="0"/>
        <w:ind w:left="120" w:right="114" w:firstLine="720"/>
        <w:jc w:val="both"/>
        <w:rPr>
          <w:sz w:val="22"/>
        </w:rPr>
      </w:pPr>
      <w:r>
        <w:rPr>
          <w:sz w:val="22"/>
        </w:rPr>
        <w:t>Në përbërjen e saj RTSH-ja ka edhe persona të tjerë juridikë, sipas përcaktimeve të Statutit të saj. Këta persona kanë zotësi juridike të kufizuar për të</w:t>
      </w:r>
      <w:r>
        <w:rPr>
          <w:spacing w:val="-14"/>
          <w:sz w:val="22"/>
        </w:rPr>
        <w:t> </w:t>
      </w:r>
      <w:r>
        <w:rPr>
          <w:sz w:val="22"/>
        </w:rPr>
        <w:t>vepruar.</w:t>
      </w:r>
    </w:p>
    <w:p>
      <w:pPr>
        <w:pStyle w:val="BodyText"/>
        <w:spacing w:before="10"/>
        <w:ind w:left="0" w:firstLine="0"/>
        <w:rPr>
          <w:sz w:val="21"/>
        </w:rPr>
      </w:pPr>
    </w:p>
    <w:p>
      <w:pPr>
        <w:pStyle w:val="BodyText"/>
        <w:ind w:left="146" w:right="145" w:firstLine="0"/>
        <w:jc w:val="center"/>
      </w:pPr>
      <w:r>
        <w:rPr/>
        <w:t>Neni 91</w:t>
      </w:r>
    </w:p>
    <w:p>
      <w:pPr>
        <w:spacing w:after="0"/>
        <w:jc w:val="center"/>
        <w:sectPr>
          <w:type w:val="continuous"/>
          <w:pgSz w:w="12240" w:h="15840"/>
          <w:pgMar w:top="1360" w:bottom="280" w:left="1320" w:right="1320"/>
        </w:sectPr>
      </w:pPr>
    </w:p>
    <w:p>
      <w:pPr>
        <w:pStyle w:val="Heading1"/>
        <w:spacing w:before="78"/>
        <w:ind w:right="147"/>
      </w:pPr>
      <w:r>
        <w:rPr/>
        <w:t>Deklarata e Qëllimit</w:t>
      </w:r>
    </w:p>
    <w:p>
      <w:pPr>
        <w:pStyle w:val="BodyText"/>
        <w:spacing w:before="7"/>
        <w:ind w:left="0" w:firstLine="0"/>
        <w:rPr>
          <w:b/>
          <w:sz w:val="21"/>
        </w:rPr>
      </w:pPr>
    </w:p>
    <w:p>
      <w:pPr>
        <w:pStyle w:val="ListParagraph"/>
        <w:numPr>
          <w:ilvl w:val="0"/>
          <w:numId w:val="172"/>
        </w:numPr>
        <w:tabs>
          <w:tab w:pos="1097" w:val="left" w:leader="none"/>
        </w:tabs>
        <w:spacing w:line="240" w:lineRule="auto" w:before="1" w:after="0"/>
        <w:ind w:left="119" w:right="113" w:firstLine="720"/>
        <w:jc w:val="both"/>
        <w:rPr>
          <w:sz w:val="22"/>
        </w:rPr>
      </w:pPr>
      <w:r>
        <w:rPr>
          <w:sz w:val="22"/>
        </w:rPr>
        <w:t>Si një OSHMA i përkushtuar ndaj idealeve më të larta të transmetimit të shërbimit publik kombëtar, RTSH-ja realizon shërbime cilësore radioje dhe televizioni për të informuar, edukuar dhe argëtuar publikun, duke i shërbyer kombit, të gjitha grupeve të shoqërisë, përfshirë dhe pakicat kombëtare.</w:t>
      </w:r>
    </w:p>
    <w:p>
      <w:pPr>
        <w:pStyle w:val="ListParagraph"/>
        <w:numPr>
          <w:ilvl w:val="0"/>
          <w:numId w:val="172"/>
        </w:numPr>
        <w:tabs>
          <w:tab w:pos="1062" w:val="left" w:leader="none"/>
        </w:tabs>
        <w:spacing w:line="251" w:lineRule="exact" w:before="0" w:after="0"/>
        <w:ind w:left="1061" w:right="0" w:hanging="222"/>
        <w:jc w:val="both"/>
        <w:rPr>
          <w:sz w:val="22"/>
        </w:rPr>
      </w:pPr>
      <w:r>
        <w:rPr>
          <w:sz w:val="22"/>
        </w:rPr>
        <w:t>RTSH-ja zotohet për një mbulim të paanshëm të lajmeve të vendit dhe të atyre</w:t>
      </w:r>
      <w:r>
        <w:rPr>
          <w:spacing w:val="-20"/>
          <w:sz w:val="22"/>
        </w:rPr>
        <w:t> </w:t>
      </w:r>
      <w:r>
        <w:rPr>
          <w:sz w:val="22"/>
        </w:rPr>
        <w:t>ndërkombëtare.</w:t>
      </w:r>
    </w:p>
    <w:p>
      <w:pPr>
        <w:pStyle w:val="ListParagraph"/>
        <w:numPr>
          <w:ilvl w:val="0"/>
          <w:numId w:val="172"/>
        </w:numPr>
        <w:tabs>
          <w:tab w:pos="1080" w:val="left" w:leader="none"/>
        </w:tabs>
        <w:spacing w:line="240" w:lineRule="auto" w:before="1" w:after="0"/>
        <w:ind w:left="119" w:right="115" w:firstLine="720"/>
        <w:jc w:val="both"/>
        <w:rPr>
          <w:sz w:val="22"/>
        </w:rPr>
      </w:pPr>
      <w:r>
        <w:rPr>
          <w:sz w:val="22"/>
        </w:rPr>
        <w:t>RTSH-ja realizon programe, të cilat duhet të pasqyrojnë te dëgjuesit dhe shikuesit e të gjitha moshave larminë e jetës shqiptare. RTSH-ja përgatit programe cilësore e me vlera për pasurimin e botës mendore dhe shpirtërore të</w:t>
      </w:r>
      <w:r>
        <w:rPr>
          <w:spacing w:val="-5"/>
          <w:sz w:val="22"/>
        </w:rPr>
        <w:t> </w:t>
      </w:r>
      <w:r>
        <w:rPr>
          <w:sz w:val="22"/>
        </w:rPr>
        <w:t>njerëzve.</w:t>
      </w:r>
    </w:p>
    <w:p>
      <w:pPr>
        <w:pStyle w:val="BodyText"/>
        <w:spacing w:before="9"/>
        <w:ind w:left="0" w:firstLine="0"/>
        <w:rPr>
          <w:sz w:val="21"/>
        </w:rPr>
      </w:pPr>
    </w:p>
    <w:p>
      <w:pPr>
        <w:pStyle w:val="BodyText"/>
        <w:spacing w:before="1"/>
        <w:ind w:left="146" w:right="146" w:firstLine="0"/>
        <w:jc w:val="center"/>
      </w:pPr>
      <w:r>
        <w:rPr/>
        <w:t>Neni 92</w:t>
      </w:r>
    </w:p>
    <w:p>
      <w:pPr>
        <w:pStyle w:val="Heading1"/>
        <w:spacing w:before="6"/>
        <w:ind w:right="145"/>
      </w:pPr>
      <w:r>
        <w:rPr/>
        <w:t>Organet drejtuese</w:t>
      </w:r>
    </w:p>
    <w:p>
      <w:pPr>
        <w:pStyle w:val="BodyText"/>
        <w:spacing w:before="7"/>
        <w:ind w:left="0" w:firstLine="0"/>
        <w:rPr>
          <w:b/>
          <w:sz w:val="21"/>
        </w:rPr>
      </w:pPr>
    </w:p>
    <w:p>
      <w:pPr>
        <w:pStyle w:val="BodyText"/>
        <w:spacing w:line="252" w:lineRule="exact"/>
        <w:ind w:left="839" w:firstLine="0"/>
      </w:pPr>
      <w:r>
        <w:rPr/>
        <w:t>Organet drejtuese të RTSH-së janë:</w:t>
      </w:r>
    </w:p>
    <w:p>
      <w:pPr>
        <w:pStyle w:val="ListParagraph"/>
        <w:numPr>
          <w:ilvl w:val="0"/>
          <w:numId w:val="173"/>
        </w:numPr>
        <w:tabs>
          <w:tab w:pos="1066" w:val="left" w:leader="none"/>
        </w:tabs>
        <w:spacing w:line="252" w:lineRule="exact" w:before="0" w:after="0"/>
        <w:ind w:left="1065" w:right="0" w:hanging="227"/>
        <w:jc w:val="left"/>
        <w:rPr>
          <w:sz w:val="22"/>
        </w:rPr>
      </w:pPr>
      <w:r>
        <w:rPr>
          <w:sz w:val="22"/>
        </w:rPr>
        <w:t>Këshilli Drejtues</w:t>
      </w:r>
      <w:r>
        <w:rPr>
          <w:spacing w:val="-5"/>
          <w:sz w:val="22"/>
        </w:rPr>
        <w:t> </w:t>
      </w:r>
      <w:r>
        <w:rPr>
          <w:sz w:val="22"/>
        </w:rPr>
        <w:t>(KDRTSH).</w:t>
      </w:r>
    </w:p>
    <w:p>
      <w:pPr>
        <w:pStyle w:val="ListParagraph"/>
        <w:numPr>
          <w:ilvl w:val="0"/>
          <w:numId w:val="173"/>
        </w:numPr>
        <w:tabs>
          <w:tab w:pos="1081" w:val="left" w:leader="none"/>
        </w:tabs>
        <w:spacing w:line="252" w:lineRule="exact" w:before="1" w:after="0"/>
        <w:ind w:left="1080" w:right="0" w:hanging="241"/>
        <w:jc w:val="left"/>
        <w:rPr>
          <w:sz w:val="22"/>
        </w:rPr>
      </w:pPr>
      <w:r>
        <w:rPr>
          <w:sz w:val="22"/>
        </w:rPr>
        <w:t>Drejtori i</w:t>
      </w:r>
      <w:r>
        <w:rPr>
          <w:spacing w:val="1"/>
          <w:sz w:val="22"/>
        </w:rPr>
        <w:t> </w:t>
      </w:r>
      <w:r>
        <w:rPr>
          <w:sz w:val="22"/>
        </w:rPr>
        <w:t>Përgjithshëm.</w:t>
      </w:r>
    </w:p>
    <w:p>
      <w:pPr>
        <w:pStyle w:val="ListParagraph"/>
        <w:numPr>
          <w:ilvl w:val="0"/>
          <w:numId w:val="173"/>
        </w:numPr>
        <w:tabs>
          <w:tab w:pos="1069" w:val="left" w:leader="none"/>
        </w:tabs>
        <w:spacing w:line="252" w:lineRule="exact" w:before="0" w:after="0"/>
        <w:ind w:left="1068" w:right="0" w:hanging="229"/>
        <w:jc w:val="left"/>
        <w:rPr>
          <w:sz w:val="22"/>
        </w:rPr>
      </w:pPr>
      <w:r>
        <w:rPr>
          <w:sz w:val="22"/>
        </w:rPr>
        <w:t>Bordi i</w:t>
      </w:r>
      <w:r>
        <w:rPr>
          <w:spacing w:val="-2"/>
          <w:sz w:val="22"/>
        </w:rPr>
        <w:t> </w:t>
      </w:r>
      <w:r>
        <w:rPr>
          <w:sz w:val="22"/>
        </w:rPr>
        <w:t>Administrimit.</w:t>
      </w:r>
    </w:p>
    <w:p>
      <w:pPr>
        <w:pStyle w:val="BodyText"/>
        <w:spacing w:before="1"/>
        <w:ind w:left="0" w:firstLine="0"/>
      </w:pPr>
    </w:p>
    <w:p>
      <w:pPr>
        <w:pStyle w:val="BodyText"/>
        <w:ind w:left="146" w:right="146" w:firstLine="0"/>
        <w:jc w:val="center"/>
      </w:pPr>
      <w:r>
        <w:rPr/>
        <w:t>Neni 93</w:t>
      </w:r>
    </w:p>
    <w:p>
      <w:pPr>
        <w:pStyle w:val="Heading1"/>
      </w:pPr>
      <w:r>
        <w:rPr/>
        <w:t>Përbërja e KDRTSH-së</w:t>
      </w:r>
    </w:p>
    <w:p>
      <w:pPr>
        <w:pStyle w:val="BodyText"/>
        <w:spacing w:before="7"/>
        <w:ind w:left="0" w:firstLine="0"/>
        <w:rPr>
          <w:b/>
          <w:sz w:val="21"/>
        </w:rPr>
      </w:pPr>
    </w:p>
    <w:p>
      <w:pPr>
        <w:pStyle w:val="ListParagraph"/>
        <w:numPr>
          <w:ilvl w:val="0"/>
          <w:numId w:val="174"/>
        </w:numPr>
        <w:tabs>
          <w:tab w:pos="1062" w:val="left" w:leader="none"/>
        </w:tabs>
        <w:spacing w:line="252" w:lineRule="exact" w:before="0" w:after="0"/>
        <w:ind w:left="1061" w:right="0" w:hanging="222"/>
        <w:jc w:val="left"/>
        <w:rPr>
          <w:sz w:val="22"/>
        </w:rPr>
      </w:pPr>
      <w:r>
        <w:rPr>
          <w:sz w:val="22"/>
        </w:rPr>
        <w:t>KDRTSH-ja përbëhet nga Kryetari dhe 10</w:t>
      </w:r>
      <w:r>
        <w:rPr>
          <w:spacing w:val="-2"/>
          <w:sz w:val="22"/>
        </w:rPr>
        <w:t> </w:t>
      </w:r>
      <w:r>
        <w:rPr>
          <w:sz w:val="22"/>
        </w:rPr>
        <w:t>anëtarë.</w:t>
      </w:r>
    </w:p>
    <w:p>
      <w:pPr>
        <w:pStyle w:val="ListParagraph"/>
        <w:numPr>
          <w:ilvl w:val="0"/>
          <w:numId w:val="174"/>
        </w:numPr>
        <w:tabs>
          <w:tab w:pos="1069" w:val="left" w:leader="none"/>
        </w:tabs>
        <w:spacing w:line="240" w:lineRule="auto" w:before="0" w:after="0"/>
        <w:ind w:left="119" w:right="114" w:firstLine="720"/>
        <w:jc w:val="left"/>
        <w:rPr>
          <w:sz w:val="22"/>
        </w:rPr>
      </w:pPr>
      <w:r>
        <w:rPr>
          <w:sz w:val="22"/>
        </w:rPr>
        <w:t>Kandidat për t’u zgjedhur anëtar i KDRTSH-së mund të jetë çdo person, i cili ka përvojë pune jo më pak se 10 vjet në fushat</w:t>
      </w:r>
      <w:r>
        <w:rPr>
          <w:spacing w:val="-2"/>
          <w:sz w:val="22"/>
        </w:rPr>
        <w:t> </w:t>
      </w:r>
      <w:r>
        <w:rPr>
          <w:sz w:val="22"/>
        </w:rPr>
        <w:t>e:</w:t>
      </w:r>
    </w:p>
    <w:p>
      <w:pPr>
        <w:pStyle w:val="ListParagraph"/>
        <w:numPr>
          <w:ilvl w:val="0"/>
          <w:numId w:val="175"/>
        </w:numPr>
        <w:tabs>
          <w:tab w:pos="1069" w:val="left" w:leader="none"/>
        </w:tabs>
        <w:spacing w:line="240" w:lineRule="auto" w:before="0" w:after="0"/>
        <w:ind w:left="1068" w:right="0" w:hanging="230"/>
        <w:jc w:val="left"/>
        <w:rPr>
          <w:sz w:val="22"/>
        </w:rPr>
      </w:pPr>
      <w:r>
        <w:rPr>
          <w:sz w:val="22"/>
        </w:rPr>
        <w:t>medias në</w:t>
      </w:r>
      <w:r>
        <w:rPr>
          <w:spacing w:val="-1"/>
          <w:sz w:val="22"/>
        </w:rPr>
        <w:t> </w:t>
      </w:r>
      <w:r>
        <w:rPr>
          <w:sz w:val="22"/>
        </w:rPr>
        <w:t>përgjithësi;</w:t>
      </w:r>
    </w:p>
    <w:p>
      <w:pPr>
        <w:pStyle w:val="ListParagraph"/>
        <w:numPr>
          <w:ilvl w:val="0"/>
          <w:numId w:val="175"/>
        </w:numPr>
        <w:tabs>
          <w:tab w:pos="1080" w:val="left" w:leader="none"/>
        </w:tabs>
        <w:spacing w:line="252" w:lineRule="exact" w:before="1" w:after="0"/>
        <w:ind w:left="1080" w:right="0" w:hanging="241"/>
        <w:jc w:val="left"/>
        <w:rPr>
          <w:sz w:val="22"/>
        </w:rPr>
      </w:pPr>
      <w:r>
        <w:rPr>
          <w:sz w:val="22"/>
        </w:rPr>
        <w:t>transmetimeve audiovizive të shërbimit publik, tregtar ose</w:t>
      </w:r>
      <w:r>
        <w:rPr>
          <w:spacing w:val="-3"/>
          <w:sz w:val="22"/>
        </w:rPr>
        <w:t> </w:t>
      </w:r>
      <w:r>
        <w:rPr>
          <w:sz w:val="22"/>
        </w:rPr>
        <w:t>jotregtar;</w:t>
      </w:r>
    </w:p>
    <w:p>
      <w:pPr>
        <w:pStyle w:val="ListParagraph"/>
        <w:numPr>
          <w:ilvl w:val="0"/>
          <w:numId w:val="175"/>
        </w:numPr>
        <w:tabs>
          <w:tab w:pos="1069" w:val="left" w:leader="none"/>
        </w:tabs>
        <w:spacing w:line="240" w:lineRule="auto" w:before="0" w:after="0"/>
        <w:ind w:left="839" w:right="3638" w:firstLine="0"/>
        <w:jc w:val="left"/>
        <w:rPr>
          <w:sz w:val="22"/>
        </w:rPr>
      </w:pPr>
      <w:r>
        <w:rPr>
          <w:sz w:val="22"/>
        </w:rPr>
        <w:t>prodhimit të përmbajtjes së transmetimeve</w:t>
      </w:r>
      <w:r>
        <w:rPr>
          <w:spacing w:val="-18"/>
          <w:sz w:val="22"/>
        </w:rPr>
        <w:t> </w:t>
      </w:r>
      <w:r>
        <w:rPr>
          <w:sz w:val="22"/>
        </w:rPr>
        <w:t>audiovizive; ç) teknologjive të medias;</w:t>
      </w:r>
    </w:p>
    <w:p>
      <w:pPr>
        <w:pStyle w:val="ListParagraph"/>
        <w:numPr>
          <w:ilvl w:val="0"/>
          <w:numId w:val="175"/>
        </w:numPr>
        <w:tabs>
          <w:tab w:pos="1080" w:val="left" w:leader="none"/>
        </w:tabs>
        <w:spacing w:line="240" w:lineRule="auto" w:before="0" w:after="0"/>
        <w:ind w:left="839" w:right="3435" w:firstLine="0"/>
        <w:jc w:val="left"/>
        <w:rPr>
          <w:sz w:val="22"/>
        </w:rPr>
      </w:pPr>
      <w:r>
        <w:rPr>
          <w:sz w:val="22"/>
        </w:rPr>
        <w:t>ekonomisë, administrimit dhe rregullave te konkurrencës; dh) çështjeve të zhvillimit të gjuhës</w:t>
      </w:r>
      <w:r>
        <w:rPr>
          <w:spacing w:val="-1"/>
          <w:sz w:val="22"/>
        </w:rPr>
        <w:t> </w:t>
      </w:r>
      <w:r>
        <w:rPr>
          <w:sz w:val="22"/>
        </w:rPr>
        <w:t>shqipe;</w:t>
      </w:r>
    </w:p>
    <w:p>
      <w:pPr>
        <w:pStyle w:val="ListParagraph"/>
        <w:numPr>
          <w:ilvl w:val="0"/>
          <w:numId w:val="175"/>
        </w:numPr>
        <w:tabs>
          <w:tab w:pos="1069" w:val="left" w:leader="none"/>
        </w:tabs>
        <w:spacing w:line="240" w:lineRule="auto" w:before="0" w:after="0"/>
        <w:ind w:left="839" w:right="1242" w:firstLine="0"/>
        <w:jc w:val="left"/>
        <w:rPr>
          <w:sz w:val="22"/>
        </w:rPr>
      </w:pPr>
      <w:r>
        <w:rPr>
          <w:sz w:val="22"/>
        </w:rPr>
        <w:t>çështjeve që lidhen me personat me aftësi të kufizuar e grupeve të tjera vulnerabël; ë) artit, kulturës e</w:t>
      </w:r>
      <w:r>
        <w:rPr>
          <w:spacing w:val="-2"/>
          <w:sz w:val="22"/>
        </w:rPr>
        <w:t> </w:t>
      </w:r>
      <w:r>
        <w:rPr>
          <w:sz w:val="22"/>
        </w:rPr>
        <w:t>muzikës;</w:t>
      </w:r>
    </w:p>
    <w:p>
      <w:pPr>
        <w:pStyle w:val="ListParagraph"/>
        <w:numPr>
          <w:ilvl w:val="0"/>
          <w:numId w:val="175"/>
        </w:numPr>
        <w:tabs>
          <w:tab w:pos="1045" w:val="left" w:leader="none"/>
        </w:tabs>
        <w:spacing w:line="251" w:lineRule="exact" w:before="0" w:after="0"/>
        <w:ind w:left="1044" w:right="0" w:hanging="205"/>
        <w:jc w:val="left"/>
        <w:rPr>
          <w:sz w:val="22"/>
        </w:rPr>
      </w:pPr>
      <w:r>
        <w:rPr>
          <w:sz w:val="22"/>
        </w:rPr>
        <w:t>drejtësisë, ligjit, administrimit</w:t>
      </w:r>
      <w:r>
        <w:rPr>
          <w:spacing w:val="-3"/>
          <w:sz w:val="22"/>
        </w:rPr>
        <w:t> </w:t>
      </w:r>
      <w:r>
        <w:rPr>
          <w:sz w:val="22"/>
        </w:rPr>
        <w:t>publik;</w:t>
      </w:r>
    </w:p>
    <w:p>
      <w:pPr>
        <w:pStyle w:val="ListParagraph"/>
        <w:numPr>
          <w:ilvl w:val="0"/>
          <w:numId w:val="175"/>
        </w:numPr>
        <w:tabs>
          <w:tab w:pos="1078" w:val="left" w:leader="none"/>
        </w:tabs>
        <w:spacing w:line="240" w:lineRule="auto" w:before="2" w:after="0"/>
        <w:ind w:left="840" w:right="4505" w:firstLine="0"/>
        <w:jc w:val="left"/>
        <w:rPr>
          <w:sz w:val="22"/>
        </w:rPr>
      </w:pPr>
      <w:r>
        <w:rPr>
          <w:sz w:val="22"/>
        </w:rPr>
        <w:t>shkencës, mjedisit dhe zhvillimit teknologjik; gj) mbrojtjes së konsumatorit;</w:t>
      </w:r>
    </w:p>
    <w:p>
      <w:pPr>
        <w:pStyle w:val="ListParagraph"/>
        <w:numPr>
          <w:ilvl w:val="0"/>
          <w:numId w:val="175"/>
        </w:numPr>
        <w:tabs>
          <w:tab w:pos="1093" w:val="left" w:leader="none"/>
        </w:tabs>
        <w:spacing w:line="240" w:lineRule="auto" w:before="0" w:after="0"/>
        <w:ind w:left="120" w:right="114" w:firstLine="720"/>
        <w:jc w:val="both"/>
        <w:rPr>
          <w:sz w:val="22"/>
        </w:rPr>
      </w:pPr>
      <w:r>
        <w:rPr>
          <w:sz w:val="22"/>
        </w:rPr>
        <w:t>veprimtarive shoqërore, edukuese dhe zhvillimit të bashkësive lokale, publike e kombëtare, të cilat kanë lidhje ose ndikojnë në mënyrë të drejtpërdrejtë mbi qëllimet e veprimtarisë audiovizive, siç përcaktohet në këtë</w:t>
      </w:r>
      <w:r>
        <w:rPr>
          <w:spacing w:val="-4"/>
          <w:sz w:val="22"/>
        </w:rPr>
        <w:t> </w:t>
      </w:r>
      <w:r>
        <w:rPr>
          <w:sz w:val="22"/>
        </w:rPr>
        <w:t>ligj.</w:t>
      </w:r>
    </w:p>
    <w:p>
      <w:pPr>
        <w:pStyle w:val="BodyText"/>
        <w:spacing w:before="9"/>
        <w:ind w:left="0" w:firstLine="0"/>
        <w:rPr>
          <w:sz w:val="21"/>
        </w:rPr>
      </w:pPr>
    </w:p>
    <w:p>
      <w:pPr>
        <w:pStyle w:val="BodyText"/>
        <w:spacing w:before="1"/>
        <w:ind w:left="146" w:right="146" w:firstLine="0"/>
        <w:jc w:val="center"/>
      </w:pPr>
      <w:r>
        <w:rPr/>
        <w:t>Neni 94</w:t>
      </w:r>
    </w:p>
    <w:p>
      <w:pPr>
        <w:pStyle w:val="Heading1"/>
        <w:spacing w:before="6"/>
        <w:ind w:right="143"/>
      </w:pPr>
      <w:r>
        <w:rPr/>
        <w:t>Zgjedhja e anëtarëve të KDRTSH-së</w:t>
      </w:r>
    </w:p>
    <w:p>
      <w:pPr>
        <w:pStyle w:val="BodyText"/>
        <w:spacing w:before="7"/>
        <w:ind w:left="0" w:firstLine="0"/>
        <w:rPr>
          <w:b/>
          <w:sz w:val="21"/>
        </w:rPr>
      </w:pPr>
    </w:p>
    <w:p>
      <w:pPr>
        <w:pStyle w:val="ListParagraph"/>
        <w:numPr>
          <w:ilvl w:val="0"/>
          <w:numId w:val="176"/>
        </w:numPr>
        <w:tabs>
          <w:tab w:pos="1124" w:val="left" w:leader="none"/>
        </w:tabs>
        <w:spacing w:line="240" w:lineRule="auto" w:before="0" w:after="0"/>
        <w:ind w:left="120" w:right="114" w:firstLine="720"/>
        <w:jc w:val="both"/>
        <w:rPr>
          <w:sz w:val="22"/>
        </w:rPr>
      </w:pPr>
      <w:r>
        <w:rPr>
          <w:sz w:val="22"/>
        </w:rPr>
        <w:t>Anëtarët e KDRTSH-së zgjidhen nga Kuvendi për një periudhë 5-vjeçare, me të drejtë rizgjedhjeje vetëm një</w:t>
      </w:r>
      <w:r>
        <w:rPr>
          <w:spacing w:val="-7"/>
          <w:sz w:val="22"/>
        </w:rPr>
        <w:t> </w:t>
      </w:r>
      <w:r>
        <w:rPr>
          <w:sz w:val="22"/>
        </w:rPr>
        <w:t>herë.</w:t>
      </w:r>
    </w:p>
    <w:p>
      <w:pPr>
        <w:pStyle w:val="ListParagraph"/>
        <w:numPr>
          <w:ilvl w:val="0"/>
          <w:numId w:val="176"/>
        </w:numPr>
        <w:tabs>
          <w:tab w:pos="1088" w:val="left" w:leader="none"/>
        </w:tabs>
        <w:spacing w:line="240" w:lineRule="auto" w:before="0" w:after="0"/>
        <w:ind w:left="120" w:right="113" w:firstLine="720"/>
        <w:jc w:val="both"/>
        <w:rPr>
          <w:sz w:val="22"/>
        </w:rPr>
      </w:pPr>
      <w:r>
        <w:rPr>
          <w:sz w:val="22"/>
        </w:rPr>
        <w:t>Komisioni për Edukimin dhe Mjetet e Informimit Publik, brenda 30 ditëve nga krijimi i një vendi vakant, fton me anë të mjeteve të informimit publik për paraqitjen e kandidaturave, subjektet e mëposhtme:</w:t>
      </w:r>
    </w:p>
    <w:p>
      <w:pPr>
        <w:pStyle w:val="ListParagraph"/>
        <w:numPr>
          <w:ilvl w:val="0"/>
          <w:numId w:val="177"/>
        </w:numPr>
        <w:tabs>
          <w:tab w:pos="1069" w:val="left" w:leader="none"/>
        </w:tabs>
        <w:spacing w:line="252" w:lineRule="exact" w:before="0" w:after="0"/>
        <w:ind w:left="1068" w:right="0" w:hanging="229"/>
        <w:jc w:val="left"/>
        <w:rPr>
          <w:sz w:val="22"/>
        </w:rPr>
      </w:pPr>
      <w:r>
        <w:rPr>
          <w:sz w:val="22"/>
        </w:rPr>
        <w:t>shoqatat dhe grupimet e mediave</w:t>
      </w:r>
      <w:r>
        <w:rPr>
          <w:spacing w:val="-4"/>
          <w:sz w:val="22"/>
        </w:rPr>
        <w:t> </w:t>
      </w:r>
      <w:r>
        <w:rPr>
          <w:sz w:val="22"/>
        </w:rPr>
        <w:t>elektronike;</w:t>
      </w:r>
    </w:p>
    <w:p>
      <w:pPr>
        <w:pStyle w:val="ListParagraph"/>
        <w:numPr>
          <w:ilvl w:val="0"/>
          <w:numId w:val="177"/>
        </w:numPr>
        <w:tabs>
          <w:tab w:pos="1081" w:val="left" w:leader="none"/>
        </w:tabs>
        <w:spacing w:line="252" w:lineRule="exact" w:before="0" w:after="0"/>
        <w:ind w:left="1080" w:right="0" w:hanging="241"/>
        <w:jc w:val="left"/>
        <w:rPr>
          <w:sz w:val="22"/>
        </w:rPr>
      </w:pPr>
      <w:r>
        <w:rPr>
          <w:sz w:val="22"/>
        </w:rPr>
        <w:t>shoqatat e medias së</w:t>
      </w:r>
      <w:r>
        <w:rPr>
          <w:spacing w:val="-3"/>
          <w:sz w:val="22"/>
        </w:rPr>
        <w:t> </w:t>
      </w:r>
      <w:r>
        <w:rPr>
          <w:sz w:val="22"/>
        </w:rPr>
        <w:t>shkruar;</w:t>
      </w:r>
    </w:p>
    <w:p>
      <w:pPr>
        <w:pStyle w:val="ListParagraph"/>
        <w:numPr>
          <w:ilvl w:val="0"/>
          <w:numId w:val="177"/>
        </w:numPr>
        <w:tabs>
          <w:tab w:pos="1069" w:val="left" w:leader="none"/>
        </w:tabs>
        <w:spacing w:line="252" w:lineRule="exact" w:before="0" w:after="0"/>
        <w:ind w:left="1068" w:right="0" w:hanging="229"/>
        <w:jc w:val="left"/>
        <w:rPr>
          <w:sz w:val="22"/>
        </w:rPr>
      </w:pPr>
      <w:r>
        <w:rPr>
          <w:sz w:val="22"/>
        </w:rPr>
        <w:t>profesoratin dhe shoqatat e inxhinierisë elektrike dhe</w:t>
      </w:r>
      <w:r>
        <w:rPr>
          <w:spacing w:val="-6"/>
          <w:sz w:val="22"/>
        </w:rPr>
        <w:t> </w:t>
      </w:r>
      <w:r>
        <w:rPr>
          <w:sz w:val="22"/>
        </w:rPr>
        <w:t>elektronike;</w:t>
      </w:r>
    </w:p>
    <w:p>
      <w:pPr>
        <w:spacing w:after="0" w:line="252" w:lineRule="exact"/>
        <w:jc w:val="left"/>
        <w:rPr>
          <w:sz w:val="22"/>
        </w:rPr>
        <w:sectPr>
          <w:pgSz w:w="12240" w:h="15840"/>
          <w:pgMar w:top="1360" w:bottom="280" w:left="1320" w:right="1320"/>
        </w:sectPr>
      </w:pPr>
    </w:p>
    <w:p>
      <w:pPr>
        <w:pStyle w:val="BodyText"/>
        <w:spacing w:before="74"/>
        <w:ind w:left="119" w:right="116"/>
        <w:jc w:val="both"/>
      </w:pPr>
      <w:r>
        <w:rPr/>
        <w:t>ç) profesoratin e së drejtës, gazetari-komunikimit dhe ekonomisë, shoqatat e juristëve dhe Dhomën Kombëtare të Avokatisë;</w:t>
      </w:r>
    </w:p>
    <w:p>
      <w:pPr>
        <w:pStyle w:val="ListParagraph"/>
        <w:numPr>
          <w:ilvl w:val="0"/>
          <w:numId w:val="177"/>
        </w:numPr>
        <w:tabs>
          <w:tab w:pos="1085" w:val="left" w:leader="none"/>
        </w:tabs>
        <w:spacing w:line="240" w:lineRule="auto" w:before="0" w:after="0"/>
        <w:ind w:left="119" w:right="113" w:firstLine="720"/>
        <w:jc w:val="both"/>
        <w:rPr>
          <w:sz w:val="22"/>
        </w:rPr>
      </w:pPr>
      <w:r>
        <w:rPr>
          <w:sz w:val="22"/>
        </w:rPr>
        <w:t>organizatat jofitimprurëse që veprojnë në fushën e të drejtave të njeriut, të drejtave të fëmijëve ose kërkimeve në politikat publike, ose përfaqësues të shoqatave që veprojnë në fushën e mbrojtjes së personave me aftësi të</w:t>
      </w:r>
      <w:r>
        <w:rPr>
          <w:spacing w:val="-3"/>
          <w:sz w:val="22"/>
        </w:rPr>
        <w:t> </w:t>
      </w:r>
      <w:r>
        <w:rPr>
          <w:sz w:val="22"/>
        </w:rPr>
        <w:t>kufizuar.</w:t>
      </w:r>
    </w:p>
    <w:p>
      <w:pPr>
        <w:pStyle w:val="BodyText"/>
        <w:spacing w:line="252" w:lineRule="exact"/>
        <w:ind w:left="840" w:firstLine="0"/>
        <w:jc w:val="both"/>
      </w:pPr>
      <w:r>
        <w:rPr/>
        <w:t>Subjektet e mësipërme propozojnë kandidaturat brenda 30 ditëve nga marrja e ftesës.</w:t>
      </w:r>
    </w:p>
    <w:p>
      <w:pPr>
        <w:pStyle w:val="ListParagraph"/>
        <w:numPr>
          <w:ilvl w:val="0"/>
          <w:numId w:val="176"/>
        </w:numPr>
        <w:tabs>
          <w:tab w:pos="1071" w:val="left" w:leader="none"/>
        </w:tabs>
        <w:spacing w:line="240" w:lineRule="auto" w:before="0" w:after="0"/>
        <w:ind w:left="119" w:right="118" w:firstLine="720"/>
        <w:jc w:val="both"/>
        <w:rPr>
          <w:sz w:val="22"/>
        </w:rPr>
      </w:pPr>
      <w:r>
        <w:rPr>
          <w:sz w:val="22"/>
        </w:rPr>
        <w:t>Komisioni për Edukimin dhe Mjetet e Informimit Publik bën përzgjedhjen sipas përcaktimeve të neneve 93 dhe 97 të këtij ligji, mes të paktën 4 kandidaturave për çdo vend anëtari të</w:t>
      </w:r>
      <w:r>
        <w:rPr>
          <w:spacing w:val="-23"/>
          <w:sz w:val="22"/>
        </w:rPr>
        <w:t> </w:t>
      </w:r>
      <w:r>
        <w:rPr>
          <w:sz w:val="22"/>
        </w:rPr>
        <w:t>KDRTSH-së.</w:t>
      </w:r>
    </w:p>
    <w:p>
      <w:pPr>
        <w:pStyle w:val="ListParagraph"/>
        <w:numPr>
          <w:ilvl w:val="0"/>
          <w:numId w:val="176"/>
        </w:numPr>
        <w:tabs>
          <w:tab w:pos="1078" w:val="left" w:leader="none"/>
        </w:tabs>
        <w:spacing w:line="240" w:lineRule="auto" w:before="0" w:after="0"/>
        <w:ind w:left="119" w:right="116" w:firstLine="720"/>
        <w:jc w:val="both"/>
        <w:rPr>
          <w:sz w:val="22"/>
        </w:rPr>
      </w:pPr>
      <w:r>
        <w:rPr>
          <w:sz w:val="22"/>
        </w:rPr>
        <w:t>Për përzgjedhjen e kandidaturave alternative për çdo vend anëtari të KDRTSH-së, Komisioni për Edukimin dhe Mjetet e Informimit Publik zbaton procedurën e</w:t>
      </w:r>
      <w:r>
        <w:rPr>
          <w:spacing w:val="-6"/>
          <w:sz w:val="22"/>
        </w:rPr>
        <w:t> </w:t>
      </w:r>
      <w:r>
        <w:rPr>
          <w:sz w:val="22"/>
        </w:rPr>
        <w:t>mëposhtme:</w:t>
      </w:r>
    </w:p>
    <w:p>
      <w:pPr>
        <w:pStyle w:val="ListParagraph"/>
        <w:numPr>
          <w:ilvl w:val="0"/>
          <w:numId w:val="178"/>
        </w:numPr>
        <w:tabs>
          <w:tab w:pos="1069" w:val="left" w:leader="none"/>
        </w:tabs>
        <w:spacing w:line="252" w:lineRule="exact" w:before="0" w:after="0"/>
        <w:ind w:left="1068" w:right="0" w:hanging="229"/>
        <w:jc w:val="both"/>
        <w:rPr>
          <w:sz w:val="22"/>
        </w:rPr>
      </w:pPr>
      <w:r>
        <w:rPr>
          <w:sz w:val="22"/>
        </w:rPr>
        <w:t>shqyrton të gjitha kandidaturat e paraqitura nga subjektet</w:t>
      </w:r>
      <w:r>
        <w:rPr>
          <w:spacing w:val="-7"/>
          <w:sz w:val="22"/>
        </w:rPr>
        <w:t> </w:t>
      </w:r>
      <w:r>
        <w:rPr>
          <w:sz w:val="22"/>
        </w:rPr>
        <w:t>propozuese;</w:t>
      </w:r>
    </w:p>
    <w:p>
      <w:pPr>
        <w:pStyle w:val="ListParagraph"/>
        <w:numPr>
          <w:ilvl w:val="0"/>
          <w:numId w:val="178"/>
        </w:numPr>
        <w:tabs>
          <w:tab w:pos="1085" w:val="left" w:leader="none"/>
        </w:tabs>
        <w:spacing w:line="240" w:lineRule="auto" w:before="0" w:after="0"/>
        <w:ind w:left="120" w:right="114" w:firstLine="720"/>
        <w:jc w:val="both"/>
        <w:rPr>
          <w:sz w:val="22"/>
        </w:rPr>
      </w:pPr>
      <w:r>
        <w:rPr>
          <w:sz w:val="22"/>
        </w:rPr>
        <w:t>kandidaturat e administruara, në bazë të propozimeve të mësipërme, i nënshtrohen përjashtimit një nga një. Procedura e përjashtimit zbatohet sipas radhës: një nga përfaqësuesit e shumicës parlamentare dhe një nga përfaqësuesit e</w:t>
      </w:r>
      <w:r>
        <w:rPr>
          <w:spacing w:val="-2"/>
          <w:sz w:val="22"/>
        </w:rPr>
        <w:t> </w:t>
      </w:r>
      <w:r>
        <w:rPr>
          <w:sz w:val="22"/>
        </w:rPr>
        <w:t>opozitës.</w:t>
      </w:r>
    </w:p>
    <w:p>
      <w:pPr>
        <w:pStyle w:val="BodyText"/>
        <w:spacing w:before="1"/>
        <w:ind w:right="115"/>
        <w:jc w:val="both"/>
      </w:pPr>
      <w:r>
        <w:rPr/>
        <w:t>Në çdo rast komisioni mban parasysh ruajtjen e balancës, pesë kandidatë të mbështetur nga maxhoranca, pesë të mbështetur nga opozita. Kandidatët për anëtarë të KDRTSH-së i propozohen për miratim seancës plenare.</w:t>
      </w:r>
    </w:p>
    <w:p>
      <w:pPr>
        <w:pStyle w:val="BodyText"/>
        <w:ind w:left="119" w:right="117"/>
        <w:jc w:val="both"/>
      </w:pPr>
      <w:r>
        <w:rPr/>
        <w:t>Përjashtimi i çdo kandidature duhet të argumentohet duke garantuar respektimin e parimit të moscenimit të integritetit personal dhe profesional të kandidatëve.</w:t>
      </w:r>
    </w:p>
    <w:p>
      <w:pPr>
        <w:pStyle w:val="ListParagraph"/>
        <w:numPr>
          <w:ilvl w:val="0"/>
          <w:numId w:val="176"/>
        </w:numPr>
        <w:tabs>
          <w:tab w:pos="1100" w:val="left" w:leader="none"/>
        </w:tabs>
        <w:spacing w:line="240" w:lineRule="auto" w:before="0" w:after="0"/>
        <w:ind w:left="119" w:right="115" w:firstLine="720"/>
        <w:jc w:val="both"/>
        <w:rPr>
          <w:sz w:val="22"/>
        </w:rPr>
      </w:pPr>
      <w:r>
        <w:rPr>
          <w:sz w:val="22"/>
        </w:rPr>
        <w:t>Pas përfundimit te mandatit, anëtari i KDRTSH-së, qëndron në detyrë deri në zgjedhjen e anëtarit të</w:t>
      </w:r>
      <w:r>
        <w:rPr>
          <w:spacing w:val="-4"/>
          <w:sz w:val="22"/>
        </w:rPr>
        <w:t> </w:t>
      </w:r>
      <w:r>
        <w:rPr>
          <w:sz w:val="22"/>
        </w:rPr>
        <w:t>ri.</w:t>
      </w:r>
    </w:p>
    <w:p>
      <w:pPr>
        <w:pStyle w:val="BodyText"/>
        <w:spacing w:before="10"/>
        <w:ind w:left="0" w:firstLine="0"/>
        <w:rPr>
          <w:sz w:val="21"/>
        </w:rPr>
      </w:pPr>
    </w:p>
    <w:p>
      <w:pPr>
        <w:pStyle w:val="BodyText"/>
        <w:spacing w:before="1"/>
        <w:ind w:left="146" w:right="146" w:firstLine="0"/>
        <w:jc w:val="center"/>
      </w:pPr>
      <w:r>
        <w:rPr/>
        <w:t>Neni 95</w:t>
      </w:r>
    </w:p>
    <w:p>
      <w:pPr>
        <w:pStyle w:val="Heading1"/>
        <w:spacing w:before="3"/>
        <w:ind w:right="144"/>
      </w:pPr>
      <w:r>
        <w:rPr/>
        <w:t>Zgjedhja e Kryetarit të KDRTSH-së</w:t>
      </w:r>
    </w:p>
    <w:p>
      <w:pPr>
        <w:pStyle w:val="BodyText"/>
        <w:spacing w:before="7"/>
        <w:ind w:left="0" w:firstLine="0"/>
        <w:rPr>
          <w:b/>
          <w:sz w:val="21"/>
        </w:rPr>
      </w:pPr>
    </w:p>
    <w:p>
      <w:pPr>
        <w:pStyle w:val="ListParagraph"/>
        <w:numPr>
          <w:ilvl w:val="0"/>
          <w:numId w:val="179"/>
        </w:numPr>
        <w:tabs>
          <w:tab w:pos="1066" w:val="left" w:leader="none"/>
        </w:tabs>
        <w:spacing w:line="240" w:lineRule="auto" w:before="0" w:after="0"/>
        <w:ind w:left="119" w:right="115" w:firstLine="720"/>
        <w:jc w:val="both"/>
        <w:rPr>
          <w:sz w:val="22"/>
        </w:rPr>
      </w:pPr>
      <w:r>
        <w:rPr>
          <w:sz w:val="22"/>
        </w:rPr>
        <w:t>Anëtari i njëmbëdhjetë dhe njëkohësisht Kryetari i KDRTSH-së zgjidhet jo më vonë se 10 ditë pasi të ketë përfunduar procedura e zgjedhjes së anëtarëve të KDRTSH-së, sipas nenit 94 të këtij</w:t>
      </w:r>
      <w:r>
        <w:rPr>
          <w:spacing w:val="-20"/>
          <w:sz w:val="22"/>
        </w:rPr>
        <w:t> </w:t>
      </w:r>
      <w:r>
        <w:rPr>
          <w:sz w:val="22"/>
        </w:rPr>
        <w:t>ligji.</w:t>
      </w:r>
    </w:p>
    <w:p>
      <w:pPr>
        <w:pStyle w:val="ListParagraph"/>
        <w:numPr>
          <w:ilvl w:val="0"/>
          <w:numId w:val="179"/>
        </w:numPr>
        <w:tabs>
          <w:tab w:pos="1066" w:val="left" w:leader="none"/>
        </w:tabs>
        <w:spacing w:line="240" w:lineRule="auto" w:before="1" w:after="0"/>
        <w:ind w:left="119" w:right="115" w:firstLine="720"/>
        <w:jc w:val="both"/>
        <w:rPr>
          <w:sz w:val="22"/>
        </w:rPr>
      </w:pPr>
      <w:r>
        <w:rPr>
          <w:sz w:val="22"/>
        </w:rPr>
        <w:t>Jo më vonë se 30 ditë para datës se mbarimit të mandatit të Kryetarit të KDRTSH-së, Kuvendi i Shqipërisë publikon shpalljen për vendin vakant të Kryetarit të KDRTSH-së. Çdo shtetas që plotëson kushtet e neneve 93 dhe 97 të këtij ligji mund të paraqitet si kandidat për Kryetar i KDRTSH-së. Kërkesa paraqitet e shoqëruar me dokumentacionin përkatës, që provon përmbushjen e kritereve ligjore për anëtar të</w:t>
      </w:r>
      <w:r>
        <w:rPr>
          <w:spacing w:val="-2"/>
          <w:sz w:val="22"/>
        </w:rPr>
        <w:t> </w:t>
      </w:r>
      <w:r>
        <w:rPr>
          <w:sz w:val="22"/>
        </w:rPr>
        <w:t>KDRTSH-së.</w:t>
      </w:r>
    </w:p>
    <w:p>
      <w:pPr>
        <w:pStyle w:val="ListParagraph"/>
        <w:numPr>
          <w:ilvl w:val="0"/>
          <w:numId w:val="179"/>
        </w:numPr>
        <w:tabs>
          <w:tab w:pos="1088" w:val="left" w:leader="none"/>
        </w:tabs>
        <w:spacing w:line="240" w:lineRule="auto" w:before="0" w:after="0"/>
        <w:ind w:left="119" w:right="113" w:firstLine="720"/>
        <w:jc w:val="both"/>
        <w:rPr>
          <w:sz w:val="22"/>
        </w:rPr>
      </w:pPr>
      <w:r>
        <w:rPr>
          <w:sz w:val="22"/>
        </w:rPr>
        <w:t>Lista e kandidatëve i kalon Komisionit për Edukimin dhe Mjetet e Informimit Publik për të verifikuar përmbushjen e kritereve të përcaktuara në këtë ligj. Në këtë listë nuk mund të përfshihen ose, nëse janë përfshirë, përjashtohen kandidatët e propozuar për anëtarë të KDRTSH-së, sipas pikës 4 të nenit 94 të këtij ligji. Komisioni, pas verifikimit të kandidaturave, zbaton procedurën si më</w:t>
      </w:r>
      <w:r>
        <w:rPr>
          <w:spacing w:val="-13"/>
          <w:sz w:val="22"/>
        </w:rPr>
        <w:t> </w:t>
      </w:r>
      <w:r>
        <w:rPr>
          <w:sz w:val="22"/>
        </w:rPr>
        <w:t>poshtë:</w:t>
      </w:r>
    </w:p>
    <w:p>
      <w:pPr>
        <w:pStyle w:val="ListParagraph"/>
        <w:numPr>
          <w:ilvl w:val="0"/>
          <w:numId w:val="180"/>
        </w:numPr>
        <w:tabs>
          <w:tab w:pos="1123" w:val="left" w:leader="none"/>
        </w:tabs>
        <w:spacing w:line="240" w:lineRule="auto" w:before="0" w:after="0"/>
        <w:ind w:left="119" w:right="114" w:firstLine="720"/>
        <w:jc w:val="both"/>
        <w:rPr>
          <w:sz w:val="22"/>
        </w:rPr>
      </w:pPr>
      <w:r>
        <w:rPr>
          <w:sz w:val="22"/>
        </w:rPr>
        <w:t>identifikon katër kandidatët që kanë marrë mbështetjen më të madhe midis anëtarëve të komisionit. Çdo anëtar i komisionit mund të mbështesë deri në katër</w:t>
      </w:r>
      <w:r>
        <w:rPr>
          <w:spacing w:val="-8"/>
          <w:sz w:val="22"/>
        </w:rPr>
        <w:t> </w:t>
      </w:r>
      <w:r>
        <w:rPr>
          <w:sz w:val="22"/>
        </w:rPr>
        <w:t>kandidatë;</w:t>
      </w:r>
    </w:p>
    <w:p>
      <w:pPr>
        <w:pStyle w:val="ListParagraph"/>
        <w:numPr>
          <w:ilvl w:val="0"/>
          <w:numId w:val="180"/>
        </w:numPr>
        <w:tabs>
          <w:tab w:pos="1102" w:val="left" w:leader="none"/>
        </w:tabs>
        <w:spacing w:line="251" w:lineRule="exact" w:before="0" w:after="0"/>
        <w:ind w:left="1101" w:right="0" w:hanging="263"/>
        <w:jc w:val="both"/>
        <w:rPr>
          <w:sz w:val="22"/>
        </w:rPr>
      </w:pPr>
      <w:r>
        <w:rPr>
          <w:sz w:val="22"/>
        </w:rPr>
        <w:t>nëse</w:t>
      </w:r>
      <w:r>
        <w:rPr>
          <w:spacing w:val="21"/>
          <w:sz w:val="22"/>
        </w:rPr>
        <w:t> </w:t>
      </w:r>
      <w:r>
        <w:rPr>
          <w:sz w:val="22"/>
        </w:rPr>
        <w:t>dy</w:t>
      </w:r>
      <w:r>
        <w:rPr>
          <w:spacing w:val="18"/>
          <w:sz w:val="22"/>
        </w:rPr>
        <w:t> </w:t>
      </w:r>
      <w:r>
        <w:rPr>
          <w:sz w:val="22"/>
        </w:rPr>
        <w:t>apo</w:t>
      </w:r>
      <w:r>
        <w:rPr>
          <w:spacing w:val="24"/>
          <w:sz w:val="22"/>
        </w:rPr>
        <w:t> </w:t>
      </w:r>
      <w:r>
        <w:rPr>
          <w:sz w:val="22"/>
        </w:rPr>
        <w:t>më</w:t>
      </w:r>
      <w:r>
        <w:rPr>
          <w:spacing w:val="21"/>
          <w:sz w:val="22"/>
        </w:rPr>
        <w:t> </w:t>
      </w:r>
      <w:r>
        <w:rPr>
          <w:sz w:val="22"/>
        </w:rPr>
        <w:t>shumë</w:t>
      </w:r>
      <w:r>
        <w:rPr>
          <w:spacing w:val="26"/>
          <w:sz w:val="22"/>
        </w:rPr>
        <w:t> </w:t>
      </w:r>
      <w:r>
        <w:rPr>
          <w:sz w:val="22"/>
        </w:rPr>
        <w:t>kandidatë</w:t>
      </w:r>
      <w:r>
        <w:rPr>
          <w:spacing w:val="21"/>
          <w:sz w:val="22"/>
        </w:rPr>
        <w:t> </w:t>
      </w:r>
      <w:r>
        <w:rPr>
          <w:sz w:val="22"/>
        </w:rPr>
        <w:t>gëzojnë</w:t>
      </w:r>
      <w:r>
        <w:rPr>
          <w:spacing w:val="22"/>
          <w:sz w:val="22"/>
        </w:rPr>
        <w:t> </w:t>
      </w:r>
      <w:r>
        <w:rPr>
          <w:sz w:val="22"/>
        </w:rPr>
        <w:t>të</w:t>
      </w:r>
      <w:r>
        <w:rPr>
          <w:spacing w:val="21"/>
          <w:sz w:val="22"/>
        </w:rPr>
        <w:t> </w:t>
      </w:r>
      <w:r>
        <w:rPr>
          <w:sz w:val="22"/>
        </w:rPr>
        <w:t>njëjtën</w:t>
      </w:r>
      <w:r>
        <w:rPr>
          <w:spacing w:val="24"/>
          <w:sz w:val="22"/>
        </w:rPr>
        <w:t> </w:t>
      </w:r>
      <w:r>
        <w:rPr>
          <w:sz w:val="22"/>
        </w:rPr>
        <w:t>mbështetje,</w:t>
      </w:r>
      <w:r>
        <w:rPr>
          <w:spacing w:val="20"/>
          <w:sz w:val="22"/>
        </w:rPr>
        <w:t> </w:t>
      </w:r>
      <w:r>
        <w:rPr>
          <w:sz w:val="22"/>
        </w:rPr>
        <w:t>përzgjedhja</w:t>
      </w:r>
      <w:r>
        <w:rPr>
          <w:spacing w:val="22"/>
          <w:sz w:val="22"/>
        </w:rPr>
        <w:t> </w:t>
      </w:r>
      <w:r>
        <w:rPr>
          <w:sz w:val="22"/>
        </w:rPr>
        <w:t>e</w:t>
      </w:r>
      <w:r>
        <w:rPr>
          <w:spacing w:val="21"/>
          <w:sz w:val="22"/>
        </w:rPr>
        <w:t> </w:t>
      </w:r>
      <w:r>
        <w:rPr>
          <w:sz w:val="22"/>
        </w:rPr>
        <w:t>tyre</w:t>
      </w:r>
      <w:r>
        <w:rPr>
          <w:spacing w:val="21"/>
          <w:sz w:val="22"/>
        </w:rPr>
        <w:t> </w:t>
      </w:r>
      <w:r>
        <w:rPr>
          <w:sz w:val="22"/>
        </w:rPr>
        <w:t>bëhet</w:t>
      </w:r>
      <w:r>
        <w:rPr>
          <w:spacing w:val="22"/>
          <w:sz w:val="22"/>
        </w:rPr>
        <w:t> </w:t>
      </w:r>
      <w:r>
        <w:rPr>
          <w:sz w:val="22"/>
        </w:rPr>
        <w:t>me</w:t>
      </w:r>
    </w:p>
    <w:p>
      <w:pPr>
        <w:pStyle w:val="BodyText"/>
        <w:spacing w:line="252" w:lineRule="exact" w:before="1"/>
        <w:ind w:left="119" w:firstLine="0"/>
      </w:pPr>
      <w:r>
        <w:rPr/>
        <w:t>short;</w:t>
      </w:r>
    </w:p>
    <w:p>
      <w:pPr>
        <w:pStyle w:val="ListParagraph"/>
        <w:numPr>
          <w:ilvl w:val="0"/>
          <w:numId w:val="180"/>
        </w:numPr>
        <w:tabs>
          <w:tab w:pos="1121" w:val="left" w:leader="none"/>
        </w:tabs>
        <w:spacing w:line="252" w:lineRule="exact" w:before="0" w:after="0"/>
        <w:ind w:left="1120" w:right="0" w:hanging="282"/>
        <w:jc w:val="left"/>
        <w:rPr>
          <w:sz w:val="22"/>
        </w:rPr>
      </w:pPr>
      <w:r>
        <w:rPr>
          <w:sz w:val="22"/>
        </w:rPr>
        <w:t>përfaqësuesit e pakicës parlamentare në komision përjashtojnë dy nga katër kandidatët</w:t>
      </w:r>
      <w:r>
        <w:rPr>
          <w:spacing w:val="23"/>
          <w:sz w:val="22"/>
        </w:rPr>
        <w:t> </w:t>
      </w:r>
      <w:r>
        <w:rPr>
          <w:sz w:val="22"/>
        </w:rPr>
        <w:t>e</w:t>
      </w:r>
    </w:p>
    <w:p>
      <w:pPr>
        <w:pStyle w:val="BodyText"/>
        <w:spacing w:line="252" w:lineRule="exact" w:before="2"/>
        <w:ind w:left="119" w:firstLine="0"/>
      </w:pPr>
      <w:r>
        <w:rPr/>
        <w:t>përzgjedhur. Kandidatët e mbetur i kalojnë Kuvendit për votim;</w:t>
      </w:r>
    </w:p>
    <w:p>
      <w:pPr>
        <w:pStyle w:val="BodyText"/>
        <w:ind w:left="119" w:right="117"/>
      </w:pPr>
      <w:r>
        <w:rPr/>
        <w:t>ç) kryetar i KDRTSH-së zgjidhet kandidati që merr më shumë se gjysmën e votave të deputetëve të Kuvendit.</w:t>
      </w:r>
    </w:p>
    <w:p>
      <w:pPr>
        <w:pStyle w:val="BodyText"/>
        <w:spacing w:before="10"/>
        <w:ind w:left="0" w:firstLine="0"/>
        <w:rPr>
          <w:sz w:val="21"/>
        </w:rPr>
      </w:pPr>
    </w:p>
    <w:p>
      <w:pPr>
        <w:pStyle w:val="BodyText"/>
        <w:ind w:left="146" w:right="146" w:firstLine="0"/>
        <w:jc w:val="center"/>
      </w:pPr>
      <w:r>
        <w:rPr/>
        <w:t>Neni 96</w:t>
      </w:r>
    </w:p>
    <w:p>
      <w:pPr>
        <w:pStyle w:val="Heading1"/>
        <w:spacing w:before="6"/>
      </w:pPr>
      <w:r>
        <w:rPr/>
        <w:t>Zëvendëskryetari i KDRTSH-së</w:t>
      </w:r>
    </w:p>
    <w:p>
      <w:pPr>
        <w:pStyle w:val="BodyText"/>
        <w:spacing w:before="7"/>
        <w:ind w:left="0" w:firstLine="0"/>
        <w:rPr>
          <w:b/>
          <w:sz w:val="21"/>
        </w:rPr>
      </w:pPr>
    </w:p>
    <w:p>
      <w:pPr>
        <w:pStyle w:val="ListParagraph"/>
        <w:numPr>
          <w:ilvl w:val="0"/>
          <w:numId w:val="181"/>
        </w:numPr>
        <w:tabs>
          <w:tab w:pos="1124" w:val="left" w:leader="none"/>
        </w:tabs>
        <w:spacing w:line="240" w:lineRule="auto" w:before="1" w:after="0"/>
        <w:ind w:left="119" w:right="116" w:firstLine="720"/>
        <w:jc w:val="left"/>
        <w:rPr>
          <w:sz w:val="22"/>
        </w:rPr>
      </w:pPr>
      <w:r>
        <w:rPr>
          <w:sz w:val="22"/>
        </w:rPr>
        <w:t>KDRTSH-ja zgjedh si Zëvendëskryetar një nga anëtarët e tij, të zgjedhur mbi bazën e mbështetjes së propozimit të opozitës, sipas pikës 4 të nenit 94 të këtij</w:t>
      </w:r>
      <w:r>
        <w:rPr>
          <w:spacing w:val="-11"/>
          <w:sz w:val="22"/>
        </w:rPr>
        <w:t> </w:t>
      </w:r>
      <w:r>
        <w:rPr>
          <w:sz w:val="22"/>
        </w:rPr>
        <w:t>ligji.</w:t>
      </w:r>
    </w:p>
    <w:p>
      <w:pPr>
        <w:pStyle w:val="ListParagraph"/>
        <w:numPr>
          <w:ilvl w:val="0"/>
          <w:numId w:val="181"/>
        </w:numPr>
        <w:tabs>
          <w:tab w:pos="1061" w:val="left" w:leader="none"/>
        </w:tabs>
        <w:spacing w:line="251" w:lineRule="exact" w:before="0" w:after="0"/>
        <w:ind w:left="1060" w:right="0" w:hanging="222"/>
        <w:jc w:val="left"/>
        <w:rPr>
          <w:sz w:val="22"/>
        </w:rPr>
      </w:pPr>
      <w:r>
        <w:rPr>
          <w:sz w:val="22"/>
        </w:rPr>
        <w:t>Zgjedhja zhvillohet me votim të fshehtë, sipas procedurës së</w:t>
      </w:r>
      <w:r>
        <w:rPr>
          <w:spacing w:val="-12"/>
          <w:sz w:val="22"/>
        </w:rPr>
        <w:t> </w:t>
      </w:r>
      <w:r>
        <w:rPr>
          <w:sz w:val="22"/>
        </w:rPr>
        <w:t>mëposhtme:</w:t>
      </w:r>
    </w:p>
    <w:p>
      <w:pPr>
        <w:spacing w:after="0" w:line="251" w:lineRule="exact"/>
        <w:jc w:val="left"/>
        <w:rPr>
          <w:sz w:val="22"/>
        </w:rPr>
        <w:sectPr>
          <w:pgSz w:w="12240" w:h="15840"/>
          <w:pgMar w:top="1360" w:bottom="280" w:left="1320" w:right="1320"/>
        </w:sectPr>
      </w:pPr>
    </w:p>
    <w:p>
      <w:pPr>
        <w:pStyle w:val="ListParagraph"/>
        <w:numPr>
          <w:ilvl w:val="0"/>
          <w:numId w:val="182"/>
        </w:numPr>
        <w:tabs>
          <w:tab w:pos="1069" w:val="left" w:leader="none"/>
        </w:tabs>
        <w:spacing w:line="252" w:lineRule="exact" w:before="74" w:after="0"/>
        <w:ind w:left="1068" w:right="0" w:hanging="229"/>
        <w:jc w:val="left"/>
        <w:rPr>
          <w:sz w:val="22"/>
        </w:rPr>
      </w:pPr>
      <w:r>
        <w:rPr>
          <w:sz w:val="22"/>
        </w:rPr>
        <w:t>në një fletë votimi shkruhen emrat e pesë anëtarëve të KDRTSH-së, sipas pikës 1 të këtij</w:t>
      </w:r>
      <w:r>
        <w:rPr>
          <w:spacing w:val="-25"/>
          <w:sz w:val="22"/>
        </w:rPr>
        <w:t> </w:t>
      </w:r>
      <w:r>
        <w:rPr>
          <w:sz w:val="22"/>
        </w:rPr>
        <w:t>neni;</w:t>
      </w:r>
    </w:p>
    <w:p>
      <w:pPr>
        <w:pStyle w:val="ListParagraph"/>
        <w:numPr>
          <w:ilvl w:val="0"/>
          <w:numId w:val="182"/>
        </w:numPr>
        <w:tabs>
          <w:tab w:pos="1138" w:val="left" w:leader="none"/>
        </w:tabs>
        <w:spacing w:line="240" w:lineRule="auto" w:before="0" w:after="0"/>
        <w:ind w:left="119" w:right="113" w:firstLine="720"/>
        <w:jc w:val="left"/>
        <w:rPr>
          <w:sz w:val="22"/>
        </w:rPr>
      </w:pPr>
      <w:r>
        <w:rPr>
          <w:sz w:val="22"/>
        </w:rPr>
        <w:t>secili prej anëtarëve voton, duke bërë shënimin përkatës, për një nga emrat që janë në fletëvotim;</w:t>
      </w:r>
    </w:p>
    <w:p>
      <w:pPr>
        <w:pStyle w:val="ListParagraph"/>
        <w:numPr>
          <w:ilvl w:val="0"/>
          <w:numId w:val="182"/>
        </w:numPr>
        <w:tabs>
          <w:tab w:pos="1069" w:val="left" w:leader="none"/>
        </w:tabs>
        <w:spacing w:line="240" w:lineRule="auto" w:before="0" w:after="0"/>
        <w:ind w:left="1068" w:right="0" w:hanging="229"/>
        <w:jc w:val="left"/>
        <w:rPr>
          <w:sz w:val="22"/>
        </w:rPr>
      </w:pPr>
      <w:r>
        <w:rPr>
          <w:sz w:val="22"/>
        </w:rPr>
        <w:t>anëtari që ka marrë 7 vota zgjidhet Zëvendëskryetar i</w:t>
      </w:r>
      <w:r>
        <w:rPr>
          <w:spacing w:val="-6"/>
          <w:sz w:val="22"/>
        </w:rPr>
        <w:t> </w:t>
      </w:r>
      <w:r>
        <w:rPr>
          <w:sz w:val="22"/>
        </w:rPr>
        <w:t>KDRTSH-së;</w:t>
      </w:r>
    </w:p>
    <w:p>
      <w:pPr>
        <w:pStyle w:val="BodyText"/>
        <w:spacing w:before="1"/>
        <w:ind w:left="119" w:right="115"/>
        <w:jc w:val="both"/>
      </w:pPr>
      <w:r>
        <w:rPr/>
        <w:t>ç) në rast se asnjë prej kandidatëve nuk ka marrë numrin e kërkuar të votave, bëhet një raund i dytë votimi. Anëtari që merr më shumë vota në raundin e dytë zgjidhet Zëvendëskryetar i KDRTSH-së. Votimi zhvillohet brenda së njëjtës ditë;</w:t>
      </w:r>
    </w:p>
    <w:p>
      <w:pPr>
        <w:pStyle w:val="ListParagraph"/>
        <w:numPr>
          <w:ilvl w:val="0"/>
          <w:numId w:val="182"/>
        </w:numPr>
        <w:tabs>
          <w:tab w:pos="1097" w:val="left" w:leader="none"/>
        </w:tabs>
        <w:spacing w:line="240" w:lineRule="auto" w:before="0" w:after="0"/>
        <w:ind w:left="119" w:right="116" w:firstLine="720"/>
        <w:jc w:val="both"/>
        <w:rPr>
          <w:sz w:val="22"/>
        </w:rPr>
      </w:pPr>
      <w:r>
        <w:rPr>
          <w:sz w:val="22"/>
        </w:rPr>
        <w:t>mbledhja për zgjedhjen e Zëvendëskryetarit, kur mungon Kryetari, drejtohet nga anëtari më i vjetër në moshë i KDRTSH-së dhe procedura e zgjedhjes zhvillohet në prani të një</w:t>
      </w:r>
      <w:r>
        <w:rPr>
          <w:spacing w:val="-15"/>
          <w:sz w:val="22"/>
        </w:rPr>
        <w:t> </w:t>
      </w:r>
      <w:r>
        <w:rPr>
          <w:sz w:val="22"/>
        </w:rPr>
        <w:t>noteri.</w:t>
      </w:r>
    </w:p>
    <w:p>
      <w:pPr>
        <w:pStyle w:val="BodyText"/>
        <w:spacing w:before="10"/>
        <w:ind w:left="0" w:firstLine="0"/>
        <w:rPr>
          <w:sz w:val="21"/>
        </w:rPr>
      </w:pPr>
    </w:p>
    <w:p>
      <w:pPr>
        <w:pStyle w:val="BodyText"/>
        <w:ind w:left="146" w:right="146" w:firstLine="0"/>
        <w:jc w:val="center"/>
      </w:pPr>
      <w:r>
        <w:rPr/>
        <w:t>Neni 97</w:t>
      </w:r>
    </w:p>
    <w:p>
      <w:pPr>
        <w:pStyle w:val="Heading1"/>
        <w:ind w:right="145"/>
      </w:pPr>
      <w:r>
        <w:rPr/>
        <w:t>Papajtueshmëritë dhe konflikti i interesave të anëtarëve të KDRTSH-së</w:t>
      </w:r>
    </w:p>
    <w:p>
      <w:pPr>
        <w:pStyle w:val="BodyText"/>
        <w:spacing w:before="6"/>
        <w:ind w:left="0" w:firstLine="0"/>
        <w:rPr>
          <w:b/>
          <w:sz w:val="21"/>
        </w:rPr>
      </w:pPr>
    </w:p>
    <w:p>
      <w:pPr>
        <w:pStyle w:val="ListParagraph"/>
        <w:numPr>
          <w:ilvl w:val="0"/>
          <w:numId w:val="183"/>
        </w:numPr>
        <w:tabs>
          <w:tab w:pos="1061" w:val="left" w:leader="none"/>
        </w:tabs>
        <w:spacing w:line="240" w:lineRule="auto" w:before="1" w:after="0"/>
        <w:ind w:left="1060" w:right="0" w:hanging="222"/>
        <w:jc w:val="both"/>
        <w:rPr>
          <w:sz w:val="22"/>
        </w:rPr>
      </w:pPr>
      <w:r>
        <w:rPr>
          <w:sz w:val="22"/>
        </w:rPr>
        <w:t>Anëtarë të KDRTSH-së nuk mund të jenë individët</w:t>
      </w:r>
      <w:r>
        <w:rPr>
          <w:spacing w:val="-11"/>
          <w:sz w:val="22"/>
        </w:rPr>
        <w:t> </w:t>
      </w:r>
      <w:r>
        <w:rPr>
          <w:sz w:val="22"/>
        </w:rPr>
        <w:t>që:</w:t>
      </w:r>
    </w:p>
    <w:p>
      <w:pPr>
        <w:pStyle w:val="ListParagraph"/>
        <w:numPr>
          <w:ilvl w:val="0"/>
          <w:numId w:val="184"/>
        </w:numPr>
        <w:tabs>
          <w:tab w:pos="1071" w:val="left" w:leader="none"/>
        </w:tabs>
        <w:spacing w:line="240" w:lineRule="auto" w:before="1" w:after="0"/>
        <w:ind w:left="119" w:right="112" w:firstLine="720"/>
        <w:jc w:val="both"/>
        <w:rPr>
          <w:sz w:val="22"/>
        </w:rPr>
      </w:pPr>
      <w:r>
        <w:rPr>
          <w:sz w:val="22"/>
        </w:rPr>
        <w:t>janë anëtarë të partive dhe shoqatave politike, kandidojnë për deputet apo janë zgjedhur të tillë gjatë 2 legjislaturave të fundit, kanë konkurruar për kryetar të njësisë së qeverisjes vendore në zgjedhjet e fundit të organizuara për to apo kanë ushtruar detyrën e kryetarit të bashkisë, anëtarit të Këshillit të Ministrave apo të prefektit gjatë 3 vjetëve të fundit, si dhe ata që janë anëtarë të Këshillit të Ankesave, AKEP-it apo punonjës të këtij të</w:t>
      </w:r>
      <w:r>
        <w:rPr>
          <w:spacing w:val="-4"/>
          <w:sz w:val="22"/>
        </w:rPr>
        <w:t> </w:t>
      </w:r>
      <w:r>
        <w:rPr>
          <w:sz w:val="22"/>
        </w:rPr>
        <w:t>fundit;</w:t>
      </w:r>
    </w:p>
    <w:p>
      <w:pPr>
        <w:pStyle w:val="ListParagraph"/>
        <w:numPr>
          <w:ilvl w:val="0"/>
          <w:numId w:val="184"/>
        </w:numPr>
        <w:tabs>
          <w:tab w:pos="1085" w:val="left" w:leader="none"/>
        </w:tabs>
        <w:spacing w:line="240" w:lineRule="auto" w:before="0" w:after="0"/>
        <w:ind w:left="119" w:right="112" w:firstLine="720"/>
        <w:jc w:val="both"/>
        <w:rPr>
          <w:sz w:val="22"/>
        </w:rPr>
      </w:pPr>
      <w:r>
        <w:rPr>
          <w:sz w:val="22"/>
        </w:rPr>
        <w:t>janë persona të lidhur, sipas përcaktimeve të ligjit nr. 9367, datë 7.4.2005 “Për parandalimin e konfliktit të interesave në ushtrimin e funksioneve publike” ose që kanë në pronësi pjesë kapitali apo aksione të shoqërive tregtare, si dhe të drejta të tjera në fushën e transmetimeve audiovizive, reklamës, prodhimeve të përmbajtjes së transmetimeve audiovizive, rrjeteve të komunikimit elektronik apo persona të punësuar gjatë vitit të fundit, anëtarë të organeve drejtuese apo këshilluese të këtyre subjekteve apo të lidhur me ndonjë licencë me këto subjekte.</w:t>
      </w:r>
    </w:p>
    <w:p>
      <w:pPr>
        <w:pStyle w:val="ListParagraph"/>
        <w:numPr>
          <w:ilvl w:val="0"/>
          <w:numId w:val="183"/>
        </w:numPr>
        <w:tabs>
          <w:tab w:pos="1061" w:val="left" w:leader="none"/>
        </w:tabs>
        <w:spacing w:line="252" w:lineRule="exact" w:before="0" w:after="0"/>
        <w:ind w:left="1060" w:right="0" w:hanging="222"/>
        <w:jc w:val="both"/>
        <w:rPr>
          <w:sz w:val="22"/>
        </w:rPr>
      </w:pPr>
      <w:r>
        <w:rPr>
          <w:sz w:val="22"/>
        </w:rPr>
        <w:t>Anëtarët e KDRTSH-së duhet të</w:t>
      </w:r>
      <w:r>
        <w:rPr>
          <w:spacing w:val="-4"/>
          <w:sz w:val="22"/>
        </w:rPr>
        <w:t> </w:t>
      </w:r>
      <w:r>
        <w:rPr>
          <w:sz w:val="22"/>
        </w:rPr>
        <w:t>deklarojnë:</w:t>
      </w:r>
    </w:p>
    <w:p>
      <w:pPr>
        <w:pStyle w:val="ListParagraph"/>
        <w:numPr>
          <w:ilvl w:val="0"/>
          <w:numId w:val="185"/>
        </w:numPr>
        <w:tabs>
          <w:tab w:pos="1114" w:val="left" w:leader="none"/>
        </w:tabs>
        <w:spacing w:line="240" w:lineRule="auto" w:before="1" w:after="0"/>
        <w:ind w:left="119" w:right="116" w:firstLine="720"/>
        <w:jc w:val="both"/>
        <w:rPr>
          <w:sz w:val="22"/>
        </w:rPr>
      </w:pPr>
      <w:r>
        <w:rPr>
          <w:sz w:val="22"/>
        </w:rPr>
        <w:t>çdo interes apo lidhje me ndonjë subjekt, me të cilin RTSH-ja ka realizuar ose synon të realizojë;</w:t>
      </w:r>
    </w:p>
    <w:p>
      <w:pPr>
        <w:pStyle w:val="ListParagraph"/>
        <w:numPr>
          <w:ilvl w:val="0"/>
          <w:numId w:val="185"/>
        </w:numPr>
        <w:tabs>
          <w:tab w:pos="1080" w:val="left" w:leader="none"/>
        </w:tabs>
        <w:spacing w:line="251" w:lineRule="exact" w:before="0" w:after="0"/>
        <w:ind w:left="1079" w:right="0" w:hanging="241"/>
        <w:jc w:val="both"/>
        <w:rPr>
          <w:sz w:val="22"/>
        </w:rPr>
      </w:pPr>
      <w:r>
        <w:rPr>
          <w:sz w:val="22"/>
        </w:rPr>
        <w:t>çdo interes të mundshëm në ndonjë kontratë, që RTSH-ja ka realizuar ose synon të</w:t>
      </w:r>
      <w:r>
        <w:rPr>
          <w:spacing w:val="-19"/>
          <w:sz w:val="22"/>
        </w:rPr>
        <w:t> </w:t>
      </w:r>
      <w:r>
        <w:rPr>
          <w:sz w:val="22"/>
        </w:rPr>
        <w:t>realizojë.</w:t>
      </w:r>
    </w:p>
    <w:p>
      <w:pPr>
        <w:pStyle w:val="ListParagraph"/>
        <w:numPr>
          <w:ilvl w:val="0"/>
          <w:numId w:val="183"/>
        </w:numPr>
        <w:tabs>
          <w:tab w:pos="1126" w:val="left" w:leader="none"/>
        </w:tabs>
        <w:spacing w:line="240" w:lineRule="auto" w:before="1" w:after="0"/>
        <w:ind w:left="119" w:right="116" w:firstLine="720"/>
        <w:jc w:val="both"/>
        <w:rPr>
          <w:sz w:val="22"/>
        </w:rPr>
      </w:pPr>
      <w:r>
        <w:rPr>
          <w:sz w:val="22"/>
        </w:rPr>
        <w:t>Anëtarët e KDRTSH-së nuk mund të marrin pjesë në diskutimin apo vendimmarrjen e çështjeve të lidhura me këta interesa apo</w:t>
      </w:r>
      <w:r>
        <w:rPr>
          <w:spacing w:val="-5"/>
          <w:sz w:val="22"/>
        </w:rPr>
        <w:t> </w:t>
      </w:r>
      <w:r>
        <w:rPr>
          <w:sz w:val="22"/>
        </w:rPr>
        <w:t>lidhje.</w:t>
      </w:r>
    </w:p>
    <w:p>
      <w:pPr>
        <w:pStyle w:val="ListParagraph"/>
        <w:numPr>
          <w:ilvl w:val="0"/>
          <w:numId w:val="183"/>
        </w:numPr>
        <w:tabs>
          <w:tab w:pos="1075" w:val="left" w:leader="none"/>
        </w:tabs>
        <w:spacing w:line="240" w:lineRule="auto" w:before="1" w:after="0"/>
        <w:ind w:left="119" w:right="115" w:firstLine="720"/>
        <w:jc w:val="both"/>
        <w:rPr>
          <w:sz w:val="22"/>
        </w:rPr>
      </w:pPr>
      <w:r>
        <w:rPr>
          <w:sz w:val="22"/>
        </w:rPr>
        <w:t>KDRTSH-ja harton një kod sjelljeje lidhur me rregullimin e veprimtarisë së vet për çështjet e përcaktuara në pikën 2 të këtij neni jo më vonë se 3 muaj nga hyrja në fuqi e këtij ligji, në bazë të përcaktimeve të këtij ligji dhe të ligjit nr. 9367, datë 7.4.2005 “Për parandalimin e konfliktit të interesave në ushtrimin e funksioneve publike”, si dhe miraton kodet e të njëjtit lloj për drejtuesit e strukturave dhe punonjësit e</w:t>
      </w:r>
      <w:r>
        <w:rPr>
          <w:spacing w:val="-2"/>
          <w:sz w:val="22"/>
        </w:rPr>
        <w:t> </w:t>
      </w:r>
      <w:r>
        <w:rPr>
          <w:sz w:val="22"/>
        </w:rPr>
        <w:t>RTSH-së.</w:t>
      </w:r>
    </w:p>
    <w:p>
      <w:pPr>
        <w:pStyle w:val="BodyText"/>
        <w:spacing w:before="10"/>
        <w:ind w:left="0" w:firstLine="0"/>
        <w:rPr>
          <w:sz w:val="21"/>
        </w:rPr>
      </w:pPr>
    </w:p>
    <w:p>
      <w:pPr>
        <w:pStyle w:val="BodyText"/>
        <w:ind w:left="146" w:right="147" w:firstLine="0"/>
        <w:jc w:val="center"/>
      </w:pPr>
      <w:r>
        <w:rPr/>
        <w:t>Neni 98</w:t>
      </w:r>
    </w:p>
    <w:p>
      <w:pPr>
        <w:pStyle w:val="Heading1"/>
      </w:pPr>
      <w:r>
        <w:rPr/>
        <w:t>Shpërblimi</w:t>
      </w:r>
    </w:p>
    <w:p>
      <w:pPr>
        <w:pStyle w:val="BodyText"/>
        <w:spacing w:before="7"/>
        <w:ind w:left="0" w:firstLine="0"/>
        <w:rPr>
          <w:b/>
          <w:sz w:val="21"/>
        </w:rPr>
      </w:pPr>
    </w:p>
    <w:p>
      <w:pPr>
        <w:pStyle w:val="ListParagraph"/>
        <w:numPr>
          <w:ilvl w:val="0"/>
          <w:numId w:val="186"/>
        </w:numPr>
        <w:tabs>
          <w:tab w:pos="1097" w:val="left" w:leader="none"/>
        </w:tabs>
        <w:spacing w:line="240" w:lineRule="auto" w:before="0" w:after="0"/>
        <w:ind w:left="119" w:right="112" w:firstLine="720"/>
        <w:jc w:val="both"/>
        <w:rPr>
          <w:sz w:val="22"/>
        </w:rPr>
      </w:pPr>
      <w:r>
        <w:rPr>
          <w:sz w:val="22"/>
        </w:rPr>
        <w:t>Për pjesëmarrje në mbledhje, Kryetari dhe anëtarët e KDRTSH-së përfitojnë një shpërblim mujor fiks. Kuvendi cakton me vendim masën e shpërblimit të anëtarit të</w:t>
      </w:r>
      <w:r>
        <w:rPr>
          <w:spacing w:val="-14"/>
          <w:sz w:val="22"/>
        </w:rPr>
        <w:t> </w:t>
      </w:r>
      <w:r>
        <w:rPr>
          <w:sz w:val="22"/>
        </w:rPr>
        <w:t>KDRTSH-së.</w:t>
      </w:r>
    </w:p>
    <w:p>
      <w:pPr>
        <w:pStyle w:val="ListParagraph"/>
        <w:numPr>
          <w:ilvl w:val="0"/>
          <w:numId w:val="186"/>
        </w:numPr>
        <w:tabs>
          <w:tab w:pos="1061" w:val="left" w:leader="none"/>
        </w:tabs>
        <w:spacing w:line="240" w:lineRule="auto" w:before="0" w:after="0"/>
        <w:ind w:left="1060" w:right="0" w:hanging="222"/>
        <w:jc w:val="both"/>
        <w:rPr>
          <w:sz w:val="22"/>
        </w:rPr>
      </w:pPr>
      <w:r>
        <w:rPr>
          <w:sz w:val="22"/>
        </w:rPr>
        <w:t>Kryetari përfiton një shpërblim 20 për qind më të lartë se ai i</w:t>
      </w:r>
      <w:r>
        <w:rPr>
          <w:spacing w:val="-9"/>
          <w:sz w:val="22"/>
        </w:rPr>
        <w:t> </w:t>
      </w:r>
      <w:r>
        <w:rPr>
          <w:sz w:val="22"/>
        </w:rPr>
        <w:t>anëtarit.</w:t>
      </w:r>
    </w:p>
    <w:p>
      <w:pPr>
        <w:pStyle w:val="BodyText"/>
        <w:ind w:left="0" w:firstLine="0"/>
      </w:pPr>
    </w:p>
    <w:p>
      <w:pPr>
        <w:pStyle w:val="BodyText"/>
        <w:spacing w:before="1"/>
        <w:ind w:left="146" w:right="146" w:firstLine="0"/>
        <w:jc w:val="center"/>
      </w:pPr>
      <w:r>
        <w:rPr/>
        <w:t>Neni 99</w:t>
      </w:r>
    </w:p>
    <w:p>
      <w:pPr>
        <w:pStyle w:val="Heading1"/>
        <w:spacing w:line="251" w:lineRule="exact" w:before="3"/>
        <w:ind w:right="147"/>
      </w:pPr>
      <w:r>
        <w:rPr/>
        <w:t>Organizimi i KDRTSH-së</w:t>
      </w:r>
    </w:p>
    <w:p>
      <w:pPr>
        <w:spacing w:line="251" w:lineRule="exact" w:before="0"/>
        <w:ind w:left="146" w:right="145" w:firstLine="0"/>
        <w:jc w:val="center"/>
        <w:rPr>
          <w:i/>
          <w:sz w:val="22"/>
        </w:rPr>
      </w:pPr>
      <w:r>
        <w:rPr>
          <w:i/>
          <w:sz w:val="22"/>
        </w:rPr>
        <w:t>(hequr fjalë në pikën 6, me ligjin nr. 22/2016, datë 10.3.2016)</w:t>
      </w:r>
    </w:p>
    <w:p>
      <w:pPr>
        <w:pStyle w:val="BodyText"/>
        <w:spacing w:before="1"/>
        <w:ind w:left="0" w:firstLine="0"/>
        <w:rPr>
          <w:i/>
        </w:rPr>
      </w:pPr>
    </w:p>
    <w:p>
      <w:pPr>
        <w:pStyle w:val="ListParagraph"/>
        <w:numPr>
          <w:ilvl w:val="0"/>
          <w:numId w:val="187"/>
        </w:numPr>
        <w:tabs>
          <w:tab w:pos="1109" w:val="left" w:leader="none"/>
        </w:tabs>
        <w:spacing w:line="240" w:lineRule="auto" w:before="0" w:after="0"/>
        <w:ind w:left="119" w:right="116" w:firstLine="720"/>
        <w:jc w:val="both"/>
        <w:rPr>
          <w:sz w:val="22"/>
        </w:rPr>
      </w:pPr>
      <w:r>
        <w:rPr>
          <w:sz w:val="22"/>
        </w:rPr>
        <w:t>KDRTSH-ja, në mbledhjen më të parë, cakton afatin kohor për hartimin e rregullores së veprimtarisë së</w:t>
      </w:r>
      <w:r>
        <w:rPr>
          <w:spacing w:val="-1"/>
          <w:sz w:val="22"/>
        </w:rPr>
        <w:t> </w:t>
      </w:r>
      <w:r>
        <w:rPr>
          <w:sz w:val="22"/>
        </w:rPr>
        <w:t>tij.</w:t>
      </w:r>
    </w:p>
    <w:p>
      <w:pPr>
        <w:pStyle w:val="ListParagraph"/>
        <w:numPr>
          <w:ilvl w:val="0"/>
          <w:numId w:val="187"/>
        </w:numPr>
        <w:tabs>
          <w:tab w:pos="1063" w:val="left" w:leader="none"/>
        </w:tabs>
        <w:spacing w:line="251" w:lineRule="exact" w:before="0" w:after="0"/>
        <w:ind w:left="1062" w:right="0" w:hanging="224"/>
        <w:jc w:val="left"/>
        <w:rPr>
          <w:sz w:val="22"/>
        </w:rPr>
      </w:pPr>
      <w:r>
        <w:rPr>
          <w:sz w:val="22"/>
        </w:rPr>
        <w:t>KDRTSH-ja mblidhet sa herë është e nevojshme për ushtrimin e funksioneve të veta por jo</w:t>
      </w:r>
      <w:r>
        <w:rPr>
          <w:spacing w:val="3"/>
          <w:sz w:val="22"/>
        </w:rPr>
        <w:t> </w:t>
      </w:r>
      <w:r>
        <w:rPr>
          <w:sz w:val="22"/>
        </w:rPr>
        <w:t>më</w:t>
      </w:r>
    </w:p>
    <w:p>
      <w:pPr>
        <w:spacing w:after="0" w:line="251" w:lineRule="exact"/>
        <w:jc w:val="left"/>
        <w:rPr>
          <w:sz w:val="22"/>
        </w:rPr>
        <w:sectPr>
          <w:pgSz w:w="12240" w:h="15840"/>
          <w:pgMar w:top="1360" w:bottom="280" w:left="1320" w:right="1320"/>
        </w:sectPr>
      </w:pPr>
    </w:p>
    <w:p>
      <w:pPr>
        <w:pStyle w:val="BodyText"/>
        <w:spacing w:before="74"/>
        <w:ind w:right="118" w:firstLine="0"/>
        <w:jc w:val="both"/>
      </w:pPr>
      <w:r>
        <w:rPr/>
        <w:t>pak se një herë në 2 muaj. Ai mund të mblidhet jashtë programit të vet kur mbledhjen e kërkojnë Kryetari i KDRTSH-së, Drejtori i Përgjithshëm, Kryetari i Bordit të Administrimit ose 3</w:t>
      </w:r>
      <w:r>
        <w:rPr>
          <w:spacing w:val="-9"/>
        </w:rPr>
        <w:t> </w:t>
      </w:r>
      <w:r>
        <w:rPr/>
        <w:t>anëtarë.</w:t>
      </w:r>
    </w:p>
    <w:p>
      <w:pPr>
        <w:pStyle w:val="ListParagraph"/>
        <w:numPr>
          <w:ilvl w:val="0"/>
          <w:numId w:val="187"/>
        </w:numPr>
        <w:tabs>
          <w:tab w:pos="1064" w:val="left" w:leader="none"/>
        </w:tabs>
        <w:spacing w:line="240" w:lineRule="auto" w:before="0" w:after="0"/>
        <w:ind w:left="119" w:right="114" w:firstLine="720"/>
        <w:jc w:val="both"/>
        <w:rPr>
          <w:sz w:val="22"/>
        </w:rPr>
      </w:pPr>
      <w:r>
        <w:rPr>
          <w:sz w:val="22"/>
        </w:rPr>
        <w:t>Drejtori i Përgjithshëm, Kryetari i Bordit të Administrimit, kryetarët e këshillave të krijuara për çështje të ndryshme dhe drejtues të administratës dhe subjekteve përbërëse të RTSH-së kanë të drejtë të marrin pjesë në mbledhjet e KDRTSH-së, me kërkesë të këtij të fundit apo me kërkesë të tyre, përveç rasteve kur KDRTSH-ja vendos ndryshe.</w:t>
      </w:r>
    </w:p>
    <w:p>
      <w:pPr>
        <w:pStyle w:val="ListParagraph"/>
        <w:numPr>
          <w:ilvl w:val="0"/>
          <w:numId w:val="187"/>
        </w:numPr>
        <w:tabs>
          <w:tab w:pos="1119" w:val="left" w:leader="none"/>
        </w:tabs>
        <w:spacing w:line="240" w:lineRule="auto" w:before="0" w:after="0"/>
        <w:ind w:left="119" w:right="115" w:firstLine="720"/>
        <w:jc w:val="both"/>
        <w:rPr>
          <w:sz w:val="22"/>
        </w:rPr>
      </w:pPr>
      <w:r>
        <w:rPr>
          <w:sz w:val="22"/>
        </w:rPr>
        <w:t>Mbledhjet e KDRTSH-së janë të vlefshme kur në to marrin pjesë shumica e anëtarëve. Vendimet e KDRTSH-së merren me shumicën e votave të pjesëmarrësve, me përjashtim të rasteve, kur kërkohet shumicë e cilësuar për marrjen e vendimit, sipas pikës 6 të këtij</w:t>
      </w:r>
      <w:r>
        <w:rPr>
          <w:spacing w:val="-10"/>
          <w:sz w:val="22"/>
        </w:rPr>
        <w:t> </w:t>
      </w:r>
      <w:r>
        <w:rPr>
          <w:sz w:val="22"/>
        </w:rPr>
        <w:t>neni.</w:t>
      </w:r>
    </w:p>
    <w:p>
      <w:pPr>
        <w:pStyle w:val="ListParagraph"/>
        <w:numPr>
          <w:ilvl w:val="0"/>
          <w:numId w:val="187"/>
        </w:numPr>
        <w:tabs>
          <w:tab w:pos="1097" w:val="left" w:leader="none"/>
        </w:tabs>
        <w:spacing w:line="240" w:lineRule="auto" w:before="0" w:after="0"/>
        <w:ind w:left="119" w:right="117" w:firstLine="720"/>
        <w:jc w:val="both"/>
        <w:rPr>
          <w:sz w:val="22"/>
        </w:rPr>
      </w:pPr>
      <w:r>
        <w:rPr>
          <w:sz w:val="22"/>
        </w:rPr>
        <w:t>Në rastet kur rezultati i votimit është i barabartë dhe votimi nuk ka qenë i fshehtë, vota e kryetarit është</w:t>
      </w:r>
      <w:r>
        <w:rPr>
          <w:spacing w:val="-3"/>
          <w:sz w:val="22"/>
        </w:rPr>
        <w:t> </w:t>
      </w:r>
      <w:r>
        <w:rPr>
          <w:sz w:val="22"/>
        </w:rPr>
        <w:t>vendimtare.</w:t>
      </w:r>
    </w:p>
    <w:p>
      <w:pPr>
        <w:pStyle w:val="ListParagraph"/>
        <w:numPr>
          <w:ilvl w:val="0"/>
          <w:numId w:val="187"/>
        </w:numPr>
        <w:tabs>
          <w:tab w:pos="1070" w:val="left" w:leader="none"/>
        </w:tabs>
        <w:spacing w:line="240" w:lineRule="auto" w:before="0" w:after="0"/>
        <w:ind w:left="119" w:right="116" w:firstLine="720"/>
        <w:jc w:val="both"/>
        <w:rPr>
          <w:sz w:val="22"/>
        </w:rPr>
      </w:pPr>
      <w:r>
        <w:rPr>
          <w:sz w:val="22"/>
        </w:rPr>
        <w:t>Vendimet e KDRTSH-së për miratimin e rregullores së veprimtarisë së tij, statutin e RTSH-së dhe shkarkimin e Drejtorit të Përgjithshëm quhen të miratuara, kur për to votojnë pro jo më pak se 7 anëtarë.</w:t>
      </w:r>
    </w:p>
    <w:p>
      <w:pPr>
        <w:pStyle w:val="BodyText"/>
        <w:spacing w:line="253" w:lineRule="exact"/>
        <w:ind w:left="146" w:right="147" w:firstLine="0"/>
        <w:jc w:val="center"/>
      </w:pPr>
      <w:r>
        <w:rPr/>
        <w:t>Neni 100</w:t>
      </w:r>
    </w:p>
    <w:p>
      <w:pPr>
        <w:pStyle w:val="Heading1"/>
        <w:ind w:right="145"/>
      </w:pPr>
      <w:r>
        <w:rPr/>
        <w:t>Lirimi nga detyra</w:t>
      </w:r>
    </w:p>
    <w:p>
      <w:pPr>
        <w:pStyle w:val="BodyText"/>
        <w:spacing w:before="6"/>
        <w:ind w:left="0" w:firstLine="0"/>
        <w:rPr>
          <w:b/>
          <w:sz w:val="21"/>
        </w:rPr>
      </w:pPr>
    </w:p>
    <w:p>
      <w:pPr>
        <w:pStyle w:val="ListParagraph"/>
        <w:numPr>
          <w:ilvl w:val="0"/>
          <w:numId w:val="188"/>
        </w:numPr>
        <w:tabs>
          <w:tab w:pos="1090" w:val="left" w:leader="none"/>
        </w:tabs>
        <w:spacing w:line="240" w:lineRule="auto" w:before="0" w:after="0"/>
        <w:ind w:left="119" w:right="116" w:firstLine="720"/>
        <w:jc w:val="left"/>
        <w:rPr>
          <w:sz w:val="22"/>
        </w:rPr>
      </w:pPr>
      <w:r>
        <w:rPr>
          <w:sz w:val="22"/>
        </w:rPr>
        <w:t>Kryetari, Zëvendëskryetari dhe çdo anëtar i KDRTSH-së lirohet nga detyra nga organi që e zgjedh</w:t>
      </w:r>
      <w:r>
        <w:rPr>
          <w:spacing w:val="-1"/>
          <w:sz w:val="22"/>
        </w:rPr>
        <w:t> </w:t>
      </w:r>
      <w:r>
        <w:rPr>
          <w:sz w:val="22"/>
        </w:rPr>
        <w:t>kur:</w:t>
      </w:r>
    </w:p>
    <w:p>
      <w:pPr>
        <w:pStyle w:val="ListParagraph"/>
        <w:numPr>
          <w:ilvl w:val="0"/>
          <w:numId w:val="189"/>
        </w:numPr>
        <w:tabs>
          <w:tab w:pos="1068" w:val="left" w:leader="none"/>
        </w:tabs>
        <w:spacing w:line="252" w:lineRule="exact" w:before="1" w:after="0"/>
        <w:ind w:left="1067" w:right="0" w:hanging="229"/>
        <w:jc w:val="left"/>
        <w:rPr>
          <w:sz w:val="22"/>
        </w:rPr>
      </w:pPr>
      <w:r>
        <w:rPr>
          <w:sz w:val="22"/>
        </w:rPr>
        <w:t>dënohet nga gjykata me vendim të formës së prerë për kryerjen e një vepre</w:t>
      </w:r>
      <w:r>
        <w:rPr>
          <w:spacing w:val="-14"/>
          <w:sz w:val="22"/>
        </w:rPr>
        <w:t> </w:t>
      </w:r>
      <w:r>
        <w:rPr>
          <w:sz w:val="22"/>
        </w:rPr>
        <w:t>penale;</w:t>
      </w:r>
    </w:p>
    <w:p>
      <w:pPr>
        <w:pStyle w:val="ListParagraph"/>
        <w:numPr>
          <w:ilvl w:val="0"/>
          <w:numId w:val="189"/>
        </w:numPr>
        <w:tabs>
          <w:tab w:pos="1080" w:val="left" w:leader="none"/>
        </w:tabs>
        <w:spacing w:line="252" w:lineRule="exact" w:before="0" w:after="0"/>
        <w:ind w:left="1079" w:right="0" w:hanging="241"/>
        <w:jc w:val="left"/>
        <w:rPr>
          <w:sz w:val="22"/>
        </w:rPr>
      </w:pPr>
      <w:r>
        <w:rPr>
          <w:sz w:val="22"/>
        </w:rPr>
        <w:t>bëhet i paaftë përgjithmonë për kryerjen e detyrës për shkaqe</w:t>
      </w:r>
      <w:r>
        <w:rPr>
          <w:spacing w:val="-7"/>
          <w:sz w:val="22"/>
        </w:rPr>
        <w:t> </w:t>
      </w:r>
      <w:r>
        <w:rPr>
          <w:sz w:val="22"/>
        </w:rPr>
        <w:t>shëndetësore;</w:t>
      </w:r>
    </w:p>
    <w:p>
      <w:pPr>
        <w:pStyle w:val="ListParagraph"/>
        <w:numPr>
          <w:ilvl w:val="0"/>
          <w:numId w:val="189"/>
        </w:numPr>
        <w:tabs>
          <w:tab w:pos="1124" w:val="left" w:leader="none"/>
        </w:tabs>
        <w:spacing w:line="240" w:lineRule="auto" w:before="1" w:after="0"/>
        <w:ind w:left="839" w:right="503" w:firstLine="0"/>
        <w:jc w:val="left"/>
        <w:rPr>
          <w:sz w:val="22"/>
        </w:rPr>
      </w:pPr>
      <w:r>
        <w:rPr>
          <w:sz w:val="22"/>
        </w:rPr>
        <w:t>mungon pa arsye në më shumë se një të tretën e mbledhjeve të KDRTSH-së, brenda 1</w:t>
      </w:r>
      <w:r>
        <w:rPr>
          <w:spacing w:val="-26"/>
          <w:sz w:val="22"/>
        </w:rPr>
        <w:t> </w:t>
      </w:r>
      <w:r>
        <w:rPr>
          <w:sz w:val="22"/>
        </w:rPr>
        <w:t>viti; ç) vërtetohet se ka shkelur detyrimet e nenit 97 të këtij</w:t>
      </w:r>
      <w:r>
        <w:rPr>
          <w:spacing w:val="-6"/>
          <w:sz w:val="22"/>
        </w:rPr>
        <w:t> </w:t>
      </w:r>
      <w:r>
        <w:rPr>
          <w:sz w:val="22"/>
        </w:rPr>
        <w:t>ligji;</w:t>
      </w:r>
    </w:p>
    <w:p>
      <w:pPr>
        <w:pStyle w:val="ListParagraph"/>
        <w:numPr>
          <w:ilvl w:val="0"/>
          <w:numId w:val="189"/>
        </w:numPr>
        <w:tabs>
          <w:tab w:pos="1080" w:val="left" w:leader="none"/>
        </w:tabs>
        <w:spacing w:line="242" w:lineRule="auto" w:before="0" w:after="0"/>
        <w:ind w:left="839" w:right="5964" w:firstLine="0"/>
        <w:jc w:val="left"/>
        <w:rPr>
          <w:sz w:val="22"/>
        </w:rPr>
      </w:pPr>
      <w:r>
        <w:rPr>
          <w:sz w:val="22"/>
        </w:rPr>
        <w:t>i hiqet zotësia për të vepruar. dh) jep</w:t>
      </w:r>
      <w:r>
        <w:rPr>
          <w:spacing w:val="-3"/>
          <w:sz w:val="22"/>
        </w:rPr>
        <w:t> </w:t>
      </w:r>
      <w:r>
        <w:rPr>
          <w:sz w:val="22"/>
        </w:rPr>
        <w:t>dorëheqjen.</w:t>
      </w:r>
    </w:p>
    <w:p>
      <w:pPr>
        <w:pStyle w:val="ListParagraph"/>
        <w:numPr>
          <w:ilvl w:val="0"/>
          <w:numId w:val="188"/>
        </w:numPr>
        <w:tabs>
          <w:tab w:pos="1073" w:val="left" w:leader="none"/>
        </w:tabs>
        <w:spacing w:line="240" w:lineRule="auto" w:before="0" w:after="0"/>
        <w:ind w:left="119" w:right="115" w:firstLine="720"/>
        <w:jc w:val="both"/>
        <w:rPr>
          <w:sz w:val="22"/>
        </w:rPr>
      </w:pPr>
      <w:r>
        <w:rPr>
          <w:sz w:val="22"/>
        </w:rPr>
        <w:t>Lirimi nga detyra i një anëtari të KDRTSH-së mund të kërkohet nga Komisioni për Edukimin dhe Mjetet e Informimit Publik ose jo më pak se 7 anëtarë të KDRTSH-së. Kuvendi e shqyrton kërkesën brenda 10</w:t>
      </w:r>
      <w:r>
        <w:rPr>
          <w:spacing w:val="-1"/>
          <w:sz w:val="22"/>
        </w:rPr>
        <w:t> </w:t>
      </w:r>
      <w:r>
        <w:rPr>
          <w:sz w:val="22"/>
        </w:rPr>
        <w:t>ditëve.</w:t>
      </w:r>
    </w:p>
    <w:p>
      <w:pPr>
        <w:pStyle w:val="ListParagraph"/>
        <w:numPr>
          <w:ilvl w:val="0"/>
          <w:numId w:val="188"/>
        </w:numPr>
        <w:tabs>
          <w:tab w:pos="1068" w:val="left" w:leader="none"/>
        </w:tabs>
        <w:spacing w:line="240" w:lineRule="auto" w:before="0" w:after="0"/>
        <w:ind w:left="119" w:right="113" w:firstLine="720"/>
        <w:jc w:val="both"/>
        <w:rPr>
          <w:sz w:val="22"/>
        </w:rPr>
      </w:pPr>
      <w:r>
        <w:rPr>
          <w:sz w:val="22"/>
        </w:rPr>
        <w:t>Para se të lirohet një anëtar i KDRTSH-së, atij i jepet mundësia për të parashtruar pretendimet e tij para Komisionit për Edukimin dhe Mjetet e Informimit Publik. Vendimi për të liruar Kryetarin, Zëvendëskryetarin, një anëtar ose më shumë se një anëtar duhet të jetë i bazuar në ligj dhe i arsyetuar për shkaqet që çojnë në lirimin e tyre. Vendimi i Kuvendit</w:t>
      </w:r>
      <w:r>
        <w:rPr>
          <w:spacing w:val="-7"/>
          <w:sz w:val="22"/>
        </w:rPr>
        <w:t> </w:t>
      </w:r>
      <w:r>
        <w:rPr>
          <w:sz w:val="22"/>
        </w:rPr>
        <w:t>publikohet.</w:t>
      </w:r>
    </w:p>
    <w:p>
      <w:pPr>
        <w:pStyle w:val="ListParagraph"/>
        <w:numPr>
          <w:ilvl w:val="0"/>
          <w:numId w:val="188"/>
        </w:numPr>
        <w:tabs>
          <w:tab w:pos="1075" w:val="left" w:leader="none"/>
        </w:tabs>
        <w:spacing w:line="240" w:lineRule="auto" w:before="0" w:after="0"/>
        <w:ind w:left="119" w:right="114" w:firstLine="720"/>
        <w:jc w:val="both"/>
        <w:rPr>
          <w:sz w:val="22"/>
        </w:rPr>
      </w:pPr>
      <w:r>
        <w:rPr>
          <w:sz w:val="22"/>
        </w:rPr>
        <w:t>Kryetari, Zëvendëskryetari dhe çdo anëtar i KDRTSH-së mund të japë dorëheqjen me shkrim në çdo kohë. Dorëheqja i paraqitet KDRTSH-së në mbledhjen e radhës dhe i dërgohet Kuvendit sa më parë.</w:t>
      </w:r>
    </w:p>
    <w:p>
      <w:pPr>
        <w:pStyle w:val="ListParagraph"/>
        <w:numPr>
          <w:ilvl w:val="0"/>
          <w:numId w:val="188"/>
        </w:numPr>
        <w:tabs>
          <w:tab w:pos="1073" w:val="left" w:leader="none"/>
        </w:tabs>
        <w:spacing w:line="242" w:lineRule="auto" w:before="0" w:after="0"/>
        <w:ind w:left="119" w:right="118" w:firstLine="720"/>
        <w:jc w:val="both"/>
        <w:rPr>
          <w:sz w:val="22"/>
        </w:rPr>
      </w:pPr>
      <w:r>
        <w:rPr>
          <w:sz w:val="22"/>
        </w:rPr>
        <w:t>Kur konstatohet njëri nga rastet e përcaktuara në pikën 1 të këtij neni, Kryetari i KDRTSH-së njofton me shkrim brenda 5 ditëve</w:t>
      </w:r>
      <w:r>
        <w:rPr>
          <w:spacing w:val="-10"/>
          <w:sz w:val="22"/>
        </w:rPr>
        <w:t> </w:t>
      </w:r>
      <w:r>
        <w:rPr>
          <w:sz w:val="22"/>
        </w:rPr>
        <w:t>Kuvendin.</w:t>
      </w:r>
    </w:p>
    <w:p>
      <w:pPr>
        <w:pStyle w:val="ListParagraph"/>
        <w:numPr>
          <w:ilvl w:val="0"/>
          <w:numId w:val="188"/>
        </w:numPr>
        <w:tabs>
          <w:tab w:pos="1119" w:val="left" w:leader="none"/>
        </w:tabs>
        <w:spacing w:line="240" w:lineRule="auto" w:before="0" w:after="0"/>
        <w:ind w:left="119" w:right="115" w:firstLine="720"/>
        <w:jc w:val="both"/>
        <w:rPr>
          <w:sz w:val="22"/>
        </w:rPr>
      </w:pPr>
      <w:r>
        <w:rPr>
          <w:sz w:val="22"/>
        </w:rPr>
        <w:t>Në çdo rast lirimi zgjidhet një zëvendësues, duke ndjekur procedurën e parashikuar për zgjedhjen dhe për një kohë të barabartë me kohën që i kishte mbetur pararendësit që u</w:t>
      </w:r>
      <w:r>
        <w:rPr>
          <w:spacing w:val="-16"/>
          <w:sz w:val="22"/>
        </w:rPr>
        <w:t> </w:t>
      </w:r>
      <w:r>
        <w:rPr>
          <w:sz w:val="22"/>
        </w:rPr>
        <w:t>lirua.</w:t>
      </w:r>
    </w:p>
    <w:p>
      <w:pPr>
        <w:pStyle w:val="BodyText"/>
        <w:spacing w:before="10"/>
        <w:ind w:left="0" w:firstLine="0"/>
        <w:rPr>
          <w:sz w:val="20"/>
        </w:rPr>
      </w:pPr>
    </w:p>
    <w:p>
      <w:pPr>
        <w:pStyle w:val="BodyText"/>
        <w:ind w:left="146" w:right="146" w:firstLine="0"/>
        <w:jc w:val="center"/>
      </w:pPr>
      <w:r>
        <w:rPr/>
        <w:t>Neni 101</w:t>
      </w:r>
    </w:p>
    <w:p>
      <w:pPr>
        <w:pStyle w:val="Heading1"/>
        <w:spacing w:before="6"/>
        <w:ind w:right="144"/>
      </w:pPr>
      <w:r>
        <w:rPr/>
        <w:t>Detyrat e anëtarëve të KDRTSH-së</w:t>
      </w:r>
    </w:p>
    <w:p>
      <w:pPr>
        <w:pStyle w:val="BodyText"/>
        <w:spacing w:before="7"/>
        <w:ind w:left="0" w:firstLine="0"/>
        <w:rPr>
          <w:b/>
          <w:sz w:val="21"/>
        </w:rPr>
      </w:pPr>
    </w:p>
    <w:p>
      <w:pPr>
        <w:pStyle w:val="BodyText"/>
        <w:spacing w:line="252" w:lineRule="exact"/>
        <w:ind w:left="839" w:firstLine="0"/>
        <w:jc w:val="both"/>
      </w:pPr>
      <w:r>
        <w:rPr/>
        <w:t>Anëtarët e KDRTSH-së ushtrojnë funksionin e tyre në mënyrë të tillë që:</w:t>
      </w:r>
    </w:p>
    <w:p>
      <w:pPr>
        <w:pStyle w:val="ListParagraph"/>
        <w:numPr>
          <w:ilvl w:val="0"/>
          <w:numId w:val="190"/>
        </w:numPr>
        <w:tabs>
          <w:tab w:pos="1124" w:val="left" w:leader="none"/>
        </w:tabs>
        <w:spacing w:line="252" w:lineRule="exact" w:before="0" w:after="0"/>
        <w:ind w:left="1123" w:right="0" w:hanging="284"/>
        <w:jc w:val="both"/>
        <w:rPr>
          <w:sz w:val="22"/>
        </w:rPr>
      </w:pPr>
      <w:r>
        <w:rPr>
          <w:sz w:val="22"/>
        </w:rPr>
        <w:t>të përfaqësojnë interesat e shikuesve dhe</w:t>
      </w:r>
      <w:r>
        <w:rPr>
          <w:spacing w:val="-4"/>
          <w:sz w:val="22"/>
        </w:rPr>
        <w:t> </w:t>
      </w:r>
      <w:r>
        <w:rPr>
          <w:sz w:val="22"/>
        </w:rPr>
        <w:t>dëgjuesve;</w:t>
      </w:r>
    </w:p>
    <w:p>
      <w:pPr>
        <w:pStyle w:val="ListParagraph"/>
        <w:numPr>
          <w:ilvl w:val="0"/>
          <w:numId w:val="190"/>
        </w:numPr>
        <w:tabs>
          <w:tab w:pos="1121" w:val="left" w:leader="none"/>
        </w:tabs>
        <w:spacing w:line="240" w:lineRule="auto" w:before="0" w:after="0"/>
        <w:ind w:left="119" w:right="114" w:firstLine="720"/>
        <w:jc w:val="both"/>
        <w:rPr>
          <w:sz w:val="22"/>
        </w:rPr>
      </w:pPr>
      <w:r>
        <w:rPr>
          <w:sz w:val="22"/>
        </w:rPr>
        <w:t>të sigurojnë që veprimtaria e RTSH-së në përgjithësi dhe e subjekteve përbërëse të tij në veçanti të realizohet në përputhje me kërkesat e këtij ligji dhe statutit të</w:t>
      </w:r>
      <w:r>
        <w:rPr>
          <w:spacing w:val="-8"/>
          <w:sz w:val="22"/>
        </w:rPr>
        <w:t> </w:t>
      </w:r>
      <w:r>
        <w:rPr>
          <w:sz w:val="22"/>
        </w:rPr>
        <w:t>vet;</w:t>
      </w:r>
    </w:p>
    <w:p>
      <w:pPr>
        <w:pStyle w:val="ListParagraph"/>
        <w:numPr>
          <w:ilvl w:val="0"/>
          <w:numId w:val="190"/>
        </w:numPr>
        <w:tabs>
          <w:tab w:pos="1155" w:val="left" w:leader="none"/>
        </w:tabs>
        <w:spacing w:line="240" w:lineRule="auto" w:before="0" w:after="0"/>
        <w:ind w:left="119" w:right="112" w:firstLine="720"/>
        <w:jc w:val="both"/>
        <w:rPr>
          <w:sz w:val="22"/>
        </w:rPr>
      </w:pPr>
      <w:r>
        <w:rPr>
          <w:sz w:val="22"/>
        </w:rPr>
        <w:t>të sigurojnë pavarësinë e RTSH-së lidhur me krijimin, prodhimin dhe përmbajtjen e materialeve programore, përpilimin dhe paraqitjen e programeve të lajmeve dhe çështjeve me interes publik dhe mosndërhyrjen e shtetit, politikës dhe biznesit në këto</w:t>
      </w:r>
      <w:r>
        <w:rPr>
          <w:spacing w:val="-15"/>
          <w:sz w:val="22"/>
        </w:rPr>
        <w:t> </w:t>
      </w:r>
      <w:r>
        <w:rPr>
          <w:sz w:val="22"/>
        </w:rPr>
        <w:t>veprimtari.</w:t>
      </w:r>
    </w:p>
    <w:p>
      <w:pPr>
        <w:spacing w:after="0" w:line="240" w:lineRule="auto"/>
        <w:jc w:val="both"/>
        <w:rPr>
          <w:sz w:val="22"/>
        </w:rPr>
        <w:sectPr>
          <w:pgSz w:w="12240" w:h="15840"/>
          <w:pgMar w:top="1360" w:bottom="280" w:left="1320" w:right="1320"/>
        </w:sectPr>
      </w:pPr>
    </w:p>
    <w:p>
      <w:pPr>
        <w:pStyle w:val="BodyText"/>
        <w:spacing w:before="74"/>
        <w:ind w:left="146" w:right="146" w:firstLine="0"/>
        <w:jc w:val="center"/>
      </w:pPr>
      <w:r>
        <w:rPr/>
        <w:t>Neni 102</w:t>
      </w:r>
    </w:p>
    <w:p>
      <w:pPr>
        <w:pStyle w:val="Heading1"/>
        <w:spacing w:line="251" w:lineRule="exact" w:before="3"/>
      </w:pPr>
      <w:r>
        <w:rPr/>
        <w:t>Kompetencat e KDRTSH-së</w:t>
      </w:r>
    </w:p>
    <w:p>
      <w:pPr>
        <w:spacing w:line="251" w:lineRule="exact" w:before="0"/>
        <w:ind w:left="146" w:right="146" w:firstLine="0"/>
        <w:jc w:val="center"/>
        <w:rPr>
          <w:i/>
          <w:sz w:val="22"/>
        </w:rPr>
      </w:pPr>
      <w:r>
        <w:rPr>
          <w:i/>
          <w:sz w:val="22"/>
        </w:rPr>
        <w:t>(ndryshuar pika 3, dhe shtuar pika 3/1, me ligjin nr. 22/2016, datë 10.3.2016)</w:t>
      </w:r>
    </w:p>
    <w:p>
      <w:pPr>
        <w:pStyle w:val="BodyText"/>
        <w:ind w:left="0" w:firstLine="0"/>
        <w:rPr>
          <w:i/>
        </w:rPr>
      </w:pPr>
    </w:p>
    <w:p>
      <w:pPr>
        <w:pStyle w:val="BodyText"/>
        <w:spacing w:line="252" w:lineRule="exact" w:before="1"/>
        <w:ind w:left="839" w:firstLine="0"/>
      </w:pPr>
      <w:r>
        <w:rPr/>
        <w:t>KDRTSH-ja ka këto kompetenca:</w:t>
      </w:r>
    </w:p>
    <w:p>
      <w:pPr>
        <w:pStyle w:val="ListParagraph"/>
        <w:numPr>
          <w:ilvl w:val="0"/>
          <w:numId w:val="191"/>
        </w:numPr>
        <w:tabs>
          <w:tab w:pos="1061" w:val="left" w:leader="none"/>
        </w:tabs>
        <w:spacing w:line="252" w:lineRule="exact" w:before="0" w:after="0"/>
        <w:ind w:left="1060" w:right="0" w:hanging="222"/>
        <w:jc w:val="left"/>
        <w:rPr>
          <w:sz w:val="22"/>
        </w:rPr>
      </w:pPr>
      <w:r>
        <w:rPr>
          <w:sz w:val="22"/>
        </w:rPr>
        <w:t>Miraton rregulloren e veprimtarisë së</w:t>
      </w:r>
      <w:r>
        <w:rPr>
          <w:spacing w:val="-6"/>
          <w:sz w:val="22"/>
        </w:rPr>
        <w:t> </w:t>
      </w:r>
      <w:r>
        <w:rPr>
          <w:sz w:val="22"/>
        </w:rPr>
        <w:t>saj.</w:t>
      </w:r>
    </w:p>
    <w:p>
      <w:pPr>
        <w:pStyle w:val="ListParagraph"/>
        <w:numPr>
          <w:ilvl w:val="0"/>
          <w:numId w:val="191"/>
        </w:numPr>
        <w:tabs>
          <w:tab w:pos="1061" w:val="left" w:leader="none"/>
        </w:tabs>
        <w:spacing w:line="252" w:lineRule="exact" w:before="0" w:after="0"/>
        <w:ind w:left="1060" w:right="0" w:hanging="222"/>
        <w:jc w:val="left"/>
        <w:rPr>
          <w:sz w:val="22"/>
        </w:rPr>
      </w:pPr>
      <w:r>
        <w:rPr>
          <w:sz w:val="22"/>
        </w:rPr>
        <w:t>Miraton statutin e RTSH-së, në të cilin</w:t>
      </w:r>
      <w:r>
        <w:rPr>
          <w:spacing w:val="-4"/>
          <w:sz w:val="22"/>
        </w:rPr>
        <w:t> </w:t>
      </w:r>
      <w:r>
        <w:rPr>
          <w:sz w:val="22"/>
        </w:rPr>
        <w:t>përcakton:</w:t>
      </w:r>
    </w:p>
    <w:p>
      <w:pPr>
        <w:pStyle w:val="ListParagraph"/>
        <w:numPr>
          <w:ilvl w:val="0"/>
          <w:numId w:val="192"/>
        </w:numPr>
        <w:tabs>
          <w:tab w:pos="1069" w:val="left" w:leader="none"/>
        </w:tabs>
        <w:spacing w:line="252" w:lineRule="exact" w:before="1" w:after="0"/>
        <w:ind w:left="1068" w:right="0" w:hanging="230"/>
        <w:jc w:val="left"/>
        <w:rPr>
          <w:sz w:val="22"/>
        </w:rPr>
      </w:pPr>
      <w:r>
        <w:rPr>
          <w:sz w:val="22"/>
        </w:rPr>
        <w:t>strukturën e</w:t>
      </w:r>
      <w:r>
        <w:rPr>
          <w:spacing w:val="-4"/>
          <w:sz w:val="22"/>
        </w:rPr>
        <w:t> </w:t>
      </w:r>
      <w:r>
        <w:rPr>
          <w:sz w:val="22"/>
        </w:rPr>
        <w:t>institucionit;</w:t>
      </w:r>
    </w:p>
    <w:p>
      <w:pPr>
        <w:pStyle w:val="ListParagraph"/>
        <w:numPr>
          <w:ilvl w:val="0"/>
          <w:numId w:val="192"/>
        </w:numPr>
        <w:tabs>
          <w:tab w:pos="1080" w:val="left" w:leader="none"/>
        </w:tabs>
        <w:spacing w:line="252" w:lineRule="exact" w:before="0" w:after="0"/>
        <w:ind w:left="1080" w:right="0" w:hanging="241"/>
        <w:jc w:val="left"/>
        <w:rPr>
          <w:sz w:val="22"/>
        </w:rPr>
      </w:pPr>
      <w:r>
        <w:rPr>
          <w:sz w:val="22"/>
        </w:rPr>
        <w:t>organet drejtuese dhe kompetencat e</w:t>
      </w:r>
      <w:r>
        <w:rPr>
          <w:spacing w:val="-2"/>
          <w:sz w:val="22"/>
        </w:rPr>
        <w:t> </w:t>
      </w:r>
      <w:r>
        <w:rPr>
          <w:sz w:val="22"/>
        </w:rPr>
        <w:t>tyre;</w:t>
      </w:r>
    </w:p>
    <w:p>
      <w:pPr>
        <w:pStyle w:val="ListParagraph"/>
        <w:numPr>
          <w:ilvl w:val="0"/>
          <w:numId w:val="192"/>
        </w:numPr>
        <w:tabs>
          <w:tab w:pos="1126" w:val="left" w:leader="none"/>
        </w:tabs>
        <w:spacing w:line="240" w:lineRule="auto" w:before="1" w:after="0"/>
        <w:ind w:left="120" w:right="115" w:firstLine="720"/>
        <w:jc w:val="both"/>
        <w:rPr>
          <w:sz w:val="22"/>
        </w:rPr>
      </w:pPr>
      <w:r>
        <w:rPr>
          <w:sz w:val="22"/>
        </w:rPr>
        <w:t>kriteret dhe procedurat për emërimin dhe lirimin e Zëvendësdrejtorit të Përgjithshëm, të drejtorëve të radios dhe televizionit, subjekteve përbërëse të RTSH-së, si dhe të shefave</w:t>
      </w:r>
      <w:r>
        <w:rPr>
          <w:spacing w:val="23"/>
          <w:sz w:val="22"/>
        </w:rPr>
        <w:t> </w:t>
      </w:r>
      <w:r>
        <w:rPr>
          <w:sz w:val="22"/>
        </w:rPr>
        <w:t>të departamenteve;</w:t>
      </w:r>
    </w:p>
    <w:p>
      <w:pPr>
        <w:pStyle w:val="BodyText"/>
        <w:spacing w:line="252" w:lineRule="exact"/>
        <w:ind w:left="840" w:firstLine="0"/>
        <w:jc w:val="both"/>
      </w:pPr>
      <w:r>
        <w:rPr/>
        <w:t>ç) përshkrimin e punës për të gjitha kategoritë e punonjësve;</w:t>
      </w:r>
    </w:p>
    <w:p>
      <w:pPr>
        <w:pStyle w:val="ListParagraph"/>
        <w:numPr>
          <w:ilvl w:val="0"/>
          <w:numId w:val="192"/>
        </w:numPr>
        <w:tabs>
          <w:tab w:pos="1081" w:val="left" w:leader="none"/>
        </w:tabs>
        <w:spacing w:line="252" w:lineRule="exact" w:before="0" w:after="0"/>
        <w:ind w:left="1080" w:right="0" w:hanging="241"/>
        <w:jc w:val="both"/>
        <w:rPr>
          <w:sz w:val="22"/>
        </w:rPr>
      </w:pPr>
      <w:r>
        <w:rPr>
          <w:sz w:val="22"/>
        </w:rPr>
        <w:t>përshkrimin e veprimtarisë së RTSH-së, përfshirë atë ekonomike dhe</w:t>
      </w:r>
      <w:r>
        <w:rPr>
          <w:spacing w:val="-7"/>
          <w:sz w:val="22"/>
        </w:rPr>
        <w:t> </w:t>
      </w:r>
      <w:r>
        <w:rPr>
          <w:sz w:val="22"/>
        </w:rPr>
        <w:t>financiare.</w:t>
      </w:r>
    </w:p>
    <w:p>
      <w:pPr>
        <w:pStyle w:val="ListParagraph"/>
        <w:numPr>
          <w:ilvl w:val="0"/>
          <w:numId w:val="191"/>
        </w:numPr>
        <w:tabs>
          <w:tab w:pos="1102" w:val="left" w:leader="none"/>
        </w:tabs>
        <w:spacing w:line="240" w:lineRule="auto" w:before="2" w:after="0"/>
        <w:ind w:left="120" w:right="113" w:firstLine="720"/>
        <w:jc w:val="both"/>
        <w:rPr>
          <w:sz w:val="22"/>
        </w:rPr>
      </w:pPr>
      <w:r>
        <w:rPr>
          <w:sz w:val="22"/>
        </w:rPr>
        <w:t>Emëron Drejtorin e Përgjithshëm me tre të pestat e votave të të gjithë anëtarëve të tij në votimin e parë, në votimin e dytë ose në votimin e tretë. Nëse në votimin e parë nuk arrihet shumica prej tre të pestave, KDRTSH-ja cakton menjëherë datën e kryerjes së votimit të dytë, i cili zhvillohet jo më vonë se 7 ditë nga kryerja e votimit të parë. Në rast se edhe në votimin e dytë nuk arrihet shumica prej tre të pestave, KDRTSH-ja cakton menjëherë datën e kryerjes së votimit të tretë, i cili zhvillohet jo më vonë se 7 ditë nga kryerja e votimit të dytë. Në rast se edhe në votimin e tretë nuk arrihet shumica prej tre të pestave, KDRTSH-ja cakton menjëherë datën e kryerjes së votimit të katërt, i cili zhvillohet jo më vonë se 7 ditë nga kryerja e votimit të tretë. Në votimin e katërt dhe të pestë KDRTSH-ja vendos për emërimin e Drejtorit të Përgjithshëm me më shumë se gjysmën e votave të të gjithë anëtarëve të tij. Votimi i pestë kryhet në rastin kur në votimin e katërt asnjë kandidat nuk ka siguruar shumicën e kërkuar të votave dhe zhvillohet jo më vonë se 7 ditë nga kryerja e votimit të katërt. Votimi i pestë zhvillohet vetëm midis dy kandidatëve që kanë marrë më shumë vota në votimin e katërt. Në rast se ka më shumë se dy kandidatë me të njëjtin numër votash, kandidati që merr pjesë në votim caktohet me short. Në rast se edhe pas votimit të pestë asnjë kandidat nuk siguron shumicën e kërkuar, KDRTSH-ja</w:t>
      </w:r>
      <w:r>
        <w:rPr>
          <w:spacing w:val="-12"/>
          <w:sz w:val="22"/>
        </w:rPr>
        <w:t> </w:t>
      </w:r>
      <w:r>
        <w:rPr>
          <w:sz w:val="22"/>
        </w:rPr>
        <w:t>shpërndahet.</w:t>
      </w:r>
    </w:p>
    <w:p>
      <w:pPr>
        <w:pStyle w:val="BodyText"/>
        <w:spacing w:line="250" w:lineRule="exact"/>
        <w:ind w:left="839" w:firstLine="0"/>
        <w:jc w:val="both"/>
      </w:pPr>
      <w:r>
        <w:rPr/>
        <w:t>3/1. Liron Drejtorin e Përgjithshëm me dy të tretat e votave të të gjithë anëtarëve të tij.</w:t>
      </w:r>
    </w:p>
    <w:p>
      <w:pPr>
        <w:pStyle w:val="ListParagraph"/>
        <w:numPr>
          <w:ilvl w:val="0"/>
          <w:numId w:val="191"/>
        </w:numPr>
        <w:tabs>
          <w:tab w:pos="1097" w:val="left" w:leader="none"/>
        </w:tabs>
        <w:spacing w:line="240" w:lineRule="auto" w:before="1" w:after="0"/>
        <w:ind w:left="119" w:right="115" w:firstLine="720"/>
        <w:jc w:val="both"/>
        <w:rPr>
          <w:sz w:val="22"/>
        </w:rPr>
      </w:pPr>
      <w:r>
        <w:rPr>
          <w:sz w:val="22"/>
        </w:rPr>
        <w:t>Emëron dhe liron Zëvendësdrejtorin e Përgjithshëm dhe drejtorët e subjekteve përbërëse të RTSH-së me shumicë të thjeshtë votash, sipas propozimeve të Drejtorit të Përgjithshëm, jo më vonë se 2 javë pas propozimit të këtij të</w:t>
      </w:r>
      <w:r>
        <w:rPr>
          <w:spacing w:val="-2"/>
          <w:sz w:val="22"/>
        </w:rPr>
        <w:t> </w:t>
      </w:r>
      <w:r>
        <w:rPr>
          <w:sz w:val="22"/>
        </w:rPr>
        <w:t>fundit.</w:t>
      </w:r>
    </w:p>
    <w:p>
      <w:pPr>
        <w:pStyle w:val="ListParagraph"/>
        <w:numPr>
          <w:ilvl w:val="0"/>
          <w:numId w:val="191"/>
        </w:numPr>
        <w:tabs>
          <w:tab w:pos="1061" w:val="left" w:leader="none"/>
        </w:tabs>
        <w:spacing w:line="252" w:lineRule="exact" w:before="0" w:after="0"/>
        <w:ind w:left="1060" w:right="0" w:hanging="222"/>
        <w:jc w:val="both"/>
        <w:rPr>
          <w:sz w:val="22"/>
        </w:rPr>
      </w:pPr>
      <w:r>
        <w:rPr>
          <w:sz w:val="22"/>
        </w:rPr>
        <w:t>Emëron anëtarët e Bordit të Administrimit, të propozuar nga Drejtori i</w:t>
      </w:r>
      <w:r>
        <w:rPr>
          <w:spacing w:val="-11"/>
          <w:sz w:val="22"/>
        </w:rPr>
        <w:t> </w:t>
      </w:r>
      <w:r>
        <w:rPr>
          <w:sz w:val="22"/>
        </w:rPr>
        <w:t>Përgjithshëm.</w:t>
      </w:r>
    </w:p>
    <w:p>
      <w:pPr>
        <w:pStyle w:val="ListParagraph"/>
        <w:numPr>
          <w:ilvl w:val="0"/>
          <w:numId w:val="191"/>
        </w:numPr>
        <w:tabs>
          <w:tab w:pos="1088" w:val="left" w:leader="none"/>
        </w:tabs>
        <w:spacing w:line="252" w:lineRule="exact" w:before="0" w:after="0"/>
        <w:ind w:left="1087" w:right="0" w:hanging="249"/>
        <w:jc w:val="both"/>
        <w:rPr>
          <w:sz w:val="22"/>
        </w:rPr>
      </w:pPr>
      <w:r>
        <w:rPr>
          <w:sz w:val="22"/>
        </w:rPr>
        <w:t>Miraton ngritjen e këshillave të dëgjuesve dhe shikuesve apo komiteteve</w:t>
      </w:r>
      <w:r>
        <w:rPr>
          <w:spacing w:val="-7"/>
          <w:sz w:val="22"/>
        </w:rPr>
        <w:t> </w:t>
      </w:r>
      <w:r>
        <w:rPr>
          <w:sz w:val="22"/>
        </w:rPr>
        <w:t>këshillimore, sipas</w:t>
      </w:r>
    </w:p>
    <w:p>
      <w:pPr>
        <w:pStyle w:val="BodyText"/>
        <w:spacing w:line="252" w:lineRule="exact" w:before="2"/>
        <w:ind w:left="119" w:firstLine="0"/>
      </w:pPr>
      <w:r>
        <w:rPr/>
        <w:t>statutit.</w:t>
      </w:r>
    </w:p>
    <w:p>
      <w:pPr>
        <w:pStyle w:val="ListParagraph"/>
        <w:numPr>
          <w:ilvl w:val="0"/>
          <w:numId w:val="191"/>
        </w:numPr>
        <w:tabs>
          <w:tab w:pos="1092" w:val="left" w:leader="none"/>
        </w:tabs>
        <w:spacing w:line="252" w:lineRule="exact" w:before="0" w:after="0"/>
        <w:ind w:left="1091" w:right="0" w:hanging="253"/>
        <w:jc w:val="left"/>
        <w:rPr>
          <w:sz w:val="22"/>
        </w:rPr>
      </w:pPr>
      <w:r>
        <w:rPr>
          <w:sz w:val="22"/>
        </w:rPr>
        <w:t>Miraton planin strategjik të propozuar nga Drejtori i Përgjithshëm, lidhur me</w:t>
      </w:r>
      <w:r>
        <w:rPr>
          <w:spacing w:val="13"/>
          <w:sz w:val="22"/>
        </w:rPr>
        <w:t> </w:t>
      </w:r>
      <w:r>
        <w:rPr>
          <w:sz w:val="22"/>
        </w:rPr>
        <w:t>përcaktimin e</w:t>
      </w:r>
    </w:p>
    <w:p>
      <w:pPr>
        <w:pStyle w:val="BodyText"/>
        <w:spacing w:before="1"/>
        <w:ind w:left="119" w:right="115" w:firstLine="0"/>
        <w:jc w:val="both"/>
      </w:pPr>
      <w:r>
        <w:rPr/>
        <w:t>shërbimeve të transmetimit, ngritjen e shërbimeve të reja dhe shfrytëzimin e burimeve dhe pasurive të RTSH-së, në përputhje me mundësitë ekzistuese.</w:t>
      </w:r>
    </w:p>
    <w:p>
      <w:pPr>
        <w:pStyle w:val="ListParagraph"/>
        <w:numPr>
          <w:ilvl w:val="0"/>
          <w:numId w:val="191"/>
        </w:numPr>
        <w:tabs>
          <w:tab w:pos="1061" w:val="left" w:leader="none"/>
        </w:tabs>
        <w:spacing w:line="251" w:lineRule="exact" w:before="0" w:after="0"/>
        <w:ind w:left="1060" w:right="0" w:hanging="222"/>
        <w:jc w:val="both"/>
        <w:rPr>
          <w:sz w:val="22"/>
        </w:rPr>
      </w:pPr>
      <w:r>
        <w:rPr>
          <w:sz w:val="22"/>
        </w:rPr>
        <w:t>Miraton platformën, strukturën organizative dhe strukturën programore të</w:t>
      </w:r>
      <w:r>
        <w:rPr>
          <w:spacing w:val="-8"/>
          <w:sz w:val="22"/>
        </w:rPr>
        <w:t> </w:t>
      </w:r>
      <w:r>
        <w:rPr>
          <w:sz w:val="22"/>
        </w:rPr>
        <w:t>RTSH-së.</w:t>
      </w:r>
    </w:p>
    <w:p>
      <w:pPr>
        <w:pStyle w:val="ListParagraph"/>
        <w:numPr>
          <w:ilvl w:val="0"/>
          <w:numId w:val="191"/>
        </w:numPr>
        <w:tabs>
          <w:tab w:pos="1073" w:val="left" w:leader="none"/>
        </w:tabs>
        <w:spacing w:line="240" w:lineRule="auto" w:before="1" w:after="0"/>
        <w:ind w:left="119" w:right="115" w:firstLine="720"/>
        <w:jc w:val="both"/>
        <w:rPr>
          <w:sz w:val="22"/>
        </w:rPr>
      </w:pPr>
      <w:r>
        <w:rPr>
          <w:sz w:val="22"/>
        </w:rPr>
        <w:t>Miraton Deklaratën e Qëllimit të RTSH-së dhe subjekteve përbërëse të tij, sipas përcaktimeve në statut, lidhur me veprimtaritë e propozuara për t’u realizuar gjatë një afati 5-vjeçar për përmbushjen e qëllimeve të shërbimit të transmetimit publik, si dhe deklaratat njëvjeçare në lidhje dhe në përputhje me Deklaratën e</w:t>
      </w:r>
      <w:r>
        <w:rPr>
          <w:spacing w:val="-1"/>
          <w:sz w:val="22"/>
        </w:rPr>
        <w:t> </w:t>
      </w:r>
      <w:r>
        <w:rPr>
          <w:sz w:val="22"/>
        </w:rPr>
        <w:t>Qëllimit.</w:t>
      </w:r>
    </w:p>
    <w:p>
      <w:pPr>
        <w:pStyle w:val="ListParagraph"/>
        <w:numPr>
          <w:ilvl w:val="0"/>
          <w:numId w:val="191"/>
        </w:numPr>
        <w:tabs>
          <w:tab w:pos="1205" w:val="left" w:leader="none"/>
        </w:tabs>
        <w:spacing w:line="240" w:lineRule="auto" w:before="1" w:after="0"/>
        <w:ind w:left="119" w:right="118" w:firstLine="720"/>
        <w:jc w:val="both"/>
        <w:rPr>
          <w:sz w:val="22"/>
        </w:rPr>
      </w:pPr>
      <w:r>
        <w:rPr>
          <w:sz w:val="22"/>
        </w:rPr>
        <w:t>Miraton propozimet për çeljen e kanaleve apo shërbimeve të reja të RTSH-së, para se ky propozim t’i paraqitet</w:t>
      </w:r>
      <w:r>
        <w:rPr>
          <w:spacing w:val="-6"/>
          <w:sz w:val="22"/>
        </w:rPr>
        <w:t> </w:t>
      </w:r>
      <w:r>
        <w:rPr>
          <w:sz w:val="22"/>
        </w:rPr>
        <w:t>AMA-s.</w:t>
      </w:r>
    </w:p>
    <w:p>
      <w:pPr>
        <w:pStyle w:val="ListParagraph"/>
        <w:numPr>
          <w:ilvl w:val="0"/>
          <w:numId w:val="191"/>
        </w:numPr>
        <w:tabs>
          <w:tab w:pos="1172" w:val="left" w:leader="none"/>
        </w:tabs>
        <w:spacing w:line="251" w:lineRule="exact" w:before="0" w:after="0"/>
        <w:ind w:left="1171" w:right="0" w:hanging="333"/>
        <w:jc w:val="both"/>
        <w:rPr>
          <w:sz w:val="22"/>
        </w:rPr>
      </w:pPr>
      <w:r>
        <w:rPr>
          <w:sz w:val="22"/>
        </w:rPr>
        <w:t>Mbikëqyr paanshmërinë, objektivitetin dhe tërësinë e informacionit</w:t>
      </w:r>
      <w:r>
        <w:rPr>
          <w:spacing w:val="-6"/>
          <w:sz w:val="22"/>
        </w:rPr>
        <w:t> </w:t>
      </w:r>
      <w:r>
        <w:rPr>
          <w:sz w:val="22"/>
        </w:rPr>
        <w:t>audioviziv.</w:t>
      </w:r>
    </w:p>
    <w:p>
      <w:pPr>
        <w:pStyle w:val="ListParagraph"/>
        <w:numPr>
          <w:ilvl w:val="0"/>
          <w:numId w:val="191"/>
        </w:numPr>
        <w:tabs>
          <w:tab w:pos="1239" w:val="left" w:leader="none"/>
        </w:tabs>
        <w:spacing w:line="240" w:lineRule="auto" w:before="1" w:after="0"/>
        <w:ind w:left="120" w:right="118" w:firstLine="720"/>
        <w:jc w:val="left"/>
        <w:rPr>
          <w:sz w:val="22"/>
        </w:rPr>
      </w:pPr>
      <w:r>
        <w:rPr>
          <w:sz w:val="22"/>
        </w:rPr>
        <w:t>Miraton kriteret kryesore për marrjen në punë, vlerësimin e punës dhe shpërblimin e punonjësve.</w:t>
      </w:r>
    </w:p>
    <w:p>
      <w:pPr>
        <w:pStyle w:val="ListParagraph"/>
        <w:numPr>
          <w:ilvl w:val="0"/>
          <w:numId w:val="191"/>
        </w:numPr>
        <w:tabs>
          <w:tab w:pos="1222" w:val="left" w:leader="none"/>
        </w:tabs>
        <w:spacing w:line="240" w:lineRule="auto" w:before="1" w:after="0"/>
        <w:ind w:left="120" w:right="117" w:firstLine="720"/>
        <w:jc w:val="left"/>
        <w:rPr>
          <w:sz w:val="22"/>
        </w:rPr>
      </w:pPr>
      <w:r>
        <w:rPr>
          <w:sz w:val="22"/>
        </w:rPr>
        <w:t>Këshillon Drejtorin e Përgjithshëm në lidhje me programet dhe ndihmon në caktimin e normave dhe të koncepteve programore, në përputhje me</w:t>
      </w:r>
      <w:r>
        <w:rPr>
          <w:spacing w:val="-6"/>
          <w:sz w:val="22"/>
        </w:rPr>
        <w:t> </w:t>
      </w:r>
      <w:r>
        <w:rPr>
          <w:sz w:val="22"/>
        </w:rPr>
        <w:t>ligjin.</w:t>
      </w:r>
    </w:p>
    <w:p>
      <w:pPr>
        <w:pStyle w:val="ListParagraph"/>
        <w:numPr>
          <w:ilvl w:val="0"/>
          <w:numId w:val="191"/>
        </w:numPr>
        <w:tabs>
          <w:tab w:pos="1172" w:val="left" w:leader="none"/>
        </w:tabs>
        <w:spacing w:line="251" w:lineRule="exact" w:before="0" w:after="0"/>
        <w:ind w:left="1171" w:right="0" w:hanging="332"/>
        <w:jc w:val="left"/>
        <w:rPr>
          <w:sz w:val="22"/>
        </w:rPr>
      </w:pPr>
      <w:r>
        <w:rPr>
          <w:sz w:val="22"/>
        </w:rPr>
        <w:t>Këshillon dhe ndihmon Drejtorin e Përgjithshëm në realizimin e përgjegjësive të</w:t>
      </w:r>
      <w:r>
        <w:rPr>
          <w:spacing w:val="-10"/>
          <w:sz w:val="22"/>
        </w:rPr>
        <w:t> </w:t>
      </w:r>
      <w:r>
        <w:rPr>
          <w:sz w:val="22"/>
        </w:rPr>
        <w:t>tij.</w:t>
      </w:r>
    </w:p>
    <w:p>
      <w:pPr>
        <w:spacing w:after="0" w:line="251" w:lineRule="exact"/>
        <w:jc w:val="left"/>
        <w:rPr>
          <w:sz w:val="22"/>
        </w:rPr>
        <w:sectPr>
          <w:pgSz w:w="12240" w:h="15840"/>
          <w:pgMar w:top="1360" w:bottom="280" w:left="1320" w:right="1320"/>
        </w:sectPr>
      </w:pPr>
    </w:p>
    <w:p>
      <w:pPr>
        <w:pStyle w:val="ListParagraph"/>
        <w:numPr>
          <w:ilvl w:val="0"/>
          <w:numId w:val="191"/>
        </w:numPr>
        <w:tabs>
          <w:tab w:pos="1213" w:val="left" w:leader="none"/>
        </w:tabs>
        <w:spacing w:line="240" w:lineRule="auto" w:before="74" w:after="0"/>
        <w:ind w:left="120" w:right="113" w:firstLine="720"/>
        <w:jc w:val="both"/>
        <w:rPr>
          <w:sz w:val="22"/>
        </w:rPr>
      </w:pPr>
      <w:r>
        <w:rPr>
          <w:sz w:val="22"/>
        </w:rPr>
        <w:t>Shqyrton dhe miraton kërkesat për transmetime të caktuara, rregullimin e procedurave të arkivimit dhe ruajtjes së arkivave, si dhe miraton rregulloret për porositjen apo marrëveshjet e transmetimit për prodhuesit e pavarur të përmbajtjes dhe programet nga shtetet anëtare të Bashkimit Europian, sipas kërkesave të këtij ligji.</w:t>
      </w:r>
    </w:p>
    <w:p>
      <w:pPr>
        <w:pStyle w:val="ListParagraph"/>
        <w:numPr>
          <w:ilvl w:val="0"/>
          <w:numId w:val="191"/>
        </w:numPr>
        <w:tabs>
          <w:tab w:pos="1193" w:val="left" w:leader="none"/>
        </w:tabs>
        <w:spacing w:line="240" w:lineRule="auto" w:before="0" w:after="0"/>
        <w:ind w:left="119" w:right="113" w:firstLine="720"/>
        <w:jc w:val="both"/>
        <w:rPr>
          <w:sz w:val="22"/>
        </w:rPr>
      </w:pPr>
      <w:r>
        <w:rPr>
          <w:sz w:val="22"/>
        </w:rPr>
        <w:t>Shqyrton dhe miraton buxhetin vjetor, kontratat me vlerë mbi 1 për qind të buxhetit vjetor, huatë, qiratë dhe raportet ekonomiko-financiare të RTSH-së, si dhe çdo propozim për hyrjen në marrëdhënie</w:t>
      </w:r>
      <w:r>
        <w:rPr>
          <w:spacing w:val="-1"/>
          <w:sz w:val="22"/>
        </w:rPr>
        <w:t> </w:t>
      </w:r>
      <w:r>
        <w:rPr>
          <w:sz w:val="22"/>
        </w:rPr>
        <w:t>ekonomiko-civile.</w:t>
      </w:r>
    </w:p>
    <w:p>
      <w:pPr>
        <w:pStyle w:val="ListParagraph"/>
        <w:numPr>
          <w:ilvl w:val="0"/>
          <w:numId w:val="191"/>
        </w:numPr>
        <w:tabs>
          <w:tab w:pos="1231" w:val="left" w:leader="none"/>
        </w:tabs>
        <w:spacing w:line="240" w:lineRule="auto" w:before="0" w:after="0"/>
        <w:ind w:left="119" w:right="114" w:firstLine="720"/>
        <w:jc w:val="both"/>
        <w:rPr>
          <w:sz w:val="22"/>
        </w:rPr>
      </w:pPr>
      <w:r>
        <w:rPr>
          <w:sz w:val="22"/>
        </w:rPr>
        <w:t>Shqyrton dhe miraton huamarrjet para se t’i dërgohet për marrje mendimi Ministrit të Financave.</w:t>
      </w:r>
    </w:p>
    <w:p>
      <w:pPr>
        <w:pStyle w:val="ListParagraph"/>
        <w:numPr>
          <w:ilvl w:val="0"/>
          <w:numId w:val="191"/>
        </w:numPr>
        <w:tabs>
          <w:tab w:pos="1181" w:val="left" w:leader="none"/>
        </w:tabs>
        <w:spacing w:line="240" w:lineRule="auto" w:before="0" w:after="0"/>
        <w:ind w:left="119" w:right="116" w:firstLine="720"/>
        <w:jc w:val="both"/>
        <w:rPr>
          <w:sz w:val="22"/>
        </w:rPr>
      </w:pPr>
      <w:r>
        <w:rPr>
          <w:sz w:val="22"/>
        </w:rPr>
        <w:t>Harton raport për veprimtarinë vjetore të RTSH-së, në përputhje me kërkesat e këtij neni dhe ia paraqet atë Kuvendit në fund të muajit mars të çdo viti për vitin</w:t>
      </w:r>
      <w:r>
        <w:rPr>
          <w:spacing w:val="-9"/>
          <w:sz w:val="22"/>
        </w:rPr>
        <w:t> </w:t>
      </w:r>
      <w:r>
        <w:rPr>
          <w:sz w:val="22"/>
        </w:rPr>
        <w:t>paraardhës.</w:t>
      </w:r>
    </w:p>
    <w:p>
      <w:pPr>
        <w:pStyle w:val="BodyText"/>
        <w:spacing w:before="10"/>
        <w:ind w:left="0" w:firstLine="0"/>
        <w:rPr>
          <w:sz w:val="21"/>
        </w:rPr>
      </w:pPr>
    </w:p>
    <w:p>
      <w:pPr>
        <w:pStyle w:val="BodyText"/>
        <w:spacing w:before="1"/>
        <w:ind w:left="146" w:right="146" w:firstLine="0"/>
        <w:jc w:val="center"/>
      </w:pPr>
      <w:r>
        <w:rPr/>
        <w:t>Neni 103</w:t>
      </w:r>
    </w:p>
    <w:p>
      <w:pPr>
        <w:pStyle w:val="Heading1"/>
        <w:spacing w:before="3"/>
      </w:pPr>
      <w:r>
        <w:rPr/>
        <w:t>Drejtori i Përgjithshëm i RTSH-së</w:t>
      </w:r>
    </w:p>
    <w:p>
      <w:pPr>
        <w:pStyle w:val="BodyText"/>
        <w:spacing w:before="7"/>
        <w:ind w:left="0" w:firstLine="0"/>
        <w:rPr>
          <w:b/>
          <w:sz w:val="21"/>
        </w:rPr>
      </w:pPr>
    </w:p>
    <w:p>
      <w:pPr>
        <w:pStyle w:val="ListParagraph"/>
        <w:numPr>
          <w:ilvl w:val="0"/>
          <w:numId w:val="193"/>
        </w:numPr>
        <w:tabs>
          <w:tab w:pos="1107" w:val="left" w:leader="none"/>
        </w:tabs>
        <w:spacing w:line="240" w:lineRule="auto" w:before="0" w:after="0"/>
        <w:ind w:left="119" w:right="115" w:firstLine="720"/>
        <w:jc w:val="left"/>
        <w:rPr>
          <w:sz w:val="22"/>
        </w:rPr>
      </w:pPr>
      <w:r>
        <w:rPr>
          <w:sz w:val="22"/>
        </w:rPr>
        <w:t>Drejtori i Përgjithshëm i RTSH-së drejton dhe kontrollon administrimin e veprimtarisë së RTSH-së, si dhe mban përgjegjësinë editoriale të</w:t>
      </w:r>
      <w:r>
        <w:rPr>
          <w:spacing w:val="-4"/>
          <w:sz w:val="22"/>
        </w:rPr>
        <w:t> </w:t>
      </w:r>
      <w:r>
        <w:rPr>
          <w:sz w:val="22"/>
        </w:rPr>
        <w:t>saj.</w:t>
      </w:r>
    </w:p>
    <w:p>
      <w:pPr>
        <w:pStyle w:val="ListParagraph"/>
        <w:numPr>
          <w:ilvl w:val="0"/>
          <w:numId w:val="193"/>
        </w:numPr>
        <w:tabs>
          <w:tab w:pos="1106" w:val="left" w:leader="none"/>
        </w:tabs>
        <w:spacing w:line="240" w:lineRule="auto" w:before="1" w:after="0"/>
        <w:ind w:left="119" w:right="116" w:firstLine="720"/>
        <w:jc w:val="left"/>
        <w:rPr>
          <w:sz w:val="22"/>
        </w:rPr>
      </w:pPr>
      <w:r>
        <w:rPr>
          <w:sz w:val="22"/>
        </w:rPr>
        <w:t>Drejtori i Përgjithshëm i RTSH-së zgjidhet me votim të fshehtë nga KDRTSH-ja për një periudhë 5-vjeçare ndërmjet jo më pak se 2</w:t>
      </w:r>
      <w:r>
        <w:rPr>
          <w:spacing w:val="-10"/>
          <w:sz w:val="22"/>
        </w:rPr>
        <w:t> </w:t>
      </w:r>
      <w:r>
        <w:rPr>
          <w:sz w:val="22"/>
        </w:rPr>
        <w:t>kandidaturave.</w:t>
      </w:r>
    </w:p>
    <w:p>
      <w:pPr>
        <w:pStyle w:val="ListParagraph"/>
        <w:numPr>
          <w:ilvl w:val="0"/>
          <w:numId w:val="193"/>
        </w:numPr>
        <w:tabs>
          <w:tab w:pos="1094" w:val="left" w:leader="none"/>
        </w:tabs>
        <w:spacing w:line="240" w:lineRule="auto" w:before="0" w:after="0"/>
        <w:ind w:left="119" w:right="116" w:firstLine="720"/>
        <w:jc w:val="left"/>
        <w:rPr>
          <w:sz w:val="22"/>
        </w:rPr>
      </w:pPr>
      <w:r>
        <w:rPr>
          <w:sz w:val="22"/>
        </w:rPr>
        <w:t>Përzgjedhja e kandidaturave bëhet nga KDRTSH-ja, mbi bazën e konkurrimit të hapur dhe kritereve të përcaktuara në statutin e</w:t>
      </w:r>
      <w:r>
        <w:rPr>
          <w:spacing w:val="-5"/>
          <w:sz w:val="22"/>
        </w:rPr>
        <w:t> </w:t>
      </w:r>
      <w:r>
        <w:rPr>
          <w:sz w:val="22"/>
        </w:rPr>
        <w:t>RTSH-së.</w:t>
      </w:r>
    </w:p>
    <w:p>
      <w:pPr>
        <w:pStyle w:val="BodyText"/>
        <w:spacing w:before="11"/>
        <w:ind w:left="0" w:firstLine="0"/>
        <w:rPr>
          <w:sz w:val="21"/>
        </w:rPr>
      </w:pPr>
    </w:p>
    <w:p>
      <w:pPr>
        <w:pStyle w:val="BodyText"/>
        <w:ind w:left="146" w:right="147" w:firstLine="0"/>
        <w:jc w:val="center"/>
      </w:pPr>
      <w:r>
        <w:rPr/>
        <w:t>Neni 104</w:t>
      </w:r>
    </w:p>
    <w:p>
      <w:pPr>
        <w:pStyle w:val="Heading1"/>
        <w:ind w:left="145" w:right="147"/>
      </w:pPr>
      <w:r>
        <w:rPr/>
        <w:t>Papajtueshmëritë dhe konflikti i interesave të Drejtorit të Përgjithshëm të RTSH-së</w:t>
      </w:r>
    </w:p>
    <w:p>
      <w:pPr>
        <w:pStyle w:val="BodyText"/>
        <w:spacing w:before="6"/>
        <w:ind w:left="0" w:firstLine="0"/>
        <w:rPr>
          <w:b/>
          <w:sz w:val="21"/>
        </w:rPr>
      </w:pPr>
    </w:p>
    <w:p>
      <w:pPr>
        <w:pStyle w:val="ListParagraph"/>
        <w:numPr>
          <w:ilvl w:val="0"/>
          <w:numId w:val="194"/>
        </w:numPr>
        <w:tabs>
          <w:tab w:pos="1060" w:val="left" w:leader="none"/>
        </w:tabs>
        <w:spacing w:line="240" w:lineRule="auto" w:before="1" w:after="0"/>
        <w:ind w:left="1059" w:right="0" w:hanging="221"/>
        <w:jc w:val="both"/>
        <w:rPr>
          <w:sz w:val="22"/>
        </w:rPr>
      </w:pPr>
      <w:r>
        <w:rPr>
          <w:sz w:val="22"/>
        </w:rPr>
        <w:t>Drejtori i Përgjithshëm i RTSH-së nuk</w:t>
      </w:r>
      <w:r>
        <w:rPr>
          <w:spacing w:val="-11"/>
          <w:sz w:val="22"/>
        </w:rPr>
        <w:t> </w:t>
      </w:r>
      <w:r>
        <w:rPr>
          <w:sz w:val="22"/>
        </w:rPr>
        <w:t>lejohet:</w:t>
      </w:r>
    </w:p>
    <w:p>
      <w:pPr>
        <w:pStyle w:val="ListParagraph"/>
        <w:numPr>
          <w:ilvl w:val="0"/>
          <w:numId w:val="195"/>
        </w:numPr>
        <w:tabs>
          <w:tab w:pos="1082" w:val="left" w:leader="none"/>
        </w:tabs>
        <w:spacing w:line="240" w:lineRule="auto" w:before="1" w:after="0"/>
        <w:ind w:left="119" w:right="115" w:firstLine="720"/>
        <w:jc w:val="both"/>
        <w:rPr>
          <w:sz w:val="22"/>
        </w:rPr>
      </w:pPr>
      <w:r>
        <w:rPr>
          <w:sz w:val="22"/>
        </w:rPr>
        <w:t>të jetë anëtar i partive dhe shoqatave politike, kandidat për deputet apo të jetë zgjedhur i tillë gjatë 2 legjislaturave të fundit, të ketë konkurruar për kryetar të njësive vendore në zgjedhjet e fundit të organizuara për to apo kanë ushtruar detyrën e kryetarit të bashkisë, anëtarit të Këshillit të Ministrave apo të prefektit gjatë 3 vjetëve të fundit, si dhe ata që janë anëtarë të Këshillit të Ankesave, AKEP-it apo punonjës të këtij të</w:t>
      </w:r>
      <w:r>
        <w:rPr>
          <w:spacing w:val="-4"/>
          <w:sz w:val="22"/>
        </w:rPr>
        <w:t> </w:t>
      </w:r>
      <w:r>
        <w:rPr>
          <w:sz w:val="22"/>
        </w:rPr>
        <w:t>fundit;</w:t>
      </w:r>
    </w:p>
    <w:p>
      <w:pPr>
        <w:pStyle w:val="ListParagraph"/>
        <w:numPr>
          <w:ilvl w:val="0"/>
          <w:numId w:val="195"/>
        </w:numPr>
        <w:tabs>
          <w:tab w:pos="1089" w:val="left" w:leader="none"/>
        </w:tabs>
        <w:spacing w:line="240" w:lineRule="auto" w:before="0" w:after="0"/>
        <w:ind w:left="119" w:right="113" w:firstLine="720"/>
        <w:jc w:val="both"/>
        <w:rPr>
          <w:sz w:val="22"/>
        </w:rPr>
      </w:pPr>
      <w:r>
        <w:rPr>
          <w:sz w:val="22"/>
        </w:rPr>
        <w:t>të jetë person i lidhur, sipas përcaktimeve të ligjit nr. 9367, datë 7.4.2005 “Për parandalimin e konfliktit të interesave në ushtrimin e funksioneve publike” ose që ka në pronësi pjesë kapitali apo aksione të shoqërive tregtare, si dhe të drejta të tjera në fushën e transmetimeve audiovizive, reklamës, prodhimeve të përmbajtjes së transmetimeve audiovizive, rrjeteve të komunikimit elektronik apo persona të punësuar gjatë vitit të fundit, anëtarë të organeve drejtuese apo këshilluese të këtyre subjekteve apo të lidhur me ndonjë licencë me këto subjekte.</w:t>
      </w:r>
    </w:p>
    <w:p>
      <w:pPr>
        <w:pStyle w:val="ListParagraph"/>
        <w:numPr>
          <w:ilvl w:val="0"/>
          <w:numId w:val="194"/>
        </w:numPr>
        <w:tabs>
          <w:tab w:pos="1070" w:val="left" w:leader="none"/>
        </w:tabs>
        <w:spacing w:line="240" w:lineRule="auto" w:before="0" w:after="0"/>
        <w:ind w:left="118" w:right="116" w:firstLine="720"/>
        <w:jc w:val="both"/>
        <w:rPr>
          <w:sz w:val="22"/>
        </w:rPr>
      </w:pPr>
      <w:r>
        <w:rPr>
          <w:sz w:val="22"/>
        </w:rPr>
        <w:t>Drejtori i Përgjithshëm i RTSH-së nuk lejohet të kryejë ndonjë detyrë, veprimtari fitimprurëse ose të jetë i lidhur në ndonjë marrëdhënie punësimi të dytë gjatë kohës që është në</w:t>
      </w:r>
      <w:r>
        <w:rPr>
          <w:spacing w:val="-14"/>
          <w:sz w:val="22"/>
        </w:rPr>
        <w:t> </w:t>
      </w:r>
      <w:r>
        <w:rPr>
          <w:sz w:val="22"/>
        </w:rPr>
        <w:t>detyrë.</w:t>
      </w:r>
    </w:p>
    <w:p>
      <w:pPr>
        <w:pStyle w:val="BodyText"/>
        <w:spacing w:before="9"/>
        <w:ind w:left="0" w:firstLine="0"/>
        <w:rPr>
          <w:sz w:val="21"/>
        </w:rPr>
      </w:pPr>
    </w:p>
    <w:p>
      <w:pPr>
        <w:pStyle w:val="BodyText"/>
        <w:ind w:left="146" w:right="146" w:firstLine="0"/>
        <w:jc w:val="center"/>
      </w:pPr>
      <w:r>
        <w:rPr/>
        <w:t>Neni 105</w:t>
      </w:r>
    </w:p>
    <w:p>
      <w:pPr>
        <w:pStyle w:val="Heading1"/>
        <w:spacing w:before="6"/>
      </w:pPr>
      <w:r>
        <w:rPr/>
        <w:t>Detyrat e Drejtorit të Përgjithshëm të RTSH-së</w:t>
      </w:r>
    </w:p>
    <w:p>
      <w:pPr>
        <w:pStyle w:val="BodyText"/>
        <w:spacing w:before="8"/>
        <w:ind w:left="0" w:firstLine="0"/>
        <w:rPr>
          <w:b/>
          <w:sz w:val="13"/>
        </w:rPr>
      </w:pPr>
    </w:p>
    <w:p>
      <w:pPr>
        <w:spacing w:after="0"/>
        <w:rPr>
          <w:sz w:val="13"/>
        </w:rPr>
        <w:sectPr>
          <w:pgSz w:w="12240" w:h="15840"/>
          <w:pgMar w:top="1360" w:bottom="280" w:left="1320" w:right="1320"/>
        </w:sectPr>
      </w:pPr>
    </w:p>
    <w:p>
      <w:pPr>
        <w:pStyle w:val="BodyText"/>
        <w:ind w:left="0" w:firstLine="0"/>
        <w:rPr>
          <w:b/>
          <w:sz w:val="24"/>
        </w:rPr>
      </w:pPr>
    </w:p>
    <w:p>
      <w:pPr>
        <w:pStyle w:val="BodyText"/>
        <w:spacing w:before="9"/>
        <w:ind w:left="0" w:firstLine="0"/>
        <w:rPr>
          <w:b/>
          <w:sz w:val="27"/>
        </w:rPr>
      </w:pPr>
    </w:p>
    <w:p>
      <w:pPr>
        <w:pStyle w:val="BodyText"/>
        <w:ind w:left="118" w:firstLine="0"/>
      </w:pPr>
      <w:r>
        <w:rPr/>
        <w:t>së;</w:t>
      </w:r>
    </w:p>
    <w:p>
      <w:pPr>
        <w:pStyle w:val="ListParagraph"/>
        <w:numPr>
          <w:ilvl w:val="0"/>
          <w:numId w:val="196"/>
        </w:numPr>
        <w:tabs>
          <w:tab w:pos="340" w:val="left" w:leader="none"/>
        </w:tabs>
        <w:spacing w:line="252" w:lineRule="exact" w:before="91" w:after="0"/>
        <w:ind w:left="339" w:right="0" w:hanging="222"/>
        <w:jc w:val="left"/>
        <w:rPr>
          <w:sz w:val="22"/>
        </w:rPr>
      </w:pPr>
      <w:r>
        <w:rPr>
          <w:spacing w:val="-2"/>
          <w:w w:val="100"/>
          <w:sz w:val="22"/>
        </w:rPr>
        <w:br w:type="column"/>
      </w:r>
      <w:r>
        <w:rPr>
          <w:sz w:val="22"/>
        </w:rPr>
        <w:t>Drejtori i Përgjithshëm i</w:t>
      </w:r>
      <w:r>
        <w:rPr>
          <w:spacing w:val="-8"/>
          <w:sz w:val="22"/>
        </w:rPr>
        <w:t> </w:t>
      </w:r>
      <w:r>
        <w:rPr>
          <w:sz w:val="22"/>
        </w:rPr>
        <w:t>RTSH-së:</w:t>
      </w:r>
    </w:p>
    <w:p>
      <w:pPr>
        <w:pStyle w:val="ListParagraph"/>
        <w:numPr>
          <w:ilvl w:val="0"/>
          <w:numId w:val="197"/>
        </w:numPr>
        <w:tabs>
          <w:tab w:pos="355" w:val="left" w:leader="none"/>
        </w:tabs>
        <w:spacing w:line="252" w:lineRule="exact" w:before="0" w:after="0"/>
        <w:ind w:left="354" w:right="0" w:hanging="237"/>
        <w:jc w:val="left"/>
        <w:rPr>
          <w:sz w:val="22"/>
        </w:rPr>
      </w:pPr>
      <w:r>
        <w:rPr>
          <w:sz w:val="22"/>
        </w:rPr>
        <w:t>drejton</w:t>
      </w:r>
      <w:r>
        <w:rPr>
          <w:spacing w:val="5"/>
          <w:sz w:val="22"/>
        </w:rPr>
        <w:t> </w:t>
      </w:r>
      <w:r>
        <w:rPr>
          <w:sz w:val="22"/>
        </w:rPr>
        <w:t>veprimtarinë</w:t>
      </w:r>
      <w:r>
        <w:rPr>
          <w:spacing w:val="5"/>
          <w:sz w:val="22"/>
        </w:rPr>
        <w:t> </w:t>
      </w:r>
      <w:r>
        <w:rPr>
          <w:sz w:val="22"/>
        </w:rPr>
        <w:t>e</w:t>
      </w:r>
      <w:r>
        <w:rPr>
          <w:spacing w:val="6"/>
          <w:sz w:val="22"/>
        </w:rPr>
        <w:t> </w:t>
      </w:r>
      <w:r>
        <w:rPr>
          <w:sz w:val="22"/>
        </w:rPr>
        <w:t>RTSH-së,</w:t>
      </w:r>
      <w:r>
        <w:rPr>
          <w:spacing w:val="5"/>
          <w:sz w:val="22"/>
        </w:rPr>
        <w:t> </w:t>
      </w:r>
      <w:r>
        <w:rPr>
          <w:sz w:val="22"/>
        </w:rPr>
        <w:t>në</w:t>
      </w:r>
      <w:r>
        <w:rPr>
          <w:spacing w:val="5"/>
          <w:sz w:val="22"/>
        </w:rPr>
        <w:t> </w:t>
      </w:r>
      <w:r>
        <w:rPr>
          <w:sz w:val="22"/>
        </w:rPr>
        <w:t>përputhje</w:t>
      </w:r>
      <w:r>
        <w:rPr>
          <w:spacing w:val="6"/>
          <w:sz w:val="22"/>
        </w:rPr>
        <w:t> </w:t>
      </w:r>
      <w:r>
        <w:rPr>
          <w:sz w:val="22"/>
        </w:rPr>
        <w:t>me</w:t>
      </w:r>
      <w:r>
        <w:rPr>
          <w:spacing w:val="5"/>
          <w:sz w:val="22"/>
        </w:rPr>
        <w:t> </w:t>
      </w:r>
      <w:r>
        <w:rPr>
          <w:sz w:val="22"/>
        </w:rPr>
        <w:t>kërkesat</w:t>
      </w:r>
      <w:r>
        <w:rPr>
          <w:spacing w:val="4"/>
          <w:sz w:val="22"/>
        </w:rPr>
        <w:t> </w:t>
      </w:r>
      <w:r>
        <w:rPr>
          <w:sz w:val="22"/>
        </w:rPr>
        <w:t>e</w:t>
      </w:r>
      <w:r>
        <w:rPr>
          <w:spacing w:val="6"/>
          <w:sz w:val="22"/>
        </w:rPr>
        <w:t> </w:t>
      </w:r>
      <w:r>
        <w:rPr>
          <w:sz w:val="22"/>
        </w:rPr>
        <w:t>këtij</w:t>
      </w:r>
      <w:r>
        <w:rPr>
          <w:spacing w:val="6"/>
          <w:sz w:val="22"/>
        </w:rPr>
        <w:t> </w:t>
      </w:r>
      <w:r>
        <w:rPr>
          <w:sz w:val="22"/>
        </w:rPr>
        <w:t>ligji</w:t>
      </w:r>
      <w:r>
        <w:rPr>
          <w:spacing w:val="6"/>
          <w:sz w:val="22"/>
        </w:rPr>
        <w:t> </w:t>
      </w:r>
      <w:r>
        <w:rPr>
          <w:sz w:val="22"/>
        </w:rPr>
        <w:t>dhe</w:t>
      </w:r>
      <w:r>
        <w:rPr>
          <w:spacing w:val="6"/>
          <w:sz w:val="22"/>
        </w:rPr>
        <w:t> </w:t>
      </w:r>
      <w:r>
        <w:rPr>
          <w:sz w:val="22"/>
        </w:rPr>
        <w:t>të</w:t>
      </w:r>
      <w:r>
        <w:rPr>
          <w:spacing w:val="5"/>
          <w:sz w:val="22"/>
        </w:rPr>
        <w:t> </w:t>
      </w:r>
      <w:r>
        <w:rPr>
          <w:sz w:val="22"/>
        </w:rPr>
        <w:t>statutit</w:t>
      </w:r>
      <w:r>
        <w:rPr>
          <w:spacing w:val="4"/>
          <w:sz w:val="22"/>
        </w:rPr>
        <w:t> </w:t>
      </w:r>
      <w:r>
        <w:rPr>
          <w:sz w:val="22"/>
        </w:rPr>
        <w:t>të</w:t>
      </w:r>
      <w:r>
        <w:rPr>
          <w:spacing w:val="6"/>
          <w:sz w:val="22"/>
        </w:rPr>
        <w:t> </w:t>
      </w:r>
      <w:r>
        <w:rPr>
          <w:sz w:val="22"/>
        </w:rPr>
        <w:t>RTSH-</w:t>
      </w:r>
    </w:p>
    <w:p>
      <w:pPr>
        <w:pStyle w:val="BodyText"/>
        <w:spacing w:before="1"/>
        <w:ind w:left="0" w:firstLine="0"/>
      </w:pPr>
    </w:p>
    <w:p>
      <w:pPr>
        <w:pStyle w:val="ListParagraph"/>
        <w:numPr>
          <w:ilvl w:val="0"/>
          <w:numId w:val="197"/>
        </w:numPr>
        <w:tabs>
          <w:tab w:pos="376" w:val="left" w:leader="none"/>
        </w:tabs>
        <w:spacing w:line="240" w:lineRule="auto" w:before="0" w:after="0"/>
        <w:ind w:left="375" w:right="0" w:hanging="258"/>
        <w:jc w:val="left"/>
        <w:rPr>
          <w:sz w:val="22"/>
        </w:rPr>
      </w:pPr>
      <w:r>
        <w:rPr>
          <w:sz w:val="22"/>
        </w:rPr>
        <w:t>me</w:t>
      </w:r>
      <w:r>
        <w:rPr>
          <w:spacing w:val="15"/>
          <w:sz w:val="22"/>
        </w:rPr>
        <w:t> </w:t>
      </w:r>
      <w:r>
        <w:rPr>
          <w:sz w:val="22"/>
        </w:rPr>
        <w:t>kërkesë</w:t>
      </w:r>
      <w:r>
        <w:rPr>
          <w:spacing w:val="16"/>
          <w:sz w:val="22"/>
        </w:rPr>
        <w:t> </w:t>
      </w:r>
      <w:r>
        <w:rPr>
          <w:sz w:val="22"/>
        </w:rPr>
        <w:t>të</w:t>
      </w:r>
      <w:r>
        <w:rPr>
          <w:spacing w:val="10"/>
          <w:sz w:val="22"/>
        </w:rPr>
        <w:t> </w:t>
      </w:r>
      <w:r>
        <w:rPr>
          <w:sz w:val="22"/>
        </w:rPr>
        <w:t>KDRTSH-së,</w:t>
      </w:r>
      <w:r>
        <w:rPr>
          <w:spacing w:val="15"/>
          <w:sz w:val="22"/>
        </w:rPr>
        <w:t> </w:t>
      </w:r>
      <w:r>
        <w:rPr>
          <w:sz w:val="22"/>
        </w:rPr>
        <w:t>informon</w:t>
      </w:r>
      <w:r>
        <w:rPr>
          <w:spacing w:val="15"/>
          <w:sz w:val="22"/>
        </w:rPr>
        <w:t> </w:t>
      </w:r>
      <w:r>
        <w:rPr>
          <w:sz w:val="22"/>
        </w:rPr>
        <w:t>këtë</w:t>
      </w:r>
      <w:r>
        <w:rPr>
          <w:spacing w:val="13"/>
          <w:sz w:val="22"/>
        </w:rPr>
        <w:t> </w:t>
      </w:r>
      <w:r>
        <w:rPr>
          <w:sz w:val="22"/>
        </w:rPr>
        <w:t>të</w:t>
      </w:r>
      <w:r>
        <w:rPr>
          <w:spacing w:val="14"/>
          <w:sz w:val="22"/>
        </w:rPr>
        <w:t> </w:t>
      </w:r>
      <w:r>
        <w:rPr>
          <w:sz w:val="22"/>
        </w:rPr>
        <w:t>fundit</w:t>
      </w:r>
      <w:r>
        <w:rPr>
          <w:spacing w:val="16"/>
          <w:sz w:val="22"/>
        </w:rPr>
        <w:t> </w:t>
      </w:r>
      <w:r>
        <w:rPr>
          <w:sz w:val="22"/>
        </w:rPr>
        <w:t>lidhur</w:t>
      </w:r>
      <w:r>
        <w:rPr>
          <w:spacing w:val="16"/>
          <w:sz w:val="22"/>
        </w:rPr>
        <w:t> </w:t>
      </w:r>
      <w:r>
        <w:rPr>
          <w:sz w:val="22"/>
        </w:rPr>
        <w:t>me</w:t>
      </w:r>
      <w:r>
        <w:rPr>
          <w:spacing w:val="15"/>
          <w:sz w:val="22"/>
        </w:rPr>
        <w:t> </w:t>
      </w:r>
      <w:r>
        <w:rPr>
          <w:sz w:val="22"/>
        </w:rPr>
        <w:t>çdo</w:t>
      </w:r>
      <w:r>
        <w:rPr>
          <w:spacing w:val="13"/>
          <w:sz w:val="22"/>
        </w:rPr>
        <w:t> </w:t>
      </w:r>
      <w:r>
        <w:rPr>
          <w:sz w:val="22"/>
        </w:rPr>
        <w:t>informacion</w:t>
      </w:r>
      <w:r>
        <w:rPr>
          <w:spacing w:val="15"/>
          <w:sz w:val="22"/>
        </w:rPr>
        <w:t> </w:t>
      </w:r>
      <w:r>
        <w:rPr>
          <w:sz w:val="22"/>
        </w:rPr>
        <w:t>të</w:t>
      </w:r>
      <w:r>
        <w:rPr>
          <w:spacing w:val="13"/>
          <w:sz w:val="22"/>
        </w:rPr>
        <w:t> </w:t>
      </w:r>
      <w:r>
        <w:rPr>
          <w:sz w:val="22"/>
        </w:rPr>
        <w:t>nevojshëm</w:t>
      </w:r>
    </w:p>
    <w:p>
      <w:pPr>
        <w:spacing w:after="0" w:line="240" w:lineRule="auto"/>
        <w:jc w:val="left"/>
        <w:rPr>
          <w:sz w:val="22"/>
        </w:rPr>
        <w:sectPr>
          <w:type w:val="continuous"/>
          <w:pgSz w:w="12240" w:h="15840"/>
          <w:pgMar w:top="1360" w:bottom="280" w:left="1320" w:right="1320"/>
          <w:cols w:num="2" w:equalWidth="0">
            <w:col w:w="406" w:space="314"/>
            <w:col w:w="8880"/>
          </w:cols>
        </w:sectPr>
      </w:pPr>
    </w:p>
    <w:p>
      <w:pPr>
        <w:pStyle w:val="BodyText"/>
        <w:spacing w:line="252" w:lineRule="exact"/>
        <w:ind w:left="118" w:firstLine="0"/>
      </w:pPr>
      <w:r>
        <w:rPr/>
        <w:t>në lidhje me funksionet e tij dhe funksionimin e RTSH-së;</w:t>
      </w:r>
    </w:p>
    <w:p>
      <w:pPr>
        <w:pStyle w:val="ListParagraph"/>
        <w:numPr>
          <w:ilvl w:val="0"/>
          <w:numId w:val="197"/>
        </w:numPr>
        <w:tabs>
          <w:tab w:pos="1111" w:val="left" w:leader="none"/>
        </w:tabs>
        <w:spacing w:line="240" w:lineRule="auto" w:before="1" w:after="0"/>
        <w:ind w:left="118" w:right="115" w:firstLine="720"/>
        <w:jc w:val="left"/>
        <w:rPr>
          <w:sz w:val="22"/>
        </w:rPr>
      </w:pPr>
      <w:r>
        <w:rPr>
          <w:sz w:val="22"/>
        </w:rPr>
        <w:t>emëron, liron apo shkarkon nga detyra, vetë ose me propozim të drejtorëve të subjekteve përbërëse të RTSH-së, drejtuesit e departamenteve dhe të</w:t>
      </w:r>
      <w:r>
        <w:rPr>
          <w:spacing w:val="-4"/>
          <w:sz w:val="22"/>
        </w:rPr>
        <w:t> </w:t>
      </w:r>
      <w:r>
        <w:rPr>
          <w:sz w:val="22"/>
        </w:rPr>
        <w:t>sektorëve;</w:t>
      </w:r>
    </w:p>
    <w:p>
      <w:pPr>
        <w:pStyle w:val="BodyText"/>
        <w:spacing w:line="251" w:lineRule="exact"/>
        <w:ind w:left="838" w:firstLine="0"/>
      </w:pPr>
      <w:r>
        <w:rPr/>
        <w:t>ç) përgjigjet për programet, në mënyrë që ato të jenë në përputhje me parimet e programimit, të</w:t>
      </w:r>
    </w:p>
    <w:p>
      <w:pPr>
        <w:spacing w:after="0" w:line="251" w:lineRule="exact"/>
        <w:sectPr>
          <w:type w:val="continuous"/>
          <w:pgSz w:w="12240" w:h="15840"/>
          <w:pgMar w:top="1360" w:bottom="280" w:left="1320" w:right="1320"/>
        </w:sectPr>
      </w:pPr>
    </w:p>
    <w:p>
      <w:pPr>
        <w:pStyle w:val="BodyText"/>
        <w:spacing w:line="252" w:lineRule="exact" w:before="74"/>
        <w:ind w:firstLine="0"/>
        <w:jc w:val="both"/>
      </w:pPr>
      <w:r>
        <w:rPr/>
        <w:t>vendosura me këtë ligj, në Deklaratën e Qëllimit dhe në statut;</w:t>
      </w:r>
    </w:p>
    <w:p>
      <w:pPr>
        <w:pStyle w:val="ListParagraph"/>
        <w:numPr>
          <w:ilvl w:val="0"/>
          <w:numId w:val="197"/>
        </w:numPr>
        <w:tabs>
          <w:tab w:pos="1150" w:val="left" w:leader="none"/>
        </w:tabs>
        <w:spacing w:line="240" w:lineRule="auto" w:before="0" w:after="0"/>
        <w:ind w:left="120" w:right="114" w:firstLine="720"/>
        <w:jc w:val="both"/>
        <w:rPr>
          <w:sz w:val="22"/>
        </w:rPr>
      </w:pPr>
      <w:r>
        <w:rPr>
          <w:sz w:val="22"/>
        </w:rPr>
        <w:t>merr vendime që lidhen me çështje të organizimit, financave dhe pagave, pasi të jetë konsultuar me Bordin e Administrimit, në bazë të kritereve të përcaktuara nga</w:t>
      </w:r>
      <w:r>
        <w:rPr>
          <w:spacing w:val="-11"/>
          <w:sz w:val="22"/>
        </w:rPr>
        <w:t> </w:t>
      </w:r>
      <w:r>
        <w:rPr>
          <w:sz w:val="22"/>
        </w:rPr>
        <w:t>KDRTSH-ja;</w:t>
      </w:r>
    </w:p>
    <w:p>
      <w:pPr>
        <w:pStyle w:val="BodyText"/>
        <w:ind w:left="840" w:firstLine="0"/>
        <w:jc w:val="both"/>
      </w:pPr>
      <w:r>
        <w:rPr/>
        <w:t>dh) përfaqëson zyrtarisht RTSH-në në marrëdhëniet me të</w:t>
      </w:r>
      <w:r>
        <w:rPr>
          <w:spacing w:val="-19"/>
        </w:rPr>
        <w:t> </w:t>
      </w:r>
      <w:r>
        <w:rPr/>
        <w:t>tretët;</w:t>
      </w:r>
    </w:p>
    <w:p>
      <w:pPr>
        <w:pStyle w:val="ListParagraph"/>
        <w:numPr>
          <w:ilvl w:val="0"/>
          <w:numId w:val="197"/>
        </w:numPr>
        <w:tabs>
          <w:tab w:pos="1069" w:val="left" w:leader="none"/>
        </w:tabs>
        <w:spacing w:line="252" w:lineRule="exact" w:before="1" w:after="0"/>
        <w:ind w:left="1068" w:right="0" w:hanging="229"/>
        <w:jc w:val="both"/>
        <w:rPr>
          <w:sz w:val="22"/>
        </w:rPr>
      </w:pPr>
      <w:r>
        <w:rPr>
          <w:sz w:val="22"/>
        </w:rPr>
        <w:t>përgjigjet për ligjshmërinë në veprimtarinë e</w:t>
      </w:r>
      <w:r>
        <w:rPr>
          <w:spacing w:val="-17"/>
          <w:sz w:val="22"/>
        </w:rPr>
        <w:t> </w:t>
      </w:r>
      <w:r>
        <w:rPr>
          <w:sz w:val="22"/>
        </w:rPr>
        <w:t>institucionit;</w:t>
      </w:r>
    </w:p>
    <w:p>
      <w:pPr>
        <w:pStyle w:val="BodyText"/>
        <w:ind w:left="119" w:right="115"/>
        <w:jc w:val="both"/>
      </w:pPr>
      <w:r>
        <w:rPr/>
        <w:t>ë) bashkërendon punën e njësive administrative të sistemit të RTSH-së dhe zgjidh, brenda kompetencave të tij, mosmarrëveshjet e lindura midis tyre;</w:t>
      </w:r>
    </w:p>
    <w:p>
      <w:pPr>
        <w:pStyle w:val="ListParagraph"/>
        <w:numPr>
          <w:ilvl w:val="0"/>
          <w:numId w:val="197"/>
        </w:numPr>
        <w:tabs>
          <w:tab w:pos="1097" w:val="left" w:leader="none"/>
        </w:tabs>
        <w:spacing w:line="240" w:lineRule="auto" w:before="0" w:after="0"/>
        <w:ind w:left="119" w:right="112" w:firstLine="720"/>
        <w:jc w:val="both"/>
        <w:rPr>
          <w:sz w:val="22"/>
        </w:rPr>
      </w:pPr>
      <w:r>
        <w:rPr>
          <w:sz w:val="22"/>
        </w:rPr>
        <w:t>në mungesë mund të delegojë ushtrimin e kompetencave të tij me disponim të posaçëm personit përkatës.</w:t>
      </w:r>
    </w:p>
    <w:p>
      <w:pPr>
        <w:pStyle w:val="ListParagraph"/>
        <w:numPr>
          <w:ilvl w:val="0"/>
          <w:numId w:val="196"/>
        </w:numPr>
        <w:tabs>
          <w:tab w:pos="1069" w:val="left" w:leader="none"/>
        </w:tabs>
        <w:spacing w:line="240" w:lineRule="auto" w:before="0" w:after="0"/>
        <w:ind w:left="120" w:right="116" w:firstLine="720"/>
        <w:jc w:val="both"/>
        <w:rPr>
          <w:sz w:val="22"/>
        </w:rPr>
      </w:pPr>
      <w:r>
        <w:rPr>
          <w:sz w:val="22"/>
        </w:rPr>
        <w:t>Gjatë mungesave objektive apo mbetjes vakant të vendit të Drejtorit të Përgjithshëm të RTSH- së, deri në zgjedhjen e drejtorit të ri, detyrat e tij i kryen zëvendësdrejtori ose, në rast të mungesës së këtij të fundit, një anëtar i administratës drejtuese të RTSH-së, i caktuar për këtë qëllim nga</w:t>
      </w:r>
      <w:r>
        <w:rPr>
          <w:spacing w:val="-19"/>
          <w:sz w:val="22"/>
        </w:rPr>
        <w:t> </w:t>
      </w:r>
      <w:r>
        <w:rPr>
          <w:sz w:val="22"/>
        </w:rPr>
        <w:t>KDRTSH-ja.</w:t>
      </w:r>
    </w:p>
    <w:p>
      <w:pPr>
        <w:pStyle w:val="ListParagraph"/>
        <w:numPr>
          <w:ilvl w:val="0"/>
          <w:numId w:val="196"/>
        </w:numPr>
        <w:tabs>
          <w:tab w:pos="1095" w:val="left" w:leader="none"/>
        </w:tabs>
        <w:spacing w:line="240" w:lineRule="auto" w:before="0" w:after="0"/>
        <w:ind w:left="120" w:right="113" w:firstLine="719"/>
        <w:jc w:val="both"/>
        <w:rPr>
          <w:sz w:val="22"/>
        </w:rPr>
      </w:pPr>
      <w:r>
        <w:rPr>
          <w:sz w:val="22"/>
        </w:rPr>
        <w:t>Kriteret e emërimit, detyrat dhe kompetencat specifike të Zëvendësdrejtorit të Përgjithshëm përcaktohen në</w:t>
      </w:r>
      <w:r>
        <w:rPr>
          <w:spacing w:val="-1"/>
          <w:sz w:val="22"/>
        </w:rPr>
        <w:t> </w:t>
      </w:r>
      <w:r>
        <w:rPr>
          <w:sz w:val="22"/>
        </w:rPr>
        <w:t>statut.</w:t>
      </w:r>
    </w:p>
    <w:p>
      <w:pPr>
        <w:pStyle w:val="BodyText"/>
        <w:spacing w:before="10"/>
        <w:ind w:left="0" w:firstLine="0"/>
        <w:rPr>
          <w:sz w:val="21"/>
        </w:rPr>
      </w:pPr>
    </w:p>
    <w:p>
      <w:pPr>
        <w:pStyle w:val="BodyText"/>
        <w:ind w:left="146" w:right="146" w:firstLine="0"/>
        <w:jc w:val="center"/>
      </w:pPr>
      <w:r>
        <w:rPr/>
        <w:t>Neni 106</w:t>
      </w:r>
    </w:p>
    <w:p>
      <w:pPr>
        <w:pStyle w:val="Heading1"/>
        <w:spacing w:before="6"/>
      </w:pPr>
      <w:r>
        <w:rPr/>
        <w:t>Lirimi nga detyra i Drejtorit të Përgjithshëm të RTSH-së</w:t>
      </w:r>
    </w:p>
    <w:p>
      <w:pPr>
        <w:pStyle w:val="BodyText"/>
        <w:spacing w:before="5"/>
        <w:ind w:left="0" w:firstLine="0"/>
        <w:rPr>
          <w:b/>
          <w:sz w:val="21"/>
        </w:rPr>
      </w:pPr>
    </w:p>
    <w:p>
      <w:pPr>
        <w:pStyle w:val="BodyText"/>
        <w:ind w:left="840" w:firstLine="0"/>
      </w:pPr>
      <w:r>
        <w:rPr/>
        <w:t>Drejtori i Përgjithshëm i RTSH-së lirohet nga detyra në rastet kur:</w:t>
      </w:r>
    </w:p>
    <w:p>
      <w:pPr>
        <w:pStyle w:val="ListParagraph"/>
        <w:numPr>
          <w:ilvl w:val="0"/>
          <w:numId w:val="198"/>
        </w:numPr>
        <w:tabs>
          <w:tab w:pos="1069" w:val="left" w:leader="none"/>
        </w:tabs>
        <w:spacing w:line="252" w:lineRule="exact" w:before="1" w:after="0"/>
        <w:ind w:left="1068" w:right="0" w:hanging="229"/>
        <w:jc w:val="left"/>
        <w:rPr>
          <w:sz w:val="22"/>
        </w:rPr>
      </w:pPr>
      <w:r>
        <w:rPr>
          <w:sz w:val="22"/>
        </w:rPr>
        <w:t>shkel kompetencat që i jep ky</w:t>
      </w:r>
      <w:r>
        <w:rPr>
          <w:spacing w:val="-4"/>
          <w:sz w:val="22"/>
        </w:rPr>
        <w:t> </w:t>
      </w:r>
      <w:r>
        <w:rPr>
          <w:sz w:val="22"/>
        </w:rPr>
        <w:t>ligj;</w:t>
      </w:r>
    </w:p>
    <w:p>
      <w:pPr>
        <w:pStyle w:val="ListParagraph"/>
        <w:numPr>
          <w:ilvl w:val="0"/>
          <w:numId w:val="198"/>
        </w:numPr>
        <w:tabs>
          <w:tab w:pos="1081" w:val="left" w:leader="none"/>
        </w:tabs>
        <w:spacing w:line="252" w:lineRule="exact" w:before="0" w:after="0"/>
        <w:ind w:left="1080" w:right="0" w:hanging="241"/>
        <w:jc w:val="left"/>
        <w:rPr>
          <w:sz w:val="22"/>
        </w:rPr>
      </w:pPr>
      <w:r>
        <w:rPr>
          <w:sz w:val="22"/>
        </w:rPr>
        <w:t>kryen një vepër penale, për të cilën është dënuar nga gjykata me vendim të formës së</w:t>
      </w:r>
      <w:r>
        <w:rPr>
          <w:spacing w:val="-20"/>
          <w:sz w:val="22"/>
        </w:rPr>
        <w:t> </w:t>
      </w:r>
      <w:r>
        <w:rPr>
          <w:sz w:val="22"/>
        </w:rPr>
        <w:t>prerë;</w:t>
      </w:r>
    </w:p>
    <w:p>
      <w:pPr>
        <w:pStyle w:val="ListParagraph"/>
        <w:numPr>
          <w:ilvl w:val="0"/>
          <w:numId w:val="198"/>
        </w:numPr>
        <w:tabs>
          <w:tab w:pos="1069" w:val="left" w:leader="none"/>
        </w:tabs>
        <w:spacing w:line="240" w:lineRule="auto" w:before="2" w:after="0"/>
        <w:ind w:left="840" w:right="1838" w:firstLine="0"/>
        <w:jc w:val="left"/>
        <w:rPr>
          <w:sz w:val="22"/>
        </w:rPr>
      </w:pPr>
      <w:r>
        <w:rPr>
          <w:sz w:val="22"/>
        </w:rPr>
        <w:t>bëhet i paaftë përgjithmonë për kryerjen e detyrës, për shkaqe shëndetësore; ç) i hiqet zotësia për të vepruar;</w:t>
      </w:r>
    </w:p>
    <w:p>
      <w:pPr>
        <w:pStyle w:val="ListParagraph"/>
        <w:numPr>
          <w:ilvl w:val="0"/>
          <w:numId w:val="198"/>
        </w:numPr>
        <w:tabs>
          <w:tab w:pos="1079" w:val="left" w:leader="none"/>
        </w:tabs>
        <w:spacing w:line="251" w:lineRule="exact" w:before="0" w:after="0"/>
        <w:ind w:left="1078" w:right="0" w:hanging="239"/>
        <w:jc w:val="left"/>
        <w:rPr>
          <w:sz w:val="22"/>
        </w:rPr>
      </w:pPr>
      <w:r>
        <w:rPr>
          <w:sz w:val="22"/>
        </w:rPr>
        <w:t>jep dorëheqjen.</w:t>
      </w:r>
    </w:p>
    <w:p>
      <w:pPr>
        <w:pStyle w:val="BodyText"/>
        <w:ind w:left="0" w:firstLine="0"/>
      </w:pPr>
    </w:p>
    <w:p>
      <w:pPr>
        <w:pStyle w:val="BodyText"/>
        <w:ind w:left="146" w:right="146" w:firstLine="0"/>
        <w:jc w:val="center"/>
      </w:pPr>
      <w:r>
        <w:rPr/>
        <w:t>Neni 107</w:t>
      </w:r>
    </w:p>
    <w:p>
      <w:pPr>
        <w:pStyle w:val="Heading1"/>
        <w:spacing w:before="6"/>
        <w:ind w:right="144"/>
      </w:pPr>
      <w:r>
        <w:rPr/>
        <w:t>Bordi i Administrimit të RTSH-së</w:t>
      </w:r>
    </w:p>
    <w:p>
      <w:pPr>
        <w:pStyle w:val="BodyText"/>
        <w:spacing w:before="5"/>
        <w:ind w:left="0" w:firstLine="0"/>
        <w:rPr>
          <w:b/>
          <w:sz w:val="21"/>
        </w:rPr>
      </w:pPr>
    </w:p>
    <w:p>
      <w:pPr>
        <w:pStyle w:val="ListParagraph"/>
        <w:numPr>
          <w:ilvl w:val="0"/>
          <w:numId w:val="199"/>
        </w:numPr>
        <w:tabs>
          <w:tab w:pos="1131" w:val="left" w:leader="none"/>
        </w:tabs>
        <w:spacing w:line="240" w:lineRule="auto" w:before="0" w:after="0"/>
        <w:ind w:left="120" w:right="114" w:firstLine="720"/>
        <w:jc w:val="both"/>
        <w:rPr>
          <w:sz w:val="22"/>
        </w:rPr>
      </w:pPr>
      <w:r>
        <w:rPr>
          <w:sz w:val="22"/>
        </w:rPr>
        <w:t>Bordi i Administrimit është organ këshillimor i KDRTSH-së dhe organ kompetent për përgatitjen e analizave që lidhen me çështjet financiare të RTSH-së, të brendshme dhe të jashtme, përveç çështjeve që kanë të bëjnë me</w:t>
      </w:r>
      <w:r>
        <w:rPr>
          <w:spacing w:val="-5"/>
          <w:sz w:val="22"/>
        </w:rPr>
        <w:t> </w:t>
      </w:r>
      <w:r>
        <w:rPr>
          <w:sz w:val="22"/>
        </w:rPr>
        <w:t>programimin.</w:t>
      </w:r>
    </w:p>
    <w:p>
      <w:pPr>
        <w:pStyle w:val="ListParagraph"/>
        <w:numPr>
          <w:ilvl w:val="0"/>
          <w:numId w:val="199"/>
        </w:numPr>
        <w:tabs>
          <w:tab w:pos="1086" w:val="left" w:leader="none"/>
        </w:tabs>
        <w:spacing w:line="240" w:lineRule="auto" w:before="2" w:after="0"/>
        <w:ind w:left="119" w:right="112" w:firstLine="720"/>
        <w:jc w:val="both"/>
        <w:rPr>
          <w:sz w:val="22"/>
        </w:rPr>
      </w:pPr>
      <w:r>
        <w:rPr>
          <w:sz w:val="22"/>
        </w:rPr>
        <w:t>Bordi i Administrimit përbëhet nga 5 anëtarë, 3 të brendshëm dhe 2 të jashtëm, të cilët janë ekspertë në problemet e administrimit, financës dhe biznesit. Anëtarët e Bordit të Administrimit caktohen për një periudhë 4-vjeçare dhe mund të ricaktohen për dy periudha të tjera, në rast se gjatë kësaj kohe nuk kapërcejnë kufirin e moshës për</w:t>
      </w:r>
      <w:r>
        <w:rPr>
          <w:spacing w:val="-3"/>
          <w:sz w:val="22"/>
        </w:rPr>
        <w:t> </w:t>
      </w:r>
      <w:r>
        <w:rPr>
          <w:sz w:val="22"/>
        </w:rPr>
        <w:t>pension.</w:t>
      </w:r>
    </w:p>
    <w:p>
      <w:pPr>
        <w:pStyle w:val="ListParagraph"/>
        <w:numPr>
          <w:ilvl w:val="0"/>
          <w:numId w:val="199"/>
        </w:numPr>
        <w:tabs>
          <w:tab w:pos="1165" w:val="left" w:leader="none"/>
        </w:tabs>
        <w:spacing w:line="240" w:lineRule="auto" w:before="0" w:after="0"/>
        <w:ind w:left="119" w:right="120" w:firstLine="720"/>
        <w:jc w:val="both"/>
        <w:rPr>
          <w:sz w:val="22"/>
        </w:rPr>
      </w:pPr>
      <w:r>
        <w:rPr>
          <w:sz w:val="22"/>
        </w:rPr>
        <w:t>Anëtarët e Bordit të Administrimit emërohen nga KDRTSH-ja me votim të fshehtë dhe me shumicë të thjeshtë midis të paktën 10</w:t>
      </w:r>
      <w:r>
        <w:rPr>
          <w:spacing w:val="-5"/>
          <w:sz w:val="22"/>
        </w:rPr>
        <w:t> </w:t>
      </w:r>
      <w:r>
        <w:rPr>
          <w:sz w:val="22"/>
        </w:rPr>
        <w:t>kandidaturave.</w:t>
      </w:r>
    </w:p>
    <w:p>
      <w:pPr>
        <w:pStyle w:val="ListParagraph"/>
        <w:numPr>
          <w:ilvl w:val="0"/>
          <w:numId w:val="199"/>
        </w:numPr>
        <w:tabs>
          <w:tab w:pos="1109" w:val="left" w:leader="none"/>
        </w:tabs>
        <w:spacing w:line="240" w:lineRule="auto" w:before="0" w:after="0"/>
        <w:ind w:left="119" w:right="116" w:firstLine="720"/>
        <w:jc w:val="both"/>
        <w:rPr>
          <w:sz w:val="22"/>
        </w:rPr>
      </w:pPr>
      <w:r>
        <w:rPr>
          <w:sz w:val="22"/>
        </w:rPr>
        <w:t>Kryetari i Bordit zgjidhet nga anëtarët e tij me shumicë votash dhe me votim të fshehtë ndërmjet të paktën 2</w:t>
      </w:r>
      <w:r>
        <w:rPr>
          <w:spacing w:val="-3"/>
          <w:sz w:val="22"/>
        </w:rPr>
        <w:t> </w:t>
      </w:r>
      <w:r>
        <w:rPr>
          <w:sz w:val="22"/>
        </w:rPr>
        <w:t>kandidaturave.</w:t>
      </w:r>
    </w:p>
    <w:p>
      <w:pPr>
        <w:pStyle w:val="BodyText"/>
        <w:spacing w:before="9"/>
        <w:ind w:left="0" w:firstLine="0"/>
        <w:rPr>
          <w:sz w:val="21"/>
        </w:rPr>
      </w:pPr>
    </w:p>
    <w:p>
      <w:pPr>
        <w:pStyle w:val="BodyText"/>
        <w:ind w:left="146" w:right="146" w:firstLine="0"/>
        <w:jc w:val="center"/>
      </w:pPr>
      <w:r>
        <w:rPr/>
        <w:t>Neni 108</w:t>
      </w:r>
    </w:p>
    <w:p>
      <w:pPr>
        <w:pStyle w:val="Heading1"/>
        <w:spacing w:before="6"/>
        <w:ind w:right="145"/>
      </w:pPr>
      <w:r>
        <w:rPr/>
        <w:t>Lirimi nga detyra i anëtarëve të Bordit të Administrimit</w:t>
      </w:r>
    </w:p>
    <w:p>
      <w:pPr>
        <w:pStyle w:val="BodyText"/>
        <w:spacing w:before="8"/>
        <w:ind w:left="0" w:firstLine="0"/>
        <w:rPr>
          <w:b/>
          <w:sz w:val="13"/>
        </w:rPr>
      </w:pPr>
    </w:p>
    <w:p>
      <w:pPr>
        <w:spacing w:after="0"/>
        <w:rPr>
          <w:sz w:val="13"/>
        </w:rPr>
        <w:sectPr>
          <w:pgSz w:w="12240" w:h="15840"/>
          <w:pgMar w:top="1360" w:bottom="280" w:left="1320" w:right="1320"/>
        </w:sectPr>
      </w:pPr>
    </w:p>
    <w:p>
      <w:pPr>
        <w:pStyle w:val="BodyText"/>
        <w:ind w:left="0" w:firstLine="0"/>
        <w:rPr>
          <w:b/>
          <w:sz w:val="24"/>
        </w:rPr>
      </w:pPr>
    </w:p>
    <w:p>
      <w:pPr>
        <w:pStyle w:val="BodyText"/>
        <w:spacing w:before="9"/>
        <w:ind w:left="0" w:firstLine="0"/>
        <w:rPr>
          <w:b/>
          <w:sz w:val="27"/>
        </w:rPr>
      </w:pPr>
    </w:p>
    <w:p>
      <w:pPr>
        <w:pStyle w:val="BodyText"/>
        <w:ind w:left="119" w:firstLine="0"/>
      </w:pPr>
      <w:r>
        <w:rPr/>
        <w:t>bordit;</w:t>
      </w:r>
    </w:p>
    <w:p>
      <w:pPr>
        <w:pStyle w:val="BodyText"/>
        <w:spacing w:line="252" w:lineRule="exact" w:before="92"/>
        <w:ind w:left="93" w:firstLine="0"/>
      </w:pPr>
      <w:r>
        <w:rPr/>
        <w:br w:type="column"/>
      </w:r>
      <w:r>
        <w:rPr/>
        <w:t>Anëtari i i Bordit të Administrimit lirohet nga detyra në rastet kur:</w:t>
      </w:r>
    </w:p>
    <w:p>
      <w:pPr>
        <w:pStyle w:val="ListParagraph"/>
        <w:numPr>
          <w:ilvl w:val="0"/>
          <w:numId w:val="200"/>
        </w:numPr>
        <w:tabs>
          <w:tab w:pos="355" w:val="left" w:leader="none"/>
        </w:tabs>
        <w:spacing w:line="252" w:lineRule="exact" w:before="0" w:after="0"/>
        <w:ind w:left="354" w:right="0" w:hanging="262"/>
        <w:jc w:val="left"/>
        <w:rPr>
          <w:sz w:val="22"/>
        </w:rPr>
      </w:pPr>
      <w:r>
        <w:rPr>
          <w:sz w:val="22"/>
        </w:rPr>
        <w:t>shkel detyrimet, me të cilat i ngarkon ky ligj dhe rregullorja e miratuar për</w:t>
      </w:r>
      <w:r>
        <w:rPr>
          <w:spacing w:val="33"/>
          <w:sz w:val="22"/>
        </w:rPr>
        <w:t> </w:t>
      </w:r>
      <w:r>
        <w:rPr>
          <w:sz w:val="22"/>
        </w:rPr>
        <w:t>veprimtarinë e</w:t>
      </w:r>
    </w:p>
    <w:p>
      <w:pPr>
        <w:pStyle w:val="BodyText"/>
        <w:ind w:left="0" w:firstLine="0"/>
      </w:pPr>
    </w:p>
    <w:p>
      <w:pPr>
        <w:pStyle w:val="ListParagraph"/>
        <w:numPr>
          <w:ilvl w:val="0"/>
          <w:numId w:val="200"/>
        </w:numPr>
        <w:tabs>
          <w:tab w:pos="334" w:val="left" w:leader="none"/>
        </w:tabs>
        <w:spacing w:line="252" w:lineRule="exact" w:before="0" w:after="0"/>
        <w:ind w:left="333" w:right="0" w:hanging="241"/>
        <w:jc w:val="left"/>
        <w:rPr>
          <w:sz w:val="22"/>
        </w:rPr>
      </w:pPr>
      <w:r>
        <w:rPr>
          <w:sz w:val="22"/>
        </w:rPr>
        <w:t>vërehet se është i paaftë për kryerjen e detyrës nga jo më pak se 5 anëtarë të</w:t>
      </w:r>
      <w:r>
        <w:rPr>
          <w:spacing w:val="-23"/>
          <w:sz w:val="22"/>
        </w:rPr>
        <w:t> </w:t>
      </w:r>
      <w:r>
        <w:rPr>
          <w:sz w:val="22"/>
        </w:rPr>
        <w:t>KDRTSH-së;</w:t>
      </w:r>
    </w:p>
    <w:p>
      <w:pPr>
        <w:pStyle w:val="ListParagraph"/>
        <w:numPr>
          <w:ilvl w:val="0"/>
          <w:numId w:val="200"/>
        </w:numPr>
        <w:tabs>
          <w:tab w:pos="322" w:val="left" w:leader="none"/>
        </w:tabs>
        <w:spacing w:line="240" w:lineRule="auto" w:before="0" w:after="0"/>
        <w:ind w:left="93" w:right="4632" w:firstLine="0"/>
        <w:jc w:val="left"/>
        <w:rPr>
          <w:sz w:val="22"/>
        </w:rPr>
      </w:pPr>
      <w:r>
        <w:rPr>
          <w:sz w:val="22"/>
        </w:rPr>
        <w:t>mungon pa arsye në katër mbledhje</w:t>
      </w:r>
      <w:r>
        <w:rPr>
          <w:spacing w:val="-12"/>
          <w:sz w:val="22"/>
        </w:rPr>
        <w:t> </w:t>
      </w:r>
      <w:r>
        <w:rPr>
          <w:sz w:val="22"/>
        </w:rPr>
        <w:t>radhazi; ç) dënohet për një vepër penale;</w:t>
      </w:r>
    </w:p>
    <w:p>
      <w:pPr>
        <w:pStyle w:val="ListParagraph"/>
        <w:numPr>
          <w:ilvl w:val="0"/>
          <w:numId w:val="200"/>
        </w:numPr>
        <w:tabs>
          <w:tab w:pos="331" w:val="left" w:leader="none"/>
        </w:tabs>
        <w:spacing w:line="240" w:lineRule="auto" w:before="0" w:after="0"/>
        <w:ind w:left="330" w:right="0" w:hanging="238"/>
        <w:jc w:val="left"/>
        <w:rPr>
          <w:sz w:val="22"/>
        </w:rPr>
      </w:pPr>
      <w:r>
        <w:rPr>
          <w:sz w:val="22"/>
        </w:rPr>
        <w:t>jep dorëheqjen.</w:t>
      </w:r>
    </w:p>
    <w:p>
      <w:pPr>
        <w:spacing w:after="0" w:line="240" w:lineRule="auto"/>
        <w:jc w:val="left"/>
        <w:rPr>
          <w:sz w:val="22"/>
        </w:rPr>
        <w:sectPr>
          <w:type w:val="continuous"/>
          <w:pgSz w:w="12240" w:h="15840"/>
          <w:pgMar w:top="1360" w:bottom="280" w:left="1320" w:right="1320"/>
          <w:cols w:num="2" w:equalWidth="0">
            <w:col w:w="708" w:space="40"/>
            <w:col w:w="8852"/>
          </w:cols>
        </w:sectPr>
      </w:pPr>
    </w:p>
    <w:p>
      <w:pPr>
        <w:pStyle w:val="BodyText"/>
        <w:ind w:left="0" w:firstLine="0"/>
        <w:rPr>
          <w:sz w:val="20"/>
        </w:rPr>
      </w:pPr>
    </w:p>
    <w:p>
      <w:pPr>
        <w:pStyle w:val="BodyText"/>
        <w:ind w:left="0" w:firstLine="0"/>
        <w:rPr>
          <w:sz w:val="20"/>
        </w:rPr>
      </w:pPr>
    </w:p>
    <w:p>
      <w:pPr>
        <w:pStyle w:val="BodyText"/>
        <w:spacing w:before="2"/>
        <w:ind w:left="0" w:firstLine="0"/>
        <w:rPr>
          <w:sz w:val="20"/>
        </w:rPr>
      </w:pPr>
    </w:p>
    <w:p>
      <w:pPr>
        <w:pStyle w:val="BodyText"/>
        <w:ind w:left="146" w:right="146" w:firstLine="0"/>
        <w:jc w:val="center"/>
      </w:pPr>
      <w:r>
        <w:rPr/>
        <w:t>Neni 109</w:t>
      </w:r>
    </w:p>
    <w:p>
      <w:pPr>
        <w:pStyle w:val="Heading1"/>
        <w:spacing w:before="6"/>
        <w:ind w:right="144"/>
      </w:pPr>
      <w:r>
        <w:rPr/>
        <w:t>Papajtueshmëritë dhe konflikti i interesave të anëtarëve të Bordit të Administrimit</w:t>
      </w:r>
    </w:p>
    <w:p>
      <w:pPr>
        <w:pStyle w:val="BodyText"/>
        <w:spacing w:before="5"/>
        <w:ind w:left="0" w:firstLine="0"/>
        <w:rPr>
          <w:b/>
          <w:sz w:val="21"/>
        </w:rPr>
      </w:pPr>
    </w:p>
    <w:p>
      <w:pPr>
        <w:pStyle w:val="ListParagraph"/>
        <w:numPr>
          <w:ilvl w:val="1"/>
          <w:numId w:val="200"/>
        </w:numPr>
        <w:tabs>
          <w:tab w:pos="1061" w:val="left" w:leader="none"/>
        </w:tabs>
        <w:spacing w:line="240" w:lineRule="auto" w:before="0" w:after="0"/>
        <w:ind w:left="1060" w:right="0" w:hanging="221"/>
        <w:jc w:val="both"/>
        <w:rPr>
          <w:sz w:val="22"/>
        </w:rPr>
      </w:pPr>
      <w:r>
        <w:rPr>
          <w:sz w:val="22"/>
        </w:rPr>
        <w:t>Anëtarë të Bordit të Administrimit nuk mund të jenë individët</w:t>
      </w:r>
      <w:r>
        <w:rPr>
          <w:spacing w:val="-11"/>
          <w:sz w:val="22"/>
        </w:rPr>
        <w:t> </w:t>
      </w:r>
      <w:r>
        <w:rPr>
          <w:sz w:val="22"/>
        </w:rPr>
        <w:t>që:</w:t>
      </w:r>
    </w:p>
    <w:p>
      <w:pPr>
        <w:pStyle w:val="ListParagraph"/>
        <w:numPr>
          <w:ilvl w:val="0"/>
          <w:numId w:val="201"/>
        </w:numPr>
        <w:tabs>
          <w:tab w:pos="1083" w:val="left" w:leader="none"/>
        </w:tabs>
        <w:spacing w:line="240" w:lineRule="auto" w:before="1" w:after="0"/>
        <w:ind w:left="120" w:right="113" w:firstLine="720"/>
        <w:jc w:val="both"/>
        <w:rPr>
          <w:sz w:val="22"/>
        </w:rPr>
      </w:pPr>
      <w:r>
        <w:rPr>
          <w:sz w:val="22"/>
        </w:rPr>
        <w:t>janë persona të lidhur ose kanë në pronësi kuota kapitali apo aksione të shoqërive tregtare, si dhe të drejta të tjera në fushën e transmetimeve audiovizive, reklamës, prodhimeve të përmbajtjes së transmetimeve audiovizive, rrjeteve të komunikimit elektronik apo persona të punësuar, anëtarë të organeve drejtuese apo këshilluese të këtyre subjekteve ose të lidhur me ndonjë kontratë me këto subjekte;</w:t>
      </w:r>
    </w:p>
    <w:p>
      <w:pPr>
        <w:pStyle w:val="ListParagraph"/>
        <w:numPr>
          <w:ilvl w:val="0"/>
          <w:numId w:val="201"/>
        </w:numPr>
        <w:tabs>
          <w:tab w:pos="1078" w:val="left" w:leader="none"/>
        </w:tabs>
        <w:spacing w:line="252" w:lineRule="exact" w:before="0" w:after="0"/>
        <w:ind w:left="1077" w:right="0" w:hanging="238"/>
        <w:jc w:val="both"/>
        <w:rPr>
          <w:sz w:val="22"/>
        </w:rPr>
      </w:pPr>
      <w:r>
        <w:rPr>
          <w:sz w:val="22"/>
        </w:rPr>
        <w:t>janë zgjedhur anëtarë të</w:t>
      </w:r>
      <w:r>
        <w:rPr>
          <w:spacing w:val="-5"/>
          <w:sz w:val="22"/>
        </w:rPr>
        <w:t> </w:t>
      </w:r>
      <w:r>
        <w:rPr>
          <w:sz w:val="22"/>
        </w:rPr>
        <w:t>KDRTSH-së;</w:t>
      </w:r>
    </w:p>
    <w:p>
      <w:pPr>
        <w:pStyle w:val="ListParagraph"/>
        <w:numPr>
          <w:ilvl w:val="0"/>
          <w:numId w:val="201"/>
        </w:numPr>
        <w:tabs>
          <w:tab w:pos="1069" w:val="left" w:leader="none"/>
        </w:tabs>
        <w:spacing w:line="252" w:lineRule="exact" w:before="0" w:after="0"/>
        <w:ind w:left="1068" w:right="0" w:hanging="229"/>
        <w:jc w:val="both"/>
        <w:rPr>
          <w:sz w:val="22"/>
        </w:rPr>
      </w:pPr>
      <w:r>
        <w:rPr>
          <w:sz w:val="22"/>
        </w:rPr>
        <w:t>kandidojnë për deputet apo janë zgjedhur të</w:t>
      </w:r>
      <w:r>
        <w:rPr>
          <w:spacing w:val="-6"/>
          <w:sz w:val="22"/>
        </w:rPr>
        <w:t> </w:t>
      </w:r>
      <w:r>
        <w:rPr>
          <w:sz w:val="22"/>
        </w:rPr>
        <w:t>tillë;</w:t>
      </w:r>
    </w:p>
    <w:p>
      <w:pPr>
        <w:pStyle w:val="BodyText"/>
        <w:spacing w:line="252" w:lineRule="exact" w:before="2"/>
        <w:ind w:left="840" w:firstLine="0"/>
        <w:jc w:val="both"/>
      </w:pPr>
      <w:r>
        <w:rPr/>
        <w:t>ç) janë anëtarë të forumeve drejtuese të ndonjë partie politike;</w:t>
      </w:r>
    </w:p>
    <w:p>
      <w:pPr>
        <w:pStyle w:val="ListParagraph"/>
        <w:numPr>
          <w:ilvl w:val="0"/>
          <w:numId w:val="201"/>
        </w:numPr>
        <w:tabs>
          <w:tab w:pos="1079" w:val="left" w:leader="none"/>
        </w:tabs>
        <w:spacing w:line="252" w:lineRule="exact" w:before="0" w:after="0"/>
        <w:ind w:left="1078" w:right="0" w:hanging="239"/>
        <w:jc w:val="both"/>
        <w:rPr>
          <w:sz w:val="22"/>
        </w:rPr>
      </w:pPr>
      <w:r>
        <w:rPr>
          <w:sz w:val="22"/>
        </w:rPr>
        <w:t>janë kryetarë komunash, bashkish, qarqesh dhe</w:t>
      </w:r>
      <w:r>
        <w:rPr>
          <w:spacing w:val="-2"/>
          <w:sz w:val="22"/>
        </w:rPr>
        <w:t> </w:t>
      </w:r>
      <w:r>
        <w:rPr>
          <w:sz w:val="22"/>
        </w:rPr>
        <w:t>prefektë;</w:t>
      </w:r>
    </w:p>
    <w:p>
      <w:pPr>
        <w:pStyle w:val="BodyText"/>
        <w:spacing w:line="252" w:lineRule="exact" w:before="1"/>
        <w:ind w:left="840" w:firstLine="0"/>
        <w:jc w:val="both"/>
      </w:pPr>
      <w:r>
        <w:rPr/>
        <w:t>dh) janë anëtarë të AMA-s, AKEP-it apo punonjës të këtyre institucioneve.</w:t>
      </w:r>
    </w:p>
    <w:p>
      <w:pPr>
        <w:pStyle w:val="ListParagraph"/>
        <w:numPr>
          <w:ilvl w:val="1"/>
          <w:numId w:val="200"/>
        </w:numPr>
        <w:tabs>
          <w:tab w:pos="1078" w:val="left" w:leader="none"/>
        </w:tabs>
        <w:spacing w:line="240" w:lineRule="auto" w:before="0" w:after="0"/>
        <w:ind w:left="120" w:right="112" w:firstLine="720"/>
        <w:jc w:val="both"/>
        <w:rPr>
          <w:sz w:val="22"/>
        </w:rPr>
      </w:pPr>
      <w:r>
        <w:rPr>
          <w:sz w:val="22"/>
        </w:rPr>
        <w:t>Anëtarëve të Bordit të Administrimit nuk u lejohet që, gjatë ushtrimit të funksionit të tyre, të përfaqësojnë interesat e palëve të treta ose të konkurrentëve të institucionit, si dhe të jenë të lidhur me interesa biznesi me konkurrentë ose palë të</w:t>
      </w:r>
      <w:r>
        <w:rPr>
          <w:spacing w:val="-4"/>
          <w:sz w:val="22"/>
        </w:rPr>
        <w:t> </w:t>
      </w:r>
      <w:r>
        <w:rPr>
          <w:sz w:val="22"/>
        </w:rPr>
        <w:t>treta.</w:t>
      </w:r>
    </w:p>
    <w:p>
      <w:pPr>
        <w:pStyle w:val="ListParagraph"/>
        <w:numPr>
          <w:ilvl w:val="1"/>
          <w:numId w:val="200"/>
        </w:numPr>
        <w:tabs>
          <w:tab w:pos="1062" w:val="left" w:leader="none"/>
        </w:tabs>
        <w:spacing w:line="252" w:lineRule="exact" w:before="0" w:after="0"/>
        <w:ind w:left="1061" w:right="0" w:hanging="222"/>
        <w:jc w:val="both"/>
        <w:rPr>
          <w:sz w:val="22"/>
        </w:rPr>
      </w:pPr>
      <w:r>
        <w:rPr>
          <w:sz w:val="22"/>
        </w:rPr>
        <w:t>Anëtarët e Bordit të Administrimit duhet të</w:t>
      </w:r>
      <w:r>
        <w:rPr>
          <w:spacing w:val="-4"/>
          <w:sz w:val="22"/>
        </w:rPr>
        <w:t> </w:t>
      </w:r>
      <w:r>
        <w:rPr>
          <w:sz w:val="22"/>
        </w:rPr>
        <w:t>deklarojnë:</w:t>
      </w:r>
    </w:p>
    <w:p>
      <w:pPr>
        <w:pStyle w:val="ListParagraph"/>
        <w:numPr>
          <w:ilvl w:val="0"/>
          <w:numId w:val="202"/>
        </w:numPr>
        <w:tabs>
          <w:tab w:pos="1114" w:val="left" w:leader="none"/>
        </w:tabs>
        <w:spacing w:line="240" w:lineRule="auto" w:before="1" w:after="0"/>
        <w:ind w:left="120" w:right="115" w:firstLine="720"/>
        <w:jc w:val="both"/>
        <w:rPr>
          <w:sz w:val="22"/>
        </w:rPr>
      </w:pPr>
      <w:r>
        <w:rPr>
          <w:sz w:val="22"/>
        </w:rPr>
        <w:t>çdo interes apo lidhje me ndonjë subjekt, me të cilin RTSH-ja ka realizuar ose synon të realizojë</w:t>
      </w:r>
      <w:r>
        <w:rPr>
          <w:spacing w:val="52"/>
          <w:sz w:val="22"/>
        </w:rPr>
        <w:t> </w:t>
      </w:r>
      <w:r>
        <w:rPr>
          <w:sz w:val="22"/>
        </w:rPr>
        <w:t>kontratë;</w:t>
      </w:r>
    </w:p>
    <w:p>
      <w:pPr>
        <w:pStyle w:val="ListParagraph"/>
        <w:numPr>
          <w:ilvl w:val="0"/>
          <w:numId w:val="202"/>
        </w:numPr>
        <w:tabs>
          <w:tab w:pos="1081" w:val="left" w:leader="none"/>
        </w:tabs>
        <w:spacing w:line="251" w:lineRule="exact" w:before="0" w:after="0"/>
        <w:ind w:left="1080" w:right="0" w:hanging="241"/>
        <w:jc w:val="both"/>
        <w:rPr>
          <w:sz w:val="22"/>
        </w:rPr>
      </w:pPr>
      <w:r>
        <w:rPr>
          <w:sz w:val="22"/>
        </w:rPr>
        <w:t>çdo interes të mundshëm në ndonjë kontratë, që RTSH-ja ka realizuar ose synon të</w:t>
      </w:r>
      <w:r>
        <w:rPr>
          <w:spacing w:val="-24"/>
          <w:sz w:val="22"/>
        </w:rPr>
        <w:t> </w:t>
      </w:r>
      <w:r>
        <w:rPr>
          <w:sz w:val="22"/>
        </w:rPr>
        <w:t>realizojë.</w:t>
      </w:r>
    </w:p>
    <w:p>
      <w:pPr>
        <w:pStyle w:val="ListParagraph"/>
        <w:numPr>
          <w:ilvl w:val="1"/>
          <w:numId w:val="200"/>
        </w:numPr>
        <w:tabs>
          <w:tab w:pos="1090" w:val="left" w:leader="none"/>
        </w:tabs>
        <w:spacing w:line="240" w:lineRule="auto" w:before="1" w:after="0"/>
        <w:ind w:left="120" w:right="115" w:firstLine="720"/>
        <w:jc w:val="both"/>
        <w:rPr>
          <w:sz w:val="22"/>
        </w:rPr>
      </w:pPr>
      <w:r>
        <w:rPr>
          <w:sz w:val="22"/>
        </w:rPr>
        <w:t>Nuk mund të marrin pjesë në diskutimin apo vendimmarrjen e çështjeve të lidhura me këta interesa apo</w:t>
      </w:r>
      <w:r>
        <w:rPr>
          <w:spacing w:val="-1"/>
          <w:sz w:val="22"/>
        </w:rPr>
        <w:t> </w:t>
      </w:r>
      <w:r>
        <w:rPr>
          <w:sz w:val="22"/>
        </w:rPr>
        <w:t>lidhje.</w:t>
      </w:r>
    </w:p>
    <w:p>
      <w:pPr>
        <w:pStyle w:val="ListParagraph"/>
        <w:numPr>
          <w:ilvl w:val="1"/>
          <w:numId w:val="200"/>
        </w:numPr>
        <w:tabs>
          <w:tab w:pos="1073" w:val="left" w:leader="none"/>
        </w:tabs>
        <w:spacing w:line="240" w:lineRule="auto" w:before="1" w:after="0"/>
        <w:ind w:left="120" w:right="114" w:firstLine="720"/>
        <w:jc w:val="both"/>
        <w:rPr>
          <w:sz w:val="22"/>
        </w:rPr>
      </w:pPr>
      <w:r>
        <w:rPr>
          <w:sz w:val="22"/>
        </w:rPr>
        <w:t>Kërkesat e kodit të sjelljes, të miratuar nga KDRTSH-ja sipas pikës 4 të nenit 97 të këtij ligji, janë të detyrueshme për anëtarët e Bordit të</w:t>
      </w:r>
      <w:r>
        <w:rPr>
          <w:spacing w:val="-7"/>
          <w:sz w:val="22"/>
        </w:rPr>
        <w:t> </w:t>
      </w:r>
      <w:r>
        <w:rPr>
          <w:sz w:val="22"/>
        </w:rPr>
        <w:t>Administrimit.</w:t>
      </w:r>
    </w:p>
    <w:p>
      <w:pPr>
        <w:pStyle w:val="BodyText"/>
        <w:spacing w:before="10"/>
        <w:ind w:left="0" w:firstLine="0"/>
        <w:rPr>
          <w:sz w:val="21"/>
        </w:rPr>
      </w:pPr>
    </w:p>
    <w:p>
      <w:pPr>
        <w:pStyle w:val="BodyText"/>
        <w:ind w:left="146" w:right="146" w:firstLine="0"/>
        <w:jc w:val="center"/>
      </w:pPr>
      <w:r>
        <w:rPr/>
        <w:t>Neni 110</w:t>
      </w:r>
    </w:p>
    <w:p>
      <w:pPr>
        <w:pStyle w:val="Heading1"/>
        <w:ind w:right="145"/>
      </w:pPr>
      <w:r>
        <w:rPr/>
        <w:t>Organizimi i Bordit të Administrimit</w:t>
      </w:r>
    </w:p>
    <w:p>
      <w:pPr>
        <w:pStyle w:val="BodyText"/>
        <w:spacing w:before="7"/>
        <w:ind w:left="0" w:firstLine="0"/>
        <w:rPr>
          <w:b/>
          <w:sz w:val="21"/>
        </w:rPr>
      </w:pPr>
    </w:p>
    <w:p>
      <w:pPr>
        <w:pStyle w:val="ListParagraph"/>
        <w:numPr>
          <w:ilvl w:val="0"/>
          <w:numId w:val="203"/>
        </w:numPr>
        <w:tabs>
          <w:tab w:pos="1074" w:val="left" w:leader="none"/>
        </w:tabs>
        <w:spacing w:line="240" w:lineRule="auto" w:before="0" w:after="0"/>
        <w:ind w:left="120" w:right="114" w:firstLine="719"/>
        <w:jc w:val="both"/>
        <w:rPr>
          <w:sz w:val="22"/>
        </w:rPr>
      </w:pPr>
      <w:r>
        <w:rPr>
          <w:sz w:val="22"/>
        </w:rPr>
        <w:t>Bordi i Administrimit mblidhet sipas kalendarit të çështjeve të miratuara prej tij, jo më pak se një herë në muaj. Bordi mblidhet jashtë radhe sa herë e kërkojnë të paktën 2 prej anëtarëve të tij, KDRTSH-ja ose Drejtori i Përgjithshëm i</w:t>
      </w:r>
      <w:r>
        <w:rPr>
          <w:spacing w:val="-10"/>
          <w:sz w:val="22"/>
        </w:rPr>
        <w:t> </w:t>
      </w:r>
      <w:r>
        <w:rPr>
          <w:sz w:val="22"/>
        </w:rPr>
        <w:t>RTSH-së.</w:t>
      </w:r>
    </w:p>
    <w:p>
      <w:pPr>
        <w:pStyle w:val="ListParagraph"/>
        <w:numPr>
          <w:ilvl w:val="0"/>
          <w:numId w:val="203"/>
        </w:numPr>
        <w:tabs>
          <w:tab w:pos="1074" w:val="left" w:leader="none"/>
        </w:tabs>
        <w:spacing w:line="240" w:lineRule="auto" w:before="0" w:after="0"/>
        <w:ind w:left="120" w:right="116" w:firstLine="720"/>
        <w:jc w:val="both"/>
        <w:rPr>
          <w:sz w:val="22"/>
        </w:rPr>
      </w:pPr>
      <w:r>
        <w:rPr>
          <w:sz w:val="22"/>
        </w:rPr>
        <w:t>Në mbledhjen e parë, Bordi i Administrimit përcakton afatin për miratimin e rregullores së tij të brendshme, ku shpreh qartë procedurat e veprimtarisë së këtij organizmi. Rregullorja miratohet me shumicën e votave të anëtarëve të</w:t>
      </w:r>
      <w:r>
        <w:rPr>
          <w:spacing w:val="-1"/>
          <w:sz w:val="22"/>
        </w:rPr>
        <w:t> </w:t>
      </w:r>
      <w:r>
        <w:rPr>
          <w:sz w:val="22"/>
        </w:rPr>
        <w:t>Bordit.</w:t>
      </w:r>
    </w:p>
    <w:p>
      <w:pPr>
        <w:pStyle w:val="ListParagraph"/>
        <w:numPr>
          <w:ilvl w:val="0"/>
          <w:numId w:val="203"/>
        </w:numPr>
        <w:tabs>
          <w:tab w:pos="1067" w:val="left" w:leader="none"/>
        </w:tabs>
        <w:spacing w:line="240" w:lineRule="auto" w:before="0" w:after="0"/>
        <w:ind w:left="120" w:right="114" w:firstLine="720"/>
        <w:jc w:val="both"/>
        <w:rPr>
          <w:sz w:val="22"/>
        </w:rPr>
      </w:pPr>
      <w:r>
        <w:rPr>
          <w:sz w:val="22"/>
        </w:rPr>
        <w:t>Vendimet e Bordit të Administrimit janë të vlefshme kur për to votojnë shumica e anëtarëve të pranishëm. Kur numri i votave është i barabartë, vota e kryetarit është</w:t>
      </w:r>
      <w:r>
        <w:rPr>
          <w:spacing w:val="-6"/>
          <w:sz w:val="22"/>
        </w:rPr>
        <w:t> </w:t>
      </w:r>
      <w:r>
        <w:rPr>
          <w:sz w:val="22"/>
        </w:rPr>
        <w:t>vendimtare.</w:t>
      </w:r>
    </w:p>
    <w:p>
      <w:pPr>
        <w:pStyle w:val="BodyText"/>
        <w:ind w:left="0" w:firstLine="0"/>
      </w:pPr>
    </w:p>
    <w:p>
      <w:pPr>
        <w:pStyle w:val="BodyText"/>
        <w:spacing w:before="1"/>
        <w:ind w:left="146" w:right="146" w:firstLine="0"/>
        <w:jc w:val="center"/>
      </w:pPr>
      <w:r>
        <w:rPr/>
        <w:t>Neni 111</w:t>
      </w:r>
    </w:p>
    <w:p>
      <w:pPr>
        <w:pStyle w:val="Heading1"/>
        <w:spacing w:before="3"/>
      </w:pPr>
      <w:r>
        <w:rPr/>
        <w:t>Detyrat e Bordit të Administrimit</w:t>
      </w:r>
    </w:p>
    <w:p>
      <w:pPr>
        <w:pStyle w:val="BodyText"/>
        <w:spacing w:before="7"/>
        <w:ind w:left="0" w:firstLine="0"/>
        <w:rPr>
          <w:b/>
          <w:sz w:val="21"/>
        </w:rPr>
      </w:pPr>
    </w:p>
    <w:p>
      <w:pPr>
        <w:pStyle w:val="BodyText"/>
        <w:spacing w:line="252" w:lineRule="exact" w:before="1"/>
        <w:ind w:left="840" w:firstLine="0"/>
      </w:pPr>
      <w:r>
        <w:rPr/>
        <w:t>Bordi i Administrimit ka këto detyra:</w:t>
      </w:r>
    </w:p>
    <w:p>
      <w:pPr>
        <w:pStyle w:val="ListParagraph"/>
        <w:numPr>
          <w:ilvl w:val="0"/>
          <w:numId w:val="204"/>
        </w:numPr>
        <w:tabs>
          <w:tab w:pos="1153" w:val="left" w:leader="none"/>
        </w:tabs>
        <w:spacing w:line="240" w:lineRule="auto" w:before="0" w:after="0"/>
        <w:ind w:left="120" w:right="113" w:firstLine="720"/>
        <w:jc w:val="left"/>
        <w:rPr>
          <w:sz w:val="22"/>
        </w:rPr>
      </w:pPr>
      <w:r>
        <w:rPr>
          <w:sz w:val="22"/>
        </w:rPr>
        <w:t>Përpilon rregulla për çështjet financiare, të cilat janë në juridiksionin e Drejtorit të Përgjithshëm.</w:t>
      </w:r>
    </w:p>
    <w:p>
      <w:pPr>
        <w:pStyle w:val="ListParagraph"/>
        <w:numPr>
          <w:ilvl w:val="0"/>
          <w:numId w:val="204"/>
        </w:numPr>
        <w:tabs>
          <w:tab w:pos="1060" w:val="left" w:leader="none"/>
        </w:tabs>
        <w:spacing w:line="240" w:lineRule="auto" w:before="0" w:after="0"/>
        <w:ind w:left="1059" w:right="0" w:hanging="220"/>
        <w:jc w:val="left"/>
        <w:rPr>
          <w:sz w:val="22"/>
        </w:rPr>
      </w:pPr>
      <w:r>
        <w:rPr>
          <w:sz w:val="22"/>
        </w:rPr>
        <w:t>Jep mendim për projektbuxhetin e RTSH-së, llogaritë vjetore dhe ndjek realizimin e</w:t>
      </w:r>
      <w:r>
        <w:rPr>
          <w:spacing w:val="-16"/>
          <w:sz w:val="22"/>
        </w:rPr>
        <w:t> </w:t>
      </w:r>
      <w:r>
        <w:rPr>
          <w:sz w:val="22"/>
        </w:rPr>
        <w:t>tyre.</w:t>
      </w:r>
    </w:p>
    <w:p>
      <w:pPr>
        <w:pStyle w:val="ListParagraph"/>
        <w:numPr>
          <w:ilvl w:val="0"/>
          <w:numId w:val="204"/>
        </w:numPr>
        <w:tabs>
          <w:tab w:pos="1084" w:val="left" w:leader="none"/>
        </w:tabs>
        <w:spacing w:line="240" w:lineRule="auto" w:before="1" w:after="0"/>
        <w:ind w:left="1083" w:right="0" w:hanging="244"/>
        <w:jc w:val="left"/>
        <w:rPr>
          <w:sz w:val="22"/>
        </w:rPr>
      </w:pPr>
      <w:r>
        <w:rPr>
          <w:sz w:val="22"/>
        </w:rPr>
        <w:t>Shqyrton</w:t>
      </w:r>
      <w:r>
        <w:rPr>
          <w:spacing w:val="20"/>
          <w:sz w:val="22"/>
        </w:rPr>
        <w:t> </w:t>
      </w:r>
      <w:r>
        <w:rPr>
          <w:sz w:val="22"/>
        </w:rPr>
        <w:t>leverdishmërinë</w:t>
      </w:r>
      <w:r>
        <w:rPr>
          <w:spacing w:val="21"/>
          <w:sz w:val="22"/>
        </w:rPr>
        <w:t> </w:t>
      </w:r>
      <w:r>
        <w:rPr>
          <w:sz w:val="22"/>
        </w:rPr>
        <w:t>e</w:t>
      </w:r>
      <w:r>
        <w:rPr>
          <w:spacing w:val="21"/>
          <w:sz w:val="22"/>
        </w:rPr>
        <w:t> </w:t>
      </w:r>
      <w:r>
        <w:rPr>
          <w:sz w:val="22"/>
        </w:rPr>
        <w:t>bizneseve,</w:t>
      </w:r>
      <w:r>
        <w:rPr>
          <w:spacing w:val="21"/>
          <w:sz w:val="22"/>
        </w:rPr>
        <w:t> </w:t>
      </w:r>
      <w:r>
        <w:rPr>
          <w:sz w:val="22"/>
        </w:rPr>
        <w:t>në</w:t>
      </w:r>
      <w:r>
        <w:rPr>
          <w:spacing w:val="21"/>
          <w:sz w:val="22"/>
        </w:rPr>
        <w:t> </w:t>
      </w:r>
      <w:r>
        <w:rPr>
          <w:sz w:val="22"/>
        </w:rPr>
        <w:t>të</w:t>
      </w:r>
      <w:r>
        <w:rPr>
          <w:spacing w:val="21"/>
          <w:sz w:val="22"/>
        </w:rPr>
        <w:t> </w:t>
      </w:r>
      <w:r>
        <w:rPr>
          <w:sz w:val="22"/>
        </w:rPr>
        <w:t>cilat</w:t>
      </w:r>
      <w:r>
        <w:rPr>
          <w:spacing w:val="21"/>
          <w:sz w:val="22"/>
        </w:rPr>
        <w:t> </w:t>
      </w:r>
      <w:r>
        <w:rPr>
          <w:sz w:val="22"/>
        </w:rPr>
        <w:t>angazhohet</w:t>
      </w:r>
      <w:r>
        <w:rPr>
          <w:spacing w:val="22"/>
          <w:sz w:val="22"/>
        </w:rPr>
        <w:t> </w:t>
      </w:r>
      <w:r>
        <w:rPr>
          <w:sz w:val="22"/>
        </w:rPr>
        <w:t>RTSH-ja,</w:t>
      </w:r>
      <w:r>
        <w:rPr>
          <w:spacing w:val="20"/>
          <w:sz w:val="22"/>
        </w:rPr>
        <w:t> </w:t>
      </w:r>
      <w:r>
        <w:rPr>
          <w:sz w:val="22"/>
        </w:rPr>
        <w:t>bazuar</w:t>
      </w:r>
      <w:r>
        <w:rPr>
          <w:spacing w:val="21"/>
          <w:sz w:val="22"/>
        </w:rPr>
        <w:t> </w:t>
      </w:r>
      <w:r>
        <w:rPr>
          <w:sz w:val="22"/>
        </w:rPr>
        <w:t>në</w:t>
      </w:r>
      <w:r>
        <w:rPr>
          <w:spacing w:val="22"/>
          <w:sz w:val="22"/>
        </w:rPr>
        <w:t> </w:t>
      </w:r>
      <w:r>
        <w:rPr>
          <w:sz w:val="22"/>
        </w:rPr>
        <w:t>analizën</w:t>
      </w:r>
      <w:r>
        <w:rPr>
          <w:spacing w:val="20"/>
          <w:sz w:val="22"/>
        </w:rPr>
        <w:t> </w:t>
      </w:r>
      <w:r>
        <w:rPr>
          <w:sz w:val="22"/>
        </w:rPr>
        <w:t>e</w:t>
      </w:r>
    </w:p>
    <w:p>
      <w:pPr>
        <w:pStyle w:val="BodyText"/>
        <w:spacing w:line="252" w:lineRule="exact"/>
        <w:ind w:firstLine="0"/>
      </w:pPr>
      <w:r>
        <w:rPr/>
        <w:t>riskut.</w:t>
      </w:r>
    </w:p>
    <w:p>
      <w:pPr>
        <w:pStyle w:val="ListParagraph"/>
        <w:numPr>
          <w:ilvl w:val="0"/>
          <w:numId w:val="204"/>
        </w:numPr>
        <w:tabs>
          <w:tab w:pos="1062" w:val="left" w:leader="none"/>
        </w:tabs>
        <w:spacing w:line="252" w:lineRule="exact" w:before="0" w:after="0"/>
        <w:ind w:left="1061" w:right="0" w:hanging="222"/>
        <w:jc w:val="left"/>
        <w:rPr>
          <w:sz w:val="22"/>
        </w:rPr>
      </w:pPr>
      <w:r>
        <w:rPr>
          <w:sz w:val="22"/>
        </w:rPr>
        <w:t>Shqyrton kontratat, shuma e të cilave kalon 1 për qind të buxhetit vjetor të</w:t>
      </w:r>
      <w:r>
        <w:rPr>
          <w:spacing w:val="-13"/>
          <w:sz w:val="22"/>
        </w:rPr>
        <w:t> </w:t>
      </w:r>
      <w:r>
        <w:rPr>
          <w:sz w:val="22"/>
        </w:rPr>
        <w:t>RTSH-së.</w:t>
      </w:r>
    </w:p>
    <w:p>
      <w:pPr>
        <w:spacing w:after="0" w:line="252" w:lineRule="exact"/>
        <w:jc w:val="left"/>
        <w:rPr>
          <w:sz w:val="22"/>
        </w:rPr>
        <w:sectPr>
          <w:pgSz w:w="12240" w:h="15840"/>
          <w:pgMar w:top="1500" w:bottom="280" w:left="1320" w:right="1320"/>
        </w:sectPr>
      </w:pPr>
    </w:p>
    <w:p>
      <w:pPr>
        <w:pStyle w:val="ListParagraph"/>
        <w:numPr>
          <w:ilvl w:val="0"/>
          <w:numId w:val="204"/>
        </w:numPr>
        <w:tabs>
          <w:tab w:pos="1102" w:val="left" w:leader="none"/>
        </w:tabs>
        <w:spacing w:line="240" w:lineRule="auto" w:before="74" w:after="0"/>
        <w:ind w:left="120" w:right="114" w:firstLine="720"/>
        <w:jc w:val="left"/>
        <w:rPr>
          <w:sz w:val="22"/>
        </w:rPr>
      </w:pPr>
      <w:r>
        <w:rPr>
          <w:sz w:val="22"/>
        </w:rPr>
        <w:t>Jep mendim për shpenzimet e paparashikuara në buxhet. KDRTSH-ja miraton me vendim masat e propozuara nga Bordi i Administrimit, në lidhje me shpenzimet e paparashikuara në</w:t>
      </w:r>
      <w:r>
        <w:rPr>
          <w:spacing w:val="-14"/>
          <w:sz w:val="22"/>
        </w:rPr>
        <w:t> </w:t>
      </w:r>
      <w:r>
        <w:rPr>
          <w:sz w:val="22"/>
        </w:rPr>
        <w:t>buxhet.</w:t>
      </w:r>
    </w:p>
    <w:p>
      <w:pPr>
        <w:pStyle w:val="ListParagraph"/>
        <w:numPr>
          <w:ilvl w:val="0"/>
          <w:numId w:val="204"/>
        </w:numPr>
        <w:tabs>
          <w:tab w:pos="1095" w:val="left" w:leader="none"/>
        </w:tabs>
        <w:spacing w:line="240" w:lineRule="auto" w:before="0" w:after="0"/>
        <w:ind w:left="119" w:right="117" w:firstLine="720"/>
        <w:jc w:val="left"/>
        <w:rPr>
          <w:sz w:val="22"/>
        </w:rPr>
      </w:pPr>
      <w:r>
        <w:rPr>
          <w:sz w:val="22"/>
        </w:rPr>
        <w:t>I paraqet Drejtorit të Përgjithshëm të RTSH-së raporte dhe bilance financiare, si dhe kryen detyra të tjera, në përputhje me rregullat e përcaktuara në statutin e</w:t>
      </w:r>
      <w:r>
        <w:rPr>
          <w:spacing w:val="-10"/>
          <w:sz w:val="22"/>
        </w:rPr>
        <w:t> </w:t>
      </w:r>
      <w:r>
        <w:rPr>
          <w:sz w:val="22"/>
        </w:rPr>
        <w:t>RTSH-së.</w:t>
      </w:r>
    </w:p>
    <w:p>
      <w:pPr>
        <w:pStyle w:val="ListParagraph"/>
        <w:numPr>
          <w:ilvl w:val="0"/>
          <w:numId w:val="204"/>
        </w:numPr>
        <w:tabs>
          <w:tab w:pos="1099" w:val="left" w:leader="none"/>
        </w:tabs>
        <w:spacing w:line="240" w:lineRule="auto" w:before="0" w:after="0"/>
        <w:ind w:left="119" w:right="115" w:firstLine="720"/>
        <w:jc w:val="left"/>
        <w:rPr>
          <w:sz w:val="22"/>
        </w:rPr>
      </w:pPr>
      <w:r>
        <w:rPr>
          <w:sz w:val="22"/>
        </w:rPr>
        <w:t>Kërkon dhe merr gjithë informacionin e nevojshëm për punën e tij nga departamentet dhe sektorët e RTSH-së.</w:t>
      </w:r>
    </w:p>
    <w:p>
      <w:pPr>
        <w:pStyle w:val="ListParagraph"/>
        <w:numPr>
          <w:ilvl w:val="0"/>
          <w:numId w:val="204"/>
        </w:numPr>
        <w:tabs>
          <w:tab w:pos="1070" w:val="left" w:leader="none"/>
        </w:tabs>
        <w:spacing w:line="242" w:lineRule="auto" w:before="0" w:after="0"/>
        <w:ind w:left="119" w:right="122" w:firstLine="720"/>
        <w:jc w:val="left"/>
        <w:rPr>
          <w:sz w:val="22"/>
        </w:rPr>
      </w:pPr>
      <w:r>
        <w:rPr>
          <w:sz w:val="22"/>
        </w:rPr>
        <w:t>Në rast konflikti midis Drejtorit të Përgjithshëm të RTSH-së dhe Bordit të Administrimit, ky i fundit mund t’i drejtohet</w:t>
      </w:r>
      <w:r>
        <w:rPr>
          <w:spacing w:val="-1"/>
          <w:sz w:val="22"/>
        </w:rPr>
        <w:t> </w:t>
      </w:r>
      <w:r>
        <w:rPr>
          <w:sz w:val="22"/>
        </w:rPr>
        <w:t>KDRTSH-së.</w:t>
      </w:r>
    </w:p>
    <w:p>
      <w:pPr>
        <w:pStyle w:val="ListParagraph"/>
        <w:numPr>
          <w:ilvl w:val="0"/>
          <w:numId w:val="204"/>
        </w:numPr>
        <w:tabs>
          <w:tab w:pos="1061" w:val="left" w:leader="none"/>
        </w:tabs>
        <w:spacing w:line="248" w:lineRule="exact" w:before="0" w:after="0"/>
        <w:ind w:left="1060" w:right="0" w:hanging="222"/>
        <w:jc w:val="left"/>
        <w:rPr>
          <w:sz w:val="22"/>
        </w:rPr>
      </w:pPr>
      <w:r>
        <w:rPr>
          <w:sz w:val="22"/>
        </w:rPr>
        <w:t>Pëlqimi i Bordit të Administrimit është i domosdoshëm për veprimtaritë e</w:t>
      </w:r>
      <w:r>
        <w:rPr>
          <w:spacing w:val="-12"/>
          <w:sz w:val="22"/>
        </w:rPr>
        <w:t> </w:t>
      </w:r>
      <w:r>
        <w:rPr>
          <w:sz w:val="22"/>
        </w:rPr>
        <w:t>mëposhtme:</w:t>
      </w:r>
    </w:p>
    <w:p>
      <w:pPr>
        <w:pStyle w:val="ListParagraph"/>
        <w:numPr>
          <w:ilvl w:val="0"/>
          <w:numId w:val="205"/>
        </w:numPr>
        <w:tabs>
          <w:tab w:pos="1068" w:val="left" w:leader="none"/>
        </w:tabs>
        <w:spacing w:line="252" w:lineRule="exact" w:before="0" w:after="0"/>
        <w:ind w:left="1067" w:right="0" w:hanging="229"/>
        <w:jc w:val="left"/>
        <w:rPr>
          <w:sz w:val="22"/>
        </w:rPr>
      </w:pPr>
      <w:r>
        <w:rPr>
          <w:sz w:val="22"/>
        </w:rPr>
        <w:t>kontratat e punësimit, përfundimin e marrëveshjeve dhe negocimin e konflikteve me</w:t>
      </w:r>
      <w:r>
        <w:rPr>
          <w:spacing w:val="-21"/>
          <w:sz w:val="22"/>
        </w:rPr>
        <w:t> </w:t>
      </w:r>
      <w:r>
        <w:rPr>
          <w:sz w:val="22"/>
        </w:rPr>
        <w:t>sindikatat;</w:t>
      </w:r>
    </w:p>
    <w:p>
      <w:pPr>
        <w:pStyle w:val="ListParagraph"/>
        <w:numPr>
          <w:ilvl w:val="0"/>
          <w:numId w:val="205"/>
        </w:numPr>
        <w:tabs>
          <w:tab w:pos="1080" w:val="left" w:leader="none"/>
        </w:tabs>
        <w:spacing w:line="252" w:lineRule="exact" w:before="0" w:after="0"/>
        <w:ind w:left="1079" w:right="0" w:hanging="241"/>
        <w:jc w:val="left"/>
        <w:rPr>
          <w:sz w:val="22"/>
        </w:rPr>
      </w:pPr>
      <w:r>
        <w:rPr>
          <w:sz w:val="22"/>
        </w:rPr>
        <w:t>blerjen, shitjen dhe lënien peng të pasurisë së</w:t>
      </w:r>
      <w:r>
        <w:rPr>
          <w:spacing w:val="-10"/>
          <w:sz w:val="22"/>
        </w:rPr>
        <w:t> </w:t>
      </w:r>
      <w:r>
        <w:rPr>
          <w:sz w:val="22"/>
        </w:rPr>
        <w:t>luajtshme;</w:t>
      </w:r>
    </w:p>
    <w:p>
      <w:pPr>
        <w:pStyle w:val="ListParagraph"/>
        <w:numPr>
          <w:ilvl w:val="0"/>
          <w:numId w:val="205"/>
        </w:numPr>
        <w:tabs>
          <w:tab w:pos="1068" w:val="left" w:leader="none"/>
        </w:tabs>
        <w:spacing w:line="252" w:lineRule="exact" w:before="0" w:after="0"/>
        <w:ind w:left="1067" w:right="0" w:hanging="229"/>
        <w:jc w:val="left"/>
        <w:rPr>
          <w:sz w:val="22"/>
        </w:rPr>
      </w:pPr>
      <w:r>
        <w:rPr>
          <w:sz w:val="22"/>
        </w:rPr>
        <w:t>marrjen dhe shlyerjen e kredive</w:t>
      </w:r>
      <w:r>
        <w:rPr>
          <w:spacing w:val="-3"/>
          <w:sz w:val="22"/>
        </w:rPr>
        <w:t> </w:t>
      </w:r>
      <w:r>
        <w:rPr>
          <w:sz w:val="22"/>
        </w:rPr>
        <w:t>bankare.</w:t>
      </w:r>
    </w:p>
    <w:p>
      <w:pPr>
        <w:pStyle w:val="ListParagraph"/>
        <w:numPr>
          <w:ilvl w:val="0"/>
          <w:numId w:val="204"/>
        </w:numPr>
        <w:tabs>
          <w:tab w:pos="1196" w:val="left" w:leader="none"/>
        </w:tabs>
        <w:spacing w:line="240" w:lineRule="auto" w:before="1" w:after="0"/>
        <w:ind w:left="119" w:right="115" w:firstLine="720"/>
        <w:jc w:val="left"/>
        <w:rPr>
          <w:sz w:val="22"/>
        </w:rPr>
      </w:pPr>
      <w:r>
        <w:rPr>
          <w:sz w:val="22"/>
        </w:rPr>
        <w:t>Bordi i Administrimit të RTSH-së shpërblehet me pagesë fikse mujore. Masa e shpërblimit caktohet nga</w:t>
      </w:r>
      <w:r>
        <w:rPr>
          <w:spacing w:val="-3"/>
          <w:sz w:val="22"/>
        </w:rPr>
        <w:t> </w:t>
      </w:r>
      <w:r>
        <w:rPr>
          <w:sz w:val="22"/>
        </w:rPr>
        <w:t>KDRTSH-ja.</w:t>
      </w:r>
    </w:p>
    <w:p>
      <w:pPr>
        <w:pStyle w:val="ListParagraph"/>
        <w:numPr>
          <w:ilvl w:val="0"/>
          <w:numId w:val="204"/>
        </w:numPr>
        <w:tabs>
          <w:tab w:pos="1171" w:val="left" w:leader="none"/>
        </w:tabs>
        <w:spacing w:line="240" w:lineRule="auto" w:before="0" w:after="0"/>
        <w:ind w:left="1170" w:right="0" w:hanging="332"/>
        <w:jc w:val="left"/>
        <w:rPr>
          <w:sz w:val="22"/>
        </w:rPr>
      </w:pPr>
      <w:r>
        <w:rPr>
          <w:sz w:val="22"/>
        </w:rPr>
        <w:t>Bordi i Administrimit i raporton KDRTSH-së pas çdo</w:t>
      </w:r>
      <w:r>
        <w:rPr>
          <w:spacing w:val="-6"/>
          <w:sz w:val="22"/>
        </w:rPr>
        <w:t> </w:t>
      </w:r>
      <w:r>
        <w:rPr>
          <w:sz w:val="22"/>
        </w:rPr>
        <w:t>mbledhjeje.</w:t>
      </w:r>
    </w:p>
    <w:p>
      <w:pPr>
        <w:pStyle w:val="BodyText"/>
        <w:ind w:left="0" w:firstLine="0"/>
      </w:pPr>
    </w:p>
    <w:p>
      <w:pPr>
        <w:pStyle w:val="BodyText"/>
        <w:spacing w:before="1"/>
        <w:ind w:left="146" w:right="146" w:firstLine="0"/>
        <w:jc w:val="center"/>
      </w:pPr>
      <w:r>
        <w:rPr/>
        <w:t>Neni 112</w:t>
      </w:r>
    </w:p>
    <w:p>
      <w:pPr>
        <w:pStyle w:val="Heading1"/>
        <w:spacing w:before="3"/>
        <w:ind w:right="147"/>
      </w:pPr>
      <w:r>
        <w:rPr/>
        <w:t>Këshilli për shikuesit dhe dëgjuesit</w:t>
      </w:r>
    </w:p>
    <w:p>
      <w:pPr>
        <w:pStyle w:val="BodyText"/>
        <w:spacing w:before="8"/>
        <w:ind w:left="0" w:firstLine="0"/>
        <w:rPr>
          <w:b/>
          <w:sz w:val="13"/>
        </w:rPr>
      </w:pPr>
    </w:p>
    <w:p>
      <w:pPr>
        <w:spacing w:after="0"/>
        <w:rPr>
          <w:sz w:val="13"/>
        </w:rPr>
        <w:sectPr>
          <w:pgSz w:w="12240" w:h="15840"/>
          <w:pgMar w:top="1360" w:bottom="280" w:left="1320" w:right="1320"/>
        </w:sectPr>
      </w:pPr>
    </w:p>
    <w:p>
      <w:pPr>
        <w:pStyle w:val="BodyText"/>
        <w:spacing w:before="10"/>
        <w:ind w:left="0" w:firstLine="0"/>
        <w:rPr>
          <w:b/>
          <w:sz w:val="29"/>
        </w:rPr>
      </w:pPr>
    </w:p>
    <w:p>
      <w:pPr>
        <w:pStyle w:val="BodyText"/>
        <w:ind w:left="119" w:firstLine="0"/>
      </w:pPr>
      <w:r>
        <w:rPr/>
        <w:t>ligji.</w:t>
      </w:r>
    </w:p>
    <w:p>
      <w:pPr>
        <w:pStyle w:val="ListParagraph"/>
        <w:numPr>
          <w:ilvl w:val="0"/>
          <w:numId w:val="206"/>
        </w:numPr>
        <w:tabs>
          <w:tab w:pos="350" w:val="left" w:leader="none"/>
        </w:tabs>
        <w:spacing w:line="240" w:lineRule="auto" w:before="91" w:after="0"/>
        <w:ind w:left="349" w:right="0" w:hanging="231"/>
        <w:jc w:val="left"/>
        <w:rPr>
          <w:sz w:val="22"/>
        </w:rPr>
      </w:pPr>
      <w:r>
        <w:rPr>
          <w:spacing w:val="-1"/>
          <w:w w:val="100"/>
          <w:sz w:val="22"/>
        </w:rPr>
        <w:br w:type="column"/>
      </w:r>
      <w:r>
        <w:rPr>
          <w:sz w:val="22"/>
        </w:rPr>
        <w:t>RTSH-ja</w:t>
      </w:r>
      <w:r>
        <w:rPr>
          <w:spacing w:val="9"/>
          <w:sz w:val="22"/>
        </w:rPr>
        <w:t> </w:t>
      </w:r>
      <w:r>
        <w:rPr>
          <w:sz w:val="22"/>
        </w:rPr>
        <w:t>krijon</w:t>
      </w:r>
      <w:r>
        <w:rPr>
          <w:spacing w:val="8"/>
          <w:sz w:val="22"/>
        </w:rPr>
        <w:t> </w:t>
      </w:r>
      <w:r>
        <w:rPr>
          <w:sz w:val="22"/>
        </w:rPr>
        <w:t>këshillin</w:t>
      </w:r>
      <w:r>
        <w:rPr>
          <w:spacing w:val="6"/>
          <w:sz w:val="22"/>
        </w:rPr>
        <w:t> </w:t>
      </w:r>
      <w:r>
        <w:rPr>
          <w:sz w:val="22"/>
        </w:rPr>
        <w:t>për</w:t>
      </w:r>
      <w:r>
        <w:rPr>
          <w:spacing w:val="10"/>
          <w:sz w:val="22"/>
        </w:rPr>
        <w:t> </w:t>
      </w:r>
      <w:r>
        <w:rPr>
          <w:sz w:val="22"/>
        </w:rPr>
        <w:t>shikuesit</w:t>
      </w:r>
      <w:r>
        <w:rPr>
          <w:spacing w:val="9"/>
          <w:sz w:val="22"/>
        </w:rPr>
        <w:t> </w:t>
      </w:r>
      <w:r>
        <w:rPr>
          <w:sz w:val="22"/>
        </w:rPr>
        <w:t>dhe</w:t>
      </w:r>
      <w:r>
        <w:rPr>
          <w:spacing w:val="9"/>
          <w:sz w:val="22"/>
        </w:rPr>
        <w:t> </w:t>
      </w:r>
      <w:r>
        <w:rPr>
          <w:sz w:val="22"/>
        </w:rPr>
        <w:t>dëgjuesit</w:t>
      </w:r>
      <w:r>
        <w:rPr>
          <w:spacing w:val="8"/>
          <w:sz w:val="22"/>
        </w:rPr>
        <w:t> </w:t>
      </w:r>
      <w:r>
        <w:rPr>
          <w:sz w:val="22"/>
        </w:rPr>
        <w:t>brenda</w:t>
      </w:r>
      <w:r>
        <w:rPr>
          <w:spacing w:val="9"/>
          <w:sz w:val="22"/>
        </w:rPr>
        <w:t> </w:t>
      </w:r>
      <w:r>
        <w:rPr>
          <w:sz w:val="22"/>
        </w:rPr>
        <w:t>3</w:t>
      </w:r>
      <w:r>
        <w:rPr>
          <w:spacing w:val="8"/>
          <w:sz w:val="22"/>
        </w:rPr>
        <w:t> </w:t>
      </w:r>
      <w:r>
        <w:rPr>
          <w:sz w:val="22"/>
        </w:rPr>
        <w:t>muajve</w:t>
      </w:r>
      <w:r>
        <w:rPr>
          <w:spacing w:val="9"/>
          <w:sz w:val="22"/>
        </w:rPr>
        <w:t> </w:t>
      </w:r>
      <w:r>
        <w:rPr>
          <w:sz w:val="22"/>
        </w:rPr>
        <w:t>nga</w:t>
      </w:r>
      <w:r>
        <w:rPr>
          <w:spacing w:val="10"/>
          <w:sz w:val="22"/>
        </w:rPr>
        <w:t> </w:t>
      </w:r>
      <w:r>
        <w:rPr>
          <w:sz w:val="22"/>
        </w:rPr>
        <w:t>hyrja</w:t>
      </w:r>
      <w:r>
        <w:rPr>
          <w:spacing w:val="6"/>
          <w:sz w:val="22"/>
        </w:rPr>
        <w:t> </w:t>
      </w:r>
      <w:r>
        <w:rPr>
          <w:sz w:val="22"/>
        </w:rPr>
        <w:t>në</w:t>
      </w:r>
      <w:r>
        <w:rPr>
          <w:spacing w:val="9"/>
          <w:sz w:val="22"/>
        </w:rPr>
        <w:t> </w:t>
      </w:r>
      <w:r>
        <w:rPr>
          <w:sz w:val="22"/>
        </w:rPr>
        <w:t>fuqi</w:t>
      </w:r>
      <w:r>
        <w:rPr>
          <w:spacing w:val="10"/>
          <w:sz w:val="22"/>
        </w:rPr>
        <w:t> </w:t>
      </w:r>
      <w:r>
        <w:rPr>
          <w:sz w:val="22"/>
        </w:rPr>
        <w:t>e</w:t>
      </w:r>
      <w:r>
        <w:rPr>
          <w:spacing w:val="9"/>
          <w:sz w:val="22"/>
        </w:rPr>
        <w:t> </w:t>
      </w:r>
      <w:r>
        <w:rPr>
          <w:sz w:val="22"/>
        </w:rPr>
        <w:t>këtij</w:t>
      </w:r>
    </w:p>
    <w:p>
      <w:pPr>
        <w:pStyle w:val="BodyText"/>
        <w:ind w:left="0" w:firstLine="0"/>
      </w:pPr>
    </w:p>
    <w:p>
      <w:pPr>
        <w:pStyle w:val="ListParagraph"/>
        <w:numPr>
          <w:ilvl w:val="0"/>
          <w:numId w:val="206"/>
        </w:numPr>
        <w:tabs>
          <w:tab w:pos="341" w:val="left" w:leader="none"/>
        </w:tabs>
        <w:spacing w:line="240" w:lineRule="auto" w:before="1" w:after="0"/>
        <w:ind w:left="340" w:right="0" w:hanging="222"/>
        <w:jc w:val="left"/>
        <w:rPr>
          <w:sz w:val="22"/>
        </w:rPr>
      </w:pPr>
      <w:r>
        <w:rPr>
          <w:sz w:val="22"/>
        </w:rPr>
        <w:t>Këshilli përbëhet nga 15 anëtarë, të zgjedhur nga KDRTSH-ja, mes anëtarëve të saj,</w:t>
      </w:r>
      <w:r>
        <w:rPr>
          <w:spacing w:val="-17"/>
          <w:sz w:val="22"/>
        </w:rPr>
        <w:t> </w:t>
      </w:r>
      <w:r>
        <w:rPr>
          <w:sz w:val="22"/>
        </w:rPr>
        <w:t>gazetarëve</w:t>
      </w:r>
    </w:p>
    <w:p>
      <w:pPr>
        <w:spacing w:after="0" w:line="240" w:lineRule="auto"/>
        <w:jc w:val="left"/>
        <w:rPr>
          <w:sz w:val="22"/>
        </w:rPr>
        <w:sectPr>
          <w:type w:val="continuous"/>
          <w:pgSz w:w="12240" w:h="15840"/>
          <w:pgMar w:top="1360" w:bottom="280" w:left="1320" w:right="1320"/>
          <w:cols w:num="2" w:equalWidth="0">
            <w:col w:w="574" w:space="146"/>
            <w:col w:w="8880"/>
          </w:cols>
        </w:sectPr>
      </w:pPr>
    </w:p>
    <w:p>
      <w:pPr>
        <w:pStyle w:val="BodyText"/>
        <w:ind w:left="119" w:right="115" w:firstLine="0"/>
        <w:jc w:val="both"/>
      </w:pPr>
      <w:r>
        <w:rPr/>
        <w:t>ose punonjësve të tjerë të RTSH-së dhe të paktën dy të tretat prej tyre të jenë përfaqësues të jashtëm të kategorive të ndryshme shoqërore.</w:t>
      </w:r>
    </w:p>
    <w:p>
      <w:pPr>
        <w:pStyle w:val="ListParagraph"/>
        <w:numPr>
          <w:ilvl w:val="0"/>
          <w:numId w:val="206"/>
        </w:numPr>
        <w:tabs>
          <w:tab w:pos="1094" w:val="left" w:leader="none"/>
        </w:tabs>
        <w:spacing w:line="240" w:lineRule="auto" w:before="0" w:after="0"/>
        <w:ind w:left="119" w:right="116" w:firstLine="720"/>
        <w:jc w:val="both"/>
        <w:rPr>
          <w:sz w:val="22"/>
        </w:rPr>
      </w:pPr>
      <w:r>
        <w:rPr>
          <w:sz w:val="22"/>
        </w:rPr>
        <w:t>Këshilli për shikuesit dhe dëgjuesit, në funksionimin e tij, duhet të sigurojë përfaqësimin e shikuesve dhe dëgjuesve dhe veçanërisht personave me nevoja të veçanta</w:t>
      </w:r>
      <w:r>
        <w:rPr>
          <w:spacing w:val="-5"/>
          <w:sz w:val="22"/>
        </w:rPr>
        <w:t> </w:t>
      </w:r>
      <w:r>
        <w:rPr>
          <w:sz w:val="22"/>
        </w:rPr>
        <w:t>shqisore.</w:t>
      </w:r>
    </w:p>
    <w:p>
      <w:pPr>
        <w:pStyle w:val="ListParagraph"/>
        <w:numPr>
          <w:ilvl w:val="0"/>
          <w:numId w:val="206"/>
        </w:numPr>
        <w:tabs>
          <w:tab w:pos="1061" w:val="left" w:leader="none"/>
        </w:tabs>
        <w:spacing w:line="252" w:lineRule="exact" w:before="0" w:after="0"/>
        <w:ind w:left="1060" w:right="0" w:hanging="222"/>
        <w:jc w:val="both"/>
        <w:rPr>
          <w:sz w:val="22"/>
        </w:rPr>
      </w:pPr>
      <w:r>
        <w:rPr>
          <w:sz w:val="22"/>
        </w:rPr>
        <w:t>RTSH-ja i siguron këshillit kushtet për ushtrimin e funksioneve të këtij të</w:t>
      </w:r>
      <w:r>
        <w:rPr>
          <w:spacing w:val="-7"/>
          <w:sz w:val="22"/>
        </w:rPr>
        <w:t> </w:t>
      </w:r>
      <w:r>
        <w:rPr>
          <w:sz w:val="22"/>
        </w:rPr>
        <w:t>fundit.</w:t>
      </w:r>
    </w:p>
    <w:p>
      <w:pPr>
        <w:pStyle w:val="ListParagraph"/>
        <w:numPr>
          <w:ilvl w:val="0"/>
          <w:numId w:val="206"/>
        </w:numPr>
        <w:tabs>
          <w:tab w:pos="1068" w:val="left" w:leader="none"/>
        </w:tabs>
        <w:spacing w:line="240" w:lineRule="auto" w:before="0" w:after="0"/>
        <w:ind w:left="119" w:right="116" w:firstLine="720"/>
        <w:jc w:val="both"/>
        <w:rPr>
          <w:sz w:val="22"/>
        </w:rPr>
      </w:pPr>
      <w:r>
        <w:rPr>
          <w:sz w:val="22"/>
        </w:rPr>
        <w:t>Këshilli për shikuesit dhe dëgjuesit mund t’i kërkojë RTSH-së, kur e sheh të nevojshme dhe të mundur, vëzhgime dhe studime lidhur me ndjekjen e shërbimeve të transmetimeve nga ana e të miturve dhe të rinjve, të moshuarve dhe kategorive të tjera të veçanta të</w:t>
      </w:r>
      <w:r>
        <w:rPr>
          <w:spacing w:val="-10"/>
          <w:sz w:val="22"/>
        </w:rPr>
        <w:t> </w:t>
      </w:r>
      <w:r>
        <w:rPr>
          <w:sz w:val="22"/>
        </w:rPr>
        <w:t>shoqërisë.</w:t>
      </w:r>
    </w:p>
    <w:p>
      <w:pPr>
        <w:pStyle w:val="ListParagraph"/>
        <w:numPr>
          <w:ilvl w:val="0"/>
          <w:numId w:val="206"/>
        </w:numPr>
        <w:tabs>
          <w:tab w:pos="1144" w:val="left" w:leader="none"/>
        </w:tabs>
        <w:spacing w:line="240" w:lineRule="auto" w:before="0" w:after="0"/>
        <w:ind w:left="119" w:right="115" w:firstLine="720"/>
        <w:jc w:val="both"/>
        <w:rPr>
          <w:sz w:val="22"/>
        </w:rPr>
      </w:pPr>
      <w:r>
        <w:rPr>
          <w:sz w:val="22"/>
        </w:rPr>
        <w:t>Në ushtrim të funksioneve të veta, këshilli mund të organizojë seanca dëgjimore në transmetime të drejtpërdrejta dhe të kërkojë nga RTSH-ja, për këtë qëllim, dy herë në vit vënien në dispozicion të paktën të një ore transmetimi, si në transmetimet e programit televiziv dhe në ato</w:t>
      </w:r>
      <w:r>
        <w:rPr>
          <w:spacing w:val="-20"/>
          <w:sz w:val="22"/>
        </w:rPr>
        <w:t> </w:t>
      </w:r>
      <w:r>
        <w:rPr>
          <w:sz w:val="22"/>
        </w:rPr>
        <w:t>audio.</w:t>
      </w:r>
    </w:p>
    <w:p>
      <w:pPr>
        <w:pStyle w:val="ListParagraph"/>
        <w:numPr>
          <w:ilvl w:val="0"/>
          <w:numId w:val="206"/>
        </w:numPr>
        <w:tabs>
          <w:tab w:pos="1130" w:val="left" w:leader="none"/>
        </w:tabs>
        <w:spacing w:line="240" w:lineRule="auto" w:before="0" w:after="0"/>
        <w:ind w:left="118" w:right="116" w:firstLine="720"/>
        <w:jc w:val="both"/>
        <w:rPr>
          <w:sz w:val="22"/>
        </w:rPr>
      </w:pPr>
      <w:r>
        <w:rPr>
          <w:sz w:val="22"/>
        </w:rPr>
        <w:t>Këshilli për shikuesit dhe dëgjuesit harton një raport vjetor, në lidhje me ushtrimin e funksioneve të tij, dhe ia paraqet KDRTSH-së, AMA-s, ministrit dhe Komisionit për Edukimin dhe Mjetet e Informimit Publik të</w:t>
      </w:r>
      <w:r>
        <w:rPr>
          <w:spacing w:val="-6"/>
          <w:sz w:val="22"/>
        </w:rPr>
        <w:t> </w:t>
      </w:r>
      <w:r>
        <w:rPr>
          <w:sz w:val="22"/>
        </w:rPr>
        <w:t>Kuvendit.</w:t>
      </w:r>
    </w:p>
    <w:p>
      <w:pPr>
        <w:pStyle w:val="BodyText"/>
        <w:spacing w:before="9"/>
        <w:ind w:left="0" w:firstLine="0"/>
        <w:rPr>
          <w:sz w:val="21"/>
        </w:rPr>
      </w:pPr>
    </w:p>
    <w:p>
      <w:pPr>
        <w:pStyle w:val="BodyText"/>
        <w:spacing w:before="1"/>
        <w:ind w:left="146" w:right="146" w:firstLine="0"/>
        <w:jc w:val="center"/>
      </w:pPr>
      <w:r>
        <w:rPr/>
        <w:t>Neni 113</w:t>
      </w:r>
    </w:p>
    <w:p>
      <w:pPr>
        <w:pStyle w:val="Heading1"/>
        <w:spacing w:before="3"/>
      </w:pPr>
      <w:r>
        <w:rPr/>
        <w:t>Financimi i RTSH-së</w:t>
      </w:r>
    </w:p>
    <w:p>
      <w:pPr>
        <w:pStyle w:val="BodyText"/>
        <w:spacing w:before="8"/>
        <w:ind w:left="0" w:firstLine="0"/>
        <w:rPr>
          <w:b/>
          <w:sz w:val="13"/>
        </w:rPr>
      </w:pPr>
    </w:p>
    <w:p>
      <w:pPr>
        <w:spacing w:after="0"/>
        <w:rPr>
          <w:sz w:val="13"/>
        </w:rPr>
        <w:sectPr>
          <w:type w:val="continuous"/>
          <w:pgSz w:w="12240" w:h="15840"/>
          <w:pgMar w:top="1360" w:bottom="280" w:left="1320" w:right="1320"/>
        </w:sectPr>
      </w:pPr>
    </w:p>
    <w:p>
      <w:pPr>
        <w:pStyle w:val="BodyText"/>
        <w:ind w:left="0" w:firstLine="0"/>
        <w:rPr>
          <w:b/>
          <w:sz w:val="24"/>
        </w:rPr>
      </w:pPr>
    </w:p>
    <w:p>
      <w:pPr>
        <w:pStyle w:val="BodyText"/>
        <w:spacing w:before="11"/>
        <w:ind w:left="0" w:firstLine="0"/>
        <w:rPr>
          <w:b/>
          <w:sz w:val="27"/>
        </w:rPr>
      </w:pPr>
    </w:p>
    <w:p>
      <w:pPr>
        <w:pStyle w:val="BodyText"/>
        <w:spacing w:line="480" w:lineRule="auto"/>
        <w:ind w:left="118" w:right="-18" w:firstLine="0"/>
      </w:pPr>
      <w:r>
        <w:rPr/>
        <w:t>taksat; teknike;</w:t>
      </w:r>
    </w:p>
    <w:p>
      <w:pPr>
        <w:pStyle w:val="ListParagraph"/>
        <w:numPr>
          <w:ilvl w:val="0"/>
          <w:numId w:val="207"/>
        </w:numPr>
        <w:tabs>
          <w:tab w:pos="192" w:val="left" w:leader="none"/>
        </w:tabs>
        <w:spacing w:line="240" w:lineRule="auto" w:before="91" w:after="0"/>
        <w:ind w:left="191" w:right="0" w:hanging="222"/>
        <w:jc w:val="left"/>
        <w:rPr>
          <w:sz w:val="22"/>
        </w:rPr>
      </w:pPr>
      <w:r>
        <w:rPr>
          <w:spacing w:val="-1"/>
          <w:w w:val="100"/>
          <w:sz w:val="22"/>
        </w:rPr>
        <w:br w:type="column"/>
      </w:r>
      <w:r>
        <w:rPr>
          <w:sz w:val="22"/>
        </w:rPr>
        <w:t>RTSH-ja i siguron fondet financiare për funksionimin dhe ushtrimin e detyrave të veta</w:t>
      </w:r>
      <w:r>
        <w:rPr>
          <w:spacing w:val="-16"/>
          <w:sz w:val="22"/>
        </w:rPr>
        <w:t> </w:t>
      </w:r>
      <w:r>
        <w:rPr>
          <w:sz w:val="22"/>
        </w:rPr>
        <w:t>nga:</w:t>
      </w:r>
    </w:p>
    <w:p>
      <w:pPr>
        <w:pStyle w:val="ListParagraph"/>
        <w:numPr>
          <w:ilvl w:val="0"/>
          <w:numId w:val="208"/>
        </w:numPr>
        <w:tabs>
          <w:tab w:pos="211" w:val="left" w:leader="none"/>
        </w:tabs>
        <w:spacing w:line="240" w:lineRule="auto" w:before="2" w:after="0"/>
        <w:ind w:left="210" w:right="0" w:hanging="241"/>
        <w:jc w:val="left"/>
        <w:rPr>
          <w:sz w:val="22"/>
        </w:rPr>
      </w:pPr>
      <w:r>
        <w:rPr>
          <w:sz w:val="22"/>
        </w:rPr>
        <w:t>tarifa</w:t>
      </w:r>
      <w:r>
        <w:rPr>
          <w:spacing w:val="10"/>
          <w:sz w:val="22"/>
        </w:rPr>
        <w:t> </w:t>
      </w:r>
      <w:r>
        <w:rPr>
          <w:sz w:val="22"/>
        </w:rPr>
        <w:t>e</w:t>
      </w:r>
      <w:r>
        <w:rPr>
          <w:spacing w:val="11"/>
          <w:sz w:val="22"/>
        </w:rPr>
        <w:t> </w:t>
      </w:r>
      <w:r>
        <w:rPr>
          <w:sz w:val="22"/>
        </w:rPr>
        <w:t>shërbimit</w:t>
      </w:r>
      <w:r>
        <w:rPr>
          <w:spacing w:val="11"/>
          <w:sz w:val="22"/>
        </w:rPr>
        <w:t> </w:t>
      </w:r>
      <w:r>
        <w:rPr>
          <w:sz w:val="22"/>
        </w:rPr>
        <w:t>për</w:t>
      </w:r>
      <w:r>
        <w:rPr>
          <w:spacing w:val="11"/>
          <w:sz w:val="22"/>
        </w:rPr>
        <w:t> </w:t>
      </w:r>
      <w:r>
        <w:rPr>
          <w:sz w:val="22"/>
        </w:rPr>
        <w:t>përdorimin</w:t>
      </w:r>
      <w:r>
        <w:rPr>
          <w:spacing w:val="11"/>
          <w:sz w:val="22"/>
        </w:rPr>
        <w:t> </w:t>
      </w:r>
      <w:r>
        <w:rPr>
          <w:sz w:val="22"/>
        </w:rPr>
        <w:t>e</w:t>
      </w:r>
      <w:r>
        <w:rPr>
          <w:spacing w:val="11"/>
          <w:sz w:val="22"/>
        </w:rPr>
        <w:t> </w:t>
      </w:r>
      <w:r>
        <w:rPr>
          <w:sz w:val="22"/>
        </w:rPr>
        <w:t>aparatit</w:t>
      </w:r>
      <w:r>
        <w:rPr>
          <w:spacing w:val="11"/>
          <w:sz w:val="22"/>
        </w:rPr>
        <w:t> </w:t>
      </w:r>
      <w:r>
        <w:rPr>
          <w:sz w:val="22"/>
        </w:rPr>
        <w:t>marrës</w:t>
      </w:r>
      <w:r>
        <w:rPr>
          <w:spacing w:val="9"/>
          <w:sz w:val="22"/>
        </w:rPr>
        <w:t> </w:t>
      </w:r>
      <w:r>
        <w:rPr>
          <w:sz w:val="22"/>
        </w:rPr>
        <w:t>televiziv,</w:t>
      </w:r>
      <w:r>
        <w:rPr>
          <w:spacing w:val="10"/>
          <w:sz w:val="22"/>
        </w:rPr>
        <w:t> </w:t>
      </w:r>
      <w:r>
        <w:rPr>
          <w:sz w:val="22"/>
        </w:rPr>
        <w:t>e</w:t>
      </w:r>
      <w:r>
        <w:rPr>
          <w:spacing w:val="13"/>
          <w:sz w:val="22"/>
        </w:rPr>
        <w:t> </w:t>
      </w:r>
      <w:r>
        <w:rPr>
          <w:sz w:val="22"/>
        </w:rPr>
        <w:t>miratuar</w:t>
      </w:r>
      <w:r>
        <w:rPr>
          <w:spacing w:val="12"/>
          <w:sz w:val="22"/>
        </w:rPr>
        <w:t> </w:t>
      </w:r>
      <w:r>
        <w:rPr>
          <w:sz w:val="22"/>
        </w:rPr>
        <w:t>sipas</w:t>
      </w:r>
      <w:r>
        <w:rPr>
          <w:spacing w:val="10"/>
          <w:sz w:val="22"/>
        </w:rPr>
        <w:t> </w:t>
      </w:r>
      <w:r>
        <w:rPr>
          <w:sz w:val="22"/>
        </w:rPr>
        <w:t>legjislacionit</w:t>
      </w:r>
      <w:r>
        <w:rPr>
          <w:spacing w:val="12"/>
          <w:sz w:val="22"/>
        </w:rPr>
        <w:t> </w:t>
      </w:r>
      <w:r>
        <w:rPr>
          <w:sz w:val="22"/>
        </w:rPr>
        <w:t>për</w:t>
      </w:r>
    </w:p>
    <w:p>
      <w:pPr>
        <w:pStyle w:val="BodyText"/>
        <w:ind w:left="0" w:firstLine="0"/>
      </w:pPr>
    </w:p>
    <w:p>
      <w:pPr>
        <w:pStyle w:val="ListParagraph"/>
        <w:numPr>
          <w:ilvl w:val="0"/>
          <w:numId w:val="208"/>
        </w:numPr>
        <w:tabs>
          <w:tab w:pos="247" w:val="left" w:leader="none"/>
        </w:tabs>
        <w:spacing w:line="240" w:lineRule="auto" w:before="0" w:after="0"/>
        <w:ind w:left="246" w:right="0" w:hanging="277"/>
        <w:jc w:val="left"/>
        <w:rPr>
          <w:sz w:val="22"/>
        </w:rPr>
      </w:pPr>
      <w:r>
        <w:rPr>
          <w:sz w:val="22"/>
        </w:rPr>
        <w:t>kontratat</w:t>
      </w:r>
      <w:r>
        <w:rPr>
          <w:spacing w:val="35"/>
          <w:sz w:val="22"/>
        </w:rPr>
        <w:t> </w:t>
      </w:r>
      <w:r>
        <w:rPr>
          <w:sz w:val="22"/>
        </w:rPr>
        <w:t>me</w:t>
      </w:r>
      <w:r>
        <w:rPr>
          <w:spacing w:val="34"/>
          <w:sz w:val="22"/>
        </w:rPr>
        <w:t> </w:t>
      </w:r>
      <w:r>
        <w:rPr>
          <w:sz w:val="22"/>
        </w:rPr>
        <w:t>palë</w:t>
      </w:r>
      <w:r>
        <w:rPr>
          <w:spacing w:val="35"/>
          <w:sz w:val="22"/>
        </w:rPr>
        <w:t> </w:t>
      </w:r>
      <w:r>
        <w:rPr>
          <w:sz w:val="22"/>
        </w:rPr>
        <w:t>të</w:t>
      </w:r>
      <w:r>
        <w:rPr>
          <w:spacing w:val="34"/>
          <w:sz w:val="22"/>
        </w:rPr>
        <w:t> </w:t>
      </w:r>
      <w:r>
        <w:rPr>
          <w:sz w:val="22"/>
        </w:rPr>
        <w:t>treta</w:t>
      </w:r>
      <w:r>
        <w:rPr>
          <w:spacing w:val="35"/>
          <w:sz w:val="22"/>
        </w:rPr>
        <w:t> </w:t>
      </w:r>
      <w:r>
        <w:rPr>
          <w:sz w:val="22"/>
        </w:rPr>
        <w:t>për</w:t>
      </w:r>
      <w:r>
        <w:rPr>
          <w:spacing w:val="35"/>
          <w:sz w:val="22"/>
        </w:rPr>
        <w:t> </w:t>
      </w:r>
      <w:r>
        <w:rPr>
          <w:sz w:val="22"/>
        </w:rPr>
        <w:t>transmetime</w:t>
      </w:r>
      <w:r>
        <w:rPr>
          <w:spacing w:val="34"/>
          <w:sz w:val="22"/>
        </w:rPr>
        <w:t> </w:t>
      </w:r>
      <w:r>
        <w:rPr>
          <w:sz w:val="22"/>
        </w:rPr>
        <w:t>të</w:t>
      </w:r>
      <w:r>
        <w:rPr>
          <w:spacing w:val="35"/>
          <w:sz w:val="22"/>
        </w:rPr>
        <w:t> </w:t>
      </w:r>
      <w:r>
        <w:rPr>
          <w:sz w:val="22"/>
        </w:rPr>
        <w:t>ndryshme,</w:t>
      </w:r>
      <w:r>
        <w:rPr>
          <w:spacing w:val="34"/>
          <w:sz w:val="22"/>
        </w:rPr>
        <w:t> </w:t>
      </w:r>
      <w:r>
        <w:rPr>
          <w:sz w:val="22"/>
        </w:rPr>
        <w:t>duke</w:t>
      </w:r>
      <w:r>
        <w:rPr>
          <w:spacing w:val="35"/>
          <w:sz w:val="22"/>
        </w:rPr>
        <w:t> </w:t>
      </w:r>
      <w:r>
        <w:rPr>
          <w:sz w:val="22"/>
        </w:rPr>
        <w:t>shfrytëzuar</w:t>
      </w:r>
      <w:r>
        <w:rPr>
          <w:spacing w:val="35"/>
          <w:sz w:val="22"/>
        </w:rPr>
        <w:t> </w:t>
      </w:r>
      <w:r>
        <w:rPr>
          <w:sz w:val="22"/>
        </w:rPr>
        <w:t>kapacitetet</w:t>
      </w:r>
      <w:r>
        <w:rPr>
          <w:spacing w:val="36"/>
          <w:sz w:val="22"/>
        </w:rPr>
        <w:t> </w:t>
      </w:r>
      <w:r>
        <w:rPr>
          <w:sz w:val="22"/>
        </w:rPr>
        <w:t>e</w:t>
      </w:r>
      <w:r>
        <w:rPr>
          <w:spacing w:val="34"/>
          <w:sz w:val="22"/>
        </w:rPr>
        <w:t> </w:t>
      </w:r>
      <w:r>
        <w:rPr>
          <w:sz w:val="22"/>
        </w:rPr>
        <w:t>lira</w:t>
      </w:r>
    </w:p>
    <w:p>
      <w:pPr>
        <w:pStyle w:val="BodyText"/>
        <w:spacing w:before="9"/>
        <w:ind w:left="0" w:firstLine="0"/>
        <w:rPr>
          <w:sz w:val="21"/>
        </w:rPr>
      </w:pPr>
    </w:p>
    <w:p>
      <w:pPr>
        <w:pStyle w:val="ListParagraph"/>
        <w:numPr>
          <w:ilvl w:val="0"/>
          <w:numId w:val="208"/>
        </w:numPr>
        <w:tabs>
          <w:tab w:pos="199" w:val="left" w:leader="none"/>
        </w:tabs>
        <w:spacing w:line="240" w:lineRule="auto" w:before="0" w:after="0"/>
        <w:ind w:left="198" w:right="0" w:hanging="229"/>
        <w:jc w:val="left"/>
        <w:rPr>
          <w:sz w:val="22"/>
        </w:rPr>
      </w:pPr>
      <w:r>
        <w:rPr>
          <w:sz w:val="22"/>
        </w:rPr>
        <w:t>shërbime të tjera</w:t>
      </w:r>
      <w:r>
        <w:rPr>
          <w:spacing w:val="-1"/>
          <w:sz w:val="22"/>
        </w:rPr>
        <w:t> </w:t>
      </w:r>
      <w:r>
        <w:rPr>
          <w:sz w:val="22"/>
        </w:rPr>
        <w:t>programesh;</w:t>
      </w:r>
    </w:p>
    <w:p>
      <w:pPr>
        <w:pStyle w:val="BodyText"/>
        <w:spacing w:before="2"/>
        <w:ind w:left="-30" w:firstLine="0"/>
      </w:pPr>
      <w:r>
        <w:rPr/>
        <w:t>ç) tregtimin e prodhimeve muzikore, video e audiokasetave, librave, gazetave dhe revistave që</w:t>
      </w:r>
    </w:p>
    <w:p>
      <w:pPr>
        <w:spacing w:after="0"/>
        <w:sectPr>
          <w:type w:val="continuous"/>
          <w:pgSz w:w="12240" w:h="15840"/>
          <w:pgMar w:top="1360" w:bottom="280" w:left="1320" w:right="1320"/>
          <w:cols w:num="2" w:equalWidth="0">
            <w:col w:w="829" w:space="40"/>
            <w:col w:w="8731"/>
          </w:cols>
        </w:sectPr>
      </w:pPr>
    </w:p>
    <w:p>
      <w:pPr>
        <w:pStyle w:val="BodyText"/>
        <w:spacing w:line="252" w:lineRule="exact"/>
        <w:ind w:left="118" w:firstLine="0"/>
      </w:pPr>
      <w:r>
        <w:rPr/>
        <w:t>lidhen me programet e veta;</w:t>
      </w:r>
    </w:p>
    <w:p>
      <w:pPr>
        <w:pStyle w:val="ListParagraph"/>
        <w:numPr>
          <w:ilvl w:val="0"/>
          <w:numId w:val="208"/>
        </w:numPr>
        <w:tabs>
          <w:tab w:pos="1079" w:val="left" w:leader="none"/>
        </w:tabs>
        <w:spacing w:line="252" w:lineRule="exact" w:before="1" w:after="0"/>
        <w:ind w:left="1078" w:right="0" w:hanging="241"/>
        <w:jc w:val="left"/>
        <w:rPr>
          <w:sz w:val="22"/>
        </w:rPr>
      </w:pPr>
      <w:r>
        <w:rPr>
          <w:sz w:val="22"/>
        </w:rPr>
        <w:t>veprimtaritë nga shfaqjet</w:t>
      </w:r>
      <w:r>
        <w:rPr>
          <w:spacing w:val="-3"/>
          <w:sz w:val="22"/>
        </w:rPr>
        <w:t> </w:t>
      </w:r>
      <w:r>
        <w:rPr>
          <w:sz w:val="22"/>
        </w:rPr>
        <w:t>publike;</w:t>
      </w:r>
    </w:p>
    <w:p>
      <w:pPr>
        <w:pStyle w:val="BodyText"/>
        <w:spacing w:line="252" w:lineRule="exact"/>
        <w:ind w:left="838" w:firstLine="0"/>
      </w:pPr>
      <w:r>
        <w:rPr/>
        <w:t>dh) veprimtari të tjera të përcaktuara nga statuti i RTSH-së;</w:t>
      </w:r>
    </w:p>
    <w:p>
      <w:pPr>
        <w:pStyle w:val="ListParagraph"/>
        <w:numPr>
          <w:ilvl w:val="0"/>
          <w:numId w:val="208"/>
        </w:numPr>
        <w:tabs>
          <w:tab w:pos="1068" w:val="left" w:leader="none"/>
        </w:tabs>
        <w:spacing w:line="252" w:lineRule="exact" w:before="0" w:after="0"/>
        <w:ind w:left="1067" w:right="0" w:hanging="230"/>
        <w:jc w:val="left"/>
        <w:rPr>
          <w:sz w:val="22"/>
        </w:rPr>
      </w:pPr>
      <w:r>
        <w:rPr>
          <w:sz w:val="22"/>
        </w:rPr>
        <w:t>reklamat dhe publikimi i mesazheve të tjera të</w:t>
      </w:r>
      <w:r>
        <w:rPr>
          <w:spacing w:val="-1"/>
          <w:sz w:val="22"/>
        </w:rPr>
        <w:t> </w:t>
      </w:r>
      <w:r>
        <w:rPr>
          <w:sz w:val="22"/>
        </w:rPr>
        <w:t>paguara;</w:t>
      </w:r>
    </w:p>
    <w:p>
      <w:pPr>
        <w:spacing w:after="0" w:line="252" w:lineRule="exact"/>
        <w:jc w:val="left"/>
        <w:rPr>
          <w:sz w:val="22"/>
        </w:rPr>
        <w:sectPr>
          <w:type w:val="continuous"/>
          <w:pgSz w:w="12240" w:h="15840"/>
          <w:pgMar w:top="1360" w:bottom="280" w:left="1320" w:right="1320"/>
        </w:sectPr>
      </w:pPr>
    </w:p>
    <w:p>
      <w:pPr>
        <w:pStyle w:val="BodyText"/>
        <w:spacing w:line="252" w:lineRule="exact" w:before="74"/>
        <w:ind w:left="840" w:firstLine="0"/>
      </w:pPr>
      <w:r>
        <w:rPr/>
        <w:t>ë) sponsorizimet dhe dhurimet;</w:t>
      </w:r>
    </w:p>
    <w:p>
      <w:pPr>
        <w:pStyle w:val="ListParagraph"/>
        <w:numPr>
          <w:ilvl w:val="0"/>
          <w:numId w:val="208"/>
        </w:numPr>
        <w:tabs>
          <w:tab w:pos="1045" w:val="left" w:leader="none"/>
        </w:tabs>
        <w:spacing w:line="252" w:lineRule="exact" w:before="0" w:after="0"/>
        <w:ind w:left="1044" w:right="0" w:hanging="205"/>
        <w:jc w:val="left"/>
        <w:rPr>
          <w:sz w:val="22"/>
        </w:rPr>
      </w:pPr>
      <w:r>
        <w:rPr>
          <w:sz w:val="22"/>
        </w:rPr>
        <w:t>shitja e programeve të</w:t>
      </w:r>
      <w:r>
        <w:rPr>
          <w:spacing w:val="-3"/>
          <w:sz w:val="22"/>
        </w:rPr>
        <w:t> </w:t>
      </w:r>
      <w:r>
        <w:rPr>
          <w:sz w:val="22"/>
        </w:rPr>
        <w:t>RTSH-së;</w:t>
      </w:r>
    </w:p>
    <w:p>
      <w:pPr>
        <w:pStyle w:val="ListParagraph"/>
        <w:numPr>
          <w:ilvl w:val="0"/>
          <w:numId w:val="208"/>
        </w:numPr>
        <w:tabs>
          <w:tab w:pos="1078" w:val="left" w:leader="none"/>
        </w:tabs>
        <w:spacing w:line="252" w:lineRule="exact" w:before="1" w:after="0"/>
        <w:ind w:left="1077" w:right="0" w:hanging="238"/>
        <w:jc w:val="left"/>
        <w:rPr>
          <w:sz w:val="22"/>
        </w:rPr>
      </w:pPr>
      <w:r>
        <w:rPr>
          <w:sz w:val="22"/>
        </w:rPr>
        <w:t>financimi nga Buxheti i</w:t>
      </w:r>
      <w:r>
        <w:rPr>
          <w:spacing w:val="-4"/>
          <w:sz w:val="22"/>
        </w:rPr>
        <w:t> </w:t>
      </w:r>
      <w:r>
        <w:rPr>
          <w:sz w:val="22"/>
        </w:rPr>
        <w:t>Shtetit.</w:t>
      </w:r>
    </w:p>
    <w:p>
      <w:pPr>
        <w:pStyle w:val="ListParagraph"/>
        <w:numPr>
          <w:ilvl w:val="0"/>
          <w:numId w:val="207"/>
        </w:numPr>
        <w:tabs>
          <w:tab w:pos="1064" w:val="left" w:leader="none"/>
        </w:tabs>
        <w:spacing w:line="240" w:lineRule="auto" w:before="0" w:after="0"/>
        <w:ind w:left="120" w:right="115" w:firstLine="720"/>
        <w:jc w:val="both"/>
        <w:rPr>
          <w:sz w:val="22"/>
        </w:rPr>
      </w:pPr>
      <w:r>
        <w:rPr>
          <w:sz w:val="22"/>
        </w:rPr>
        <w:t>RTSH-ja mund të hyjë në marrëdhënie huaje, kontrate shërbimi, transaksione apo sipërmarrjeje të përbashkët me subjekte të tjera, kur këto marrëdhënie ngrihen mbi bazën e pronave të veta, në bazë të legjislacionit në fuqi që rregullon këto</w:t>
      </w:r>
      <w:r>
        <w:rPr>
          <w:spacing w:val="-6"/>
          <w:sz w:val="22"/>
        </w:rPr>
        <w:t> </w:t>
      </w:r>
      <w:r>
        <w:rPr>
          <w:sz w:val="22"/>
        </w:rPr>
        <w:t>veprimtari.</w:t>
      </w:r>
    </w:p>
    <w:p>
      <w:pPr>
        <w:pStyle w:val="BodyText"/>
        <w:ind w:left="0" w:firstLine="0"/>
      </w:pPr>
    </w:p>
    <w:p>
      <w:pPr>
        <w:pStyle w:val="BodyText"/>
        <w:ind w:left="146" w:right="146" w:firstLine="0"/>
        <w:jc w:val="center"/>
      </w:pPr>
      <w:r>
        <w:rPr/>
        <w:t>Neni 114</w:t>
      </w:r>
    </w:p>
    <w:p>
      <w:pPr>
        <w:pStyle w:val="Heading1"/>
        <w:ind w:right="144"/>
      </w:pPr>
      <w:r>
        <w:rPr/>
        <w:t>Rregullimi i pronësisë së RTSH-së</w:t>
      </w:r>
    </w:p>
    <w:p>
      <w:pPr>
        <w:pStyle w:val="BodyText"/>
        <w:spacing w:before="7"/>
        <w:ind w:left="0" w:firstLine="0"/>
        <w:rPr>
          <w:b/>
          <w:sz w:val="21"/>
        </w:rPr>
      </w:pPr>
    </w:p>
    <w:p>
      <w:pPr>
        <w:pStyle w:val="BodyText"/>
        <w:ind w:left="119" w:right="377"/>
      </w:pPr>
      <w:r>
        <w:rPr/>
        <w:t>Pasuritë e paluajtshme të RTSH-së regjistrohen si prona të paluajtshme publike dhe administrohen vetëm nga RTSH-ja për përmbushjen e qëllimit të përcaktuar në këtë</w:t>
      </w:r>
      <w:r>
        <w:rPr>
          <w:spacing w:val="-9"/>
        </w:rPr>
        <w:t> </w:t>
      </w:r>
      <w:r>
        <w:rPr/>
        <w:t>ligj.</w:t>
      </w:r>
    </w:p>
    <w:p>
      <w:pPr>
        <w:pStyle w:val="BodyText"/>
        <w:spacing w:before="11"/>
        <w:ind w:left="0" w:firstLine="0"/>
        <w:rPr>
          <w:sz w:val="21"/>
        </w:rPr>
      </w:pPr>
    </w:p>
    <w:p>
      <w:pPr>
        <w:pStyle w:val="BodyText"/>
        <w:ind w:left="146" w:right="146" w:firstLine="0"/>
        <w:jc w:val="center"/>
      </w:pPr>
      <w:r>
        <w:rPr/>
        <w:t>Neni 115</w:t>
      </w:r>
    </w:p>
    <w:p>
      <w:pPr>
        <w:pStyle w:val="Heading1"/>
        <w:spacing w:before="6"/>
        <w:ind w:right="144"/>
      </w:pPr>
      <w:r>
        <w:rPr/>
        <w:t>Tarifa e shërbimit për përdorimin e aparatit marrës televiziv</w:t>
      </w:r>
    </w:p>
    <w:p>
      <w:pPr>
        <w:pStyle w:val="BodyText"/>
        <w:spacing w:before="7"/>
        <w:ind w:left="0" w:firstLine="0"/>
        <w:rPr>
          <w:b/>
          <w:sz w:val="21"/>
        </w:rPr>
      </w:pPr>
    </w:p>
    <w:p>
      <w:pPr>
        <w:pStyle w:val="ListParagraph"/>
        <w:numPr>
          <w:ilvl w:val="0"/>
          <w:numId w:val="209"/>
        </w:numPr>
        <w:tabs>
          <w:tab w:pos="1128" w:val="left" w:leader="none"/>
        </w:tabs>
        <w:spacing w:line="240" w:lineRule="auto" w:before="0" w:after="0"/>
        <w:ind w:left="119" w:right="114" w:firstLine="720"/>
        <w:jc w:val="both"/>
        <w:rPr>
          <w:sz w:val="22"/>
        </w:rPr>
      </w:pPr>
      <w:r>
        <w:rPr>
          <w:sz w:val="22"/>
        </w:rPr>
        <w:t>Tarifa e shërbimit për përdorimin e aparatit marrës aplikohet për aparatin marrës të transmetimeve televizive në posedimin e personave në territorin e Republikës së Shqipërisë, pavarësisht nëse aparati është për përdorim personal apo kolektiv në nivelin, mënyrën dhe formën e përcaktuar në ligjin për taksat kombëtare dhe aktet nënligjore në zbatim të</w:t>
      </w:r>
      <w:r>
        <w:rPr>
          <w:spacing w:val="-10"/>
          <w:sz w:val="22"/>
        </w:rPr>
        <w:t> </w:t>
      </w:r>
      <w:r>
        <w:rPr>
          <w:sz w:val="22"/>
        </w:rPr>
        <w:t>tij.</w:t>
      </w:r>
    </w:p>
    <w:p>
      <w:pPr>
        <w:pStyle w:val="ListParagraph"/>
        <w:numPr>
          <w:ilvl w:val="0"/>
          <w:numId w:val="209"/>
        </w:numPr>
        <w:tabs>
          <w:tab w:pos="1064" w:val="left" w:leader="none"/>
        </w:tabs>
        <w:spacing w:line="240" w:lineRule="auto" w:before="0" w:after="0"/>
        <w:ind w:left="119" w:right="111" w:firstLine="720"/>
        <w:jc w:val="both"/>
        <w:rPr>
          <w:sz w:val="22"/>
        </w:rPr>
      </w:pPr>
      <w:r>
        <w:rPr>
          <w:sz w:val="22"/>
        </w:rPr>
        <w:t>Aparati marrës i ngarkuar me pagesën e tarifës, sipas këtij neni, është ai që shërben për marrjen dhe ndjekjen e shërbimeve audiovizive, pavarësisht nëse ky aparat gjendet në një banesë, mjedis publik apo privat ose automjet.</w:t>
      </w:r>
    </w:p>
    <w:p>
      <w:pPr>
        <w:pStyle w:val="BodyText"/>
        <w:spacing w:before="10"/>
        <w:ind w:left="0" w:firstLine="0"/>
        <w:rPr>
          <w:sz w:val="21"/>
        </w:rPr>
      </w:pPr>
    </w:p>
    <w:p>
      <w:pPr>
        <w:pStyle w:val="BodyText"/>
        <w:ind w:left="146" w:right="146" w:firstLine="0"/>
        <w:jc w:val="center"/>
      </w:pPr>
      <w:r>
        <w:rPr/>
        <w:t>Neni 116</w:t>
      </w:r>
    </w:p>
    <w:p>
      <w:pPr>
        <w:pStyle w:val="Heading1"/>
        <w:ind w:right="147"/>
      </w:pPr>
      <w:r>
        <w:rPr/>
        <w:t>Financimi nga Buxheti i Shtetit</w:t>
      </w:r>
    </w:p>
    <w:p>
      <w:pPr>
        <w:pStyle w:val="BodyText"/>
        <w:spacing w:before="7"/>
        <w:ind w:left="0" w:firstLine="0"/>
        <w:rPr>
          <w:b/>
          <w:sz w:val="21"/>
        </w:rPr>
      </w:pPr>
    </w:p>
    <w:p>
      <w:pPr>
        <w:pStyle w:val="ListParagraph"/>
        <w:numPr>
          <w:ilvl w:val="0"/>
          <w:numId w:val="210"/>
        </w:numPr>
        <w:tabs>
          <w:tab w:pos="1061" w:val="left" w:leader="none"/>
        </w:tabs>
        <w:spacing w:line="252" w:lineRule="exact" w:before="0" w:after="0"/>
        <w:ind w:left="1060" w:right="0" w:hanging="222"/>
        <w:jc w:val="left"/>
        <w:rPr>
          <w:sz w:val="22"/>
        </w:rPr>
      </w:pPr>
      <w:r>
        <w:rPr>
          <w:sz w:val="22"/>
        </w:rPr>
        <w:t>Buxheti i Shtetit</w:t>
      </w:r>
      <w:r>
        <w:rPr>
          <w:spacing w:val="-4"/>
          <w:sz w:val="22"/>
        </w:rPr>
        <w:t> </w:t>
      </w:r>
      <w:r>
        <w:rPr>
          <w:sz w:val="22"/>
        </w:rPr>
        <w:t>financon:</w:t>
      </w:r>
    </w:p>
    <w:p>
      <w:pPr>
        <w:pStyle w:val="ListParagraph"/>
        <w:numPr>
          <w:ilvl w:val="0"/>
          <w:numId w:val="211"/>
        </w:numPr>
        <w:tabs>
          <w:tab w:pos="1069" w:val="left" w:leader="none"/>
        </w:tabs>
        <w:spacing w:line="252" w:lineRule="exact" w:before="0" w:after="0"/>
        <w:ind w:left="1068" w:right="0" w:hanging="229"/>
        <w:jc w:val="left"/>
        <w:rPr>
          <w:sz w:val="22"/>
        </w:rPr>
      </w:pPr>
      <w:r>
        <w:rPr>
          <w:sz w:val="22"/>
        </w:rPr>
        <w:t>shërbimin e transmetimeve audio për shqiptarët jashtë kufijve të Republikës së</w:t>
      </w:r>
      <w:r>
        <w:rPr>
          <w:spacing w:val="-21"/>
          <w:sz w:val="22"/>
        </w:rPr>
        <w:t> </w:t>
      </w:r>
      <w:r>
        <w:rPr>
          <w:sz w:val="22"/>
        </w:rPr>
        <w:t>Shqipërisë;</w:t>
      </w:r>
    </w:p>
    <w:p>
      <w:pPr>
        <w:pStyle w:val="ListParagraph"/>
        <w:numPr>
          <w:ilvl w:val="0"/>
          <w:numId w:val="211"/>
        </w:numPr>
        <w:tabs>
          <w:tab w:pos="1081" w:val="left" w:leader="none"/>
        </w:tabs>
        <w:spacing w:line="252" w:lineRule="exact" w:before="2" w:after="0"/>
        <w:ind w:left="1080" w:right="0" w:hanging="241"/>
        <w:jc w:val="left"/>
        <w:rPr>
          <w:sz w:val="22"/>
        </w:rPr>
      </w:pPr>
      <w:r>
        <w:rPr>
          <w:sz w:val="22"/>
        </w:rPr>
        <w:t>shërbimin e transmetimeve audio për publikun e</w:t>
      </w:r>
      <w:r>
        <w:rPr>
          <w:spacing w:val="-1"/>
          <w:sz w:val="22"/>
        </w:rPr>
        <w:t> </w:t>
      </w:r>
      <w:r>
        <w:rPr>
          <w:sz w:val="22"/>
        </w:rPr>
        <w:t>huaj;</w:t>
      </w:r>
    </w:p>
    <w:p>
      <w:pPr>
        <w:pStyle w:val="ListParagraph"/>
        <w:numPr>
          <w:ilvl w:val="0"/>
          <w:numId w:val="211"/>
        </w:numPr>
        <w:tabs>
          <w:tab w:pos="1155" w:val="left" w:leader="none"/>
        </w:tabs>
        <w:spacing w:line="240" w:lineRule="auto" w:before="0" w:after="0"/>
        <w:ind w:left="120" w:right="114" w:firstLine="720"/>
        <w:jc w:val="left"/>
        <w:rPr>
          <w:sz w:val="22"/>
        </w:rPr>
      </w:pPr>
      <w:r>
        <w:rPr>
          <w:sz w:val="22"/>
        </w:rPr>
        <w:t>shërbimin e transmetimeve audiovizive për shqiptarët jashtë kufijve të Republikës së Shqipërisë;</w:t>
      </w:r>
    </w:p>
    <w:p>
      <w:pPr>
        <w:pStyle w:val="BodyText"/>
        <w:spacing w:line="252" w:lineRule="exact"/>
        <w:ind w:left="840" w:firstLine="0"/>
      </w:pPr>
      <w:r>
        <w:rPr/>
        <w:t>ç) projekte të rëndësishme teknike për futjen e teknologjive të reja për prodhim dhe transmetim;</w:t>
      </w:r>
    </w:p>
    <w:p>
      <w:pPr>
        <w:pStyle w:val="ListParagraph"/>
        <w:numPr>
          <w:ilvl w:val="0"/>
          <w:numId w:val="211"/>
        </w:numPr>
        <w:tabs>
          <w:tab w:pos="1088" w:val="left" w:leader="none"/>
        </w:tabs>
        <w:spacing w:line="240" w:lineRule="auto" w:before="0" w:after="0"/>
        <w:ind w:left="120" w:right="112" w:firstLine="720"/>
        <w:jc w:val="left"/>
        <w:rPr>
          <w:sz w:val="22"/>
        </w:rPr>
      </w:pPr>
      <w:r>
        <w:rPr>
          <w:sz w:val="22"/>
        </w:rPr>
        <w:t>projekte të rëndësishme prodhimi filmik dhe veprimtari artistike të mëdha mbarëkombëtare, të prodhuara nga</w:t>
      </w:r>
      <w:r>
        <w:rPr>
          <w:spacing w:val="-3"/>
          <w:sz w:val="22"/>
        </w:rPr>
        <w:t> </w:t>
      </w:r>
      <w:r>
        <w:rPr>
          <w:sz w:val="22"/>
        </w:rPr>
        <w:t>RTSH-ja;</w:t>
      </w:r>
    </w:p>
    <w:p>
      <w:pPr>
        <w:pStyle w:val="BodyText"/>
        <w:ind w:left="840" w:firstLine="0"/>
      </w:pPr>
      <w:r>
        <w:rPr/>
        <w:t>dh) orkestrën simfonike të RTSH-së dhe kinematografisë.</w:t>
      </w:r>
    </w:p>
    <w:p>
      <w:pPr>
        <w:pStyle w:val="ListParagraph"/>
        <w:numPr>
          <w:ilvl w:val="0"/>
          <w:numId w:val="210"/>
        </w:numPr>
        <w:tabs>
          <w:tab w:pos="1069" w:val="left" w:leader="none"/>
        </w:tabs>
        <w:spacing w:line="240" w:lineRule="auto" w:before="1" w:after="0"/>
        <w:ind w:left="119" w:right="113" w:firstLine="720"/>
        <w:jc w:val="left"/>
        <w:rPr>
          <w:sz w:val="22"/>
        </w:rPr>
      </w:pPr>
      <w:r>
        <w:rPr>
          <w:sz w:val="22"/>
        </w:rPr>
        <w:t>Masa e financimit përcaktohet në ligjin vjetor të Buxhetit të Shtetit, pas miratimit paraprak, në bazë të projektit të</w:t>
      </w:r>
      <w:r>
        <w:rPr>
          <w:spacing w:val="-5"/>
          <w:sz w:val="22"/>
        </w:rPr>
        <w:t> </w:t>
      </w:r>
      <w:r>
        <w:rPr>
          <w:sz w:val="22"/>
        </w:rPr>
        <w:t>propozuar.</w:t>
      </w:r>
    </w:p>
    <w:p>
      <w:pPr>
        <w:pStyle w:val="ListParagraph"/>
        <w:numPr>
          <w:ilvl w:val="0"/>
          <w:numId w:val="210"/>
        </w:numPr>
        <w:tabs>
          <w:tab w:pos="1064" w:val="left" w:leader="none"/>
        </w:tabs>
        <w:spacing w:line="242" w:lineRule="auto" w:before="0" w:after="0"/>
        <w:ind w:left="119" w:right="114" w:firstLine="720"/>
        <w:jc w:val="left"/>
        <w:rPr>
          <w:sz w:val="22"/>
        </w:rPr>
      </w:pPr>
      <w:r>
        <w:rPr>
          <w:sz w:val="22"/>
        </w:rPr>
        <w:t>Ministritë dhe institucionet e tjera shtetërore mund të financojnë projekte të veçanta me rëndësi kombëtare në fushat e kulturës, të shkencës dhe të edukimit, me miratimin e</w:t>
      </w:r>
      <w:r>
        <w:rPr>
          <w:spacing w:val="-13"/>
          <w:sz w:val="22"/>
        </w:rPr>
        <w:t> </w:t>
      </w:r>
      <w:r>
        <w:rPr>
          <w:sz w:val="22"/>
        </w:rPr>
        <w:t>KDRTSH-së.</w:t>
      </w:r>
    </w:p>
    <w:p>
      <w:pPr>
        <w:pStyle w:val="BodyText"/>
        <w:ind w:left="0" w:firstLine="0"/>
        <w:rPr>
          <w:sz w:val="24"/>
        </w:rPr>
      </w:pPr>
    </w:p>
    <w:p>
      <w:pPr>
        <w:pStyle w:val="BodyText"/>
        <w:ind w:left="0" w:firstLine="0"/>
        <w:rPr>
          <w:sz w:val="24"/>
        </w:rPr>
      </w:pPr>
    </w:p>
    <w:p>
      <w:pPr>
        <w:pStyle w:val="BodyText"/>
        <w:spacing w:before="202"/>
        <w:ind w:left="146" w:right="146" w:firstLine="0"/>
        <w:jc w:val="center"/>
      </w:pPr>
      <w:r>
        <w:rPr/>
        <w:t>Neni 117</w:t>
      </w:r>
    </w:p>
    <w:p>
      <w:pPr>
        <w:pStyle w:val="Heading1"/>
        <w:spacing w:before="3"/>
        <w:ind w:right="145"/>
      </w:pPr>
      <w:r>
        <w:rPr/>
        <w:t>Kontrata e shërbimit të transmetimit publik</w:t>
      </w:r>
    </w:p>
    <w:p>
      <w:pPr>
        <w:pStyle w:val="BodyText"/>
        <w:spacing w:before="7"/>
        <w:ind w:left="0" w:firstLine="0"/>
        <w:rPr>
          <w:b/>
          <w:sz w:val="21"/>
        </w:rPr>
      </w:pPr>
    </w:p>
    <w:p>
      <w:pPr>
        <w:pStyle w:val="ListParagraph"/>
        <w:numPr>
          <w:ilvl w:val="0"/>
          <w:numId w:val="212"/>
        </w:numPr>
        <w:tabs>
          <w:tab w:pos="1064" w:val="left" w:leader="none"/>
        </w:tabs>
        <w:spacing w:line="240" w:lineRule="auto" w:before="0" w:after="0"/>
        <w:ind w:left="120" w:right="112" w:firstLine="720"/>
        <w:jc w:val="both"/>
        <w:rPr>
          <w:sz w:val="22"/>
        </w:rPr>
      </w:pPr>
      <w:r>
        <w:rPr>
          <w:sz w:val="22"/>
        </w:rPr>
        <w:t>RTSH-ja, pas realizimit të një konsultimi publik, përgatit, jo më vonë se 1 vit nga hyrja në fuqi e këtij ligji dhe më pas çdo 5 vjet, një kontratë të shërbimit të transmetimit publik, ku përcakton parimet që zbaton dhe veprimtaritë që merr përsipër për përmbushjen e qëllimeve të veta si transmetues publik, të cilën ia paraqet AMA-s.</w:t>
      </w:r>
    </w:p>
    <w:p>
      <w:pPr>
        <w:pStyle w:val="ListParagraph"/>
        <w:numPr>
          <w:ilvl w:val="0"/>
          <w:numId w:val="212"/>
        </w:numPr>
        <w:tabs>
          <w:tab w:pos="1062" w:val="left" w:leader="none"/>
        </w:tabs>
        <w:spacing w:line="251" w:lineRule="exact" w:before="0" w:after="0"/>
        <w:ind w:left="1061" w:right="0" w:hanging="222"/>
        <w:jc w:val="both"/>
        <w:rPr>
          <w:sz w:val="22"/>
        </w:rPr>
      </w:pPr>
      <w:r>
        <w:rPr>
          <w:sz w:val="22"/>
        </w:rPr>
        <w:t>Kontrata e shërbimit të transmetimit publik duhet të parashikojë, veç të</w:t>
      </w:r>
      <w:r>
        <w:rPr>
          <w:spacing w:val="-9"/>
          <w:sz w:val="22"/>
        </w:rPr>
        <w:t> </w:t>
      </w:r>
      <w:r>
        <w:rPr>
          <w:sz w:val="22"/>
        </w:rPr>
        <w:t>tjerash:</w:t>
      </w:r>
    </w:p>
    <w:p>
      <w:pPr>
        <w:spacing w:after="0" w:line="251" w:lineRule="exact"/>
        <w:jc w:val="both"/>
        <w:rPr>
          <w:sz w:val="22"/>
        </w:rPr>
        <w:sectPr>
          <w:pgSz w:w="12240" w:h="15840"/>
          <w:pgMar w:top="1360" w:bottom="280" w:left="1320" w:right="1320"/>
        </w:sectPr>
      </w:pPr>
    </w:p>
    <w:p>
      <w:pPr>
        <w:pStyle w:val="ListParagraph"/>
        <w:numPr>
          <w:ilvl w:val="0"/>
          <w:numId w:val="213"/>
        </w:numPr>
        <w:tabs>
          <w:tab w:pos="1069" w:val="left" w:leader="none"/>
        </w:tabs>
        <w:spacing w:line="252" w:lineRule="exact" w:before="74" w:after="0"/>
        <w:ind w:left="1068" w:right="0" w:hanging="229"/>
        <w:jc w:val="left"/>
        <w:rPr>
          <w:sz w:val="22"/>
        </w:rPr>
      </w:pPr>
      <w:r>
        <w:rPr>
          <w:sz w:val="22"/>
        </w:rPr>
        <w:t>natyrën dhe numrin e orëve të programeve të transmetimit për të</w:t>
      </w:r>
      <w:r>
        <w:rPr>
          <w:spacing w:val="-7"/>
          <w:sz w:val="22"/>
        </w:rPr>
        <w:t> </w:t>
      </w:r>
      <w:r>
        <w:rPr>
          <w:sz w:val="22"/>
        </w:rPr>
        <w:t>miturit;</w:t>
      </w:r>
    </w:p>
    <w:p>
      <w:pPr>
        <w:pStyle w:val="ListParagraph"/>
        <w:numPr>
          <w:ilvl w:val="0"/>
          <w:numId w:val="213"/>
        </w:numPr>
        <w:tabs>
          <w:tab w:pos="1081" w:val="left" w:leader="none"/>
        </w:tabs>
        <w:spacing w:line="252" w:lineRule="exact" w:before="0" w:after="0"/>
        <w:ind w:left="1080" w:right="0" w:hanging="241"/>
        <w:jc w:val="left"/>
        <w:rPr>
          <w:sz w:val="22"/>
        </w:rPr>
      </w:pPr>
      <w:r>
        <w:rPr>
          <w:sz w:val="22"/>
        </w:rPr>
        <w:t>natyrën dhe numrin e orëve të programeve të transmetimit për shkencën dhe</w:t>
      </w:r>
      <w:r>
        <w:rPr>
          <w:spacing w:val="-14"/>
          <w:sz w:val="22"/>
        </w:rPr>
        <w:t> </w:t>
      </w:r>
      <w:r>
        <w:rPr>
          <w:sz w:val="22"/>
        </w:rPr>
        <w:t>teknologjinë;</w:t>
      </w:r>
    </w:p>
    <w:p>
      <w:pPr>
        <w:pStyle w:val="ListParagraph"/>
        <w:numPr>
          <w:ilvl w:val="0"/>
          <w:numId w:val="213"/>
        </w:numPr>
        <w:tabs>
          <w:tab w:pos="1069" w:val="left" w:leader="none"/>
        </w:tabs>
        <w:spacing w:line="240" w:lineRule="auto" w:before="1" w:after="0"/>
        <w:ind w:left="120" w:right="116" w:firstLine="720"/>
        <w:jc w:val="left"/>
        <w:rPr>
          <w:sz w:val="22"/>
        </w:rPr>
      </w:pPr>
      <w:r>
        <w:rPr>
          <w:sz w:val="22"/>
        </w:rPr>
        <w:t>numrin e botimeve që duhet të përgatisë, botojë dhe shpërndajë në përputhje me qëllimet e veta si transmetues publik;</w:t>
      </w:r>
    </w:p>
    <w:p>
      <w:pPr>
        <w:pStyle w:val="BodyText"/>
      </w:pPr>
      <w:r>
        <w:rPr/>
        <w:t>ç) përpilimin, publikimin dhe shpërndarjen e materialeve audiovizive, të regjistruara në përputhje me qëllimet e veta si transmetues publik.</w:t>
      </w:r>
    </w:p>
    <w:p>
      <w:pPr>
        <w:pStyle w:val="ListParagraph"/>
        <w:numPr>
          <w:ilvl w:val="0"/>
          <w:numId w:val="212"/>
        </w:numPr>
        <w:tabs>
          <w:tab w:pos="1124" w:val="left" w:leader="none"/>
        </w:tabs>
        <w:spacing w:line="242" w:lineRule="auto" w:before="0" w:after="0"/>
        <w:ind w:left="120" w:right="112" w:firstLine="720"/>
        <w:jc w:val="left"/>
        <w:rPr>
          <w:sz w:val="22"/>
        </w:rPr>
      </w:pPr>
      <w:r>
        <w:rPr>
          <w:sz w:val="22"/>
        </w:rPr>
        <w:t>AMA mund të nënshkruajë kontratën e shërbimit të transmetimit publik ose të kërkojë rishikimin e saj brenda 30 ditëve nga paraqitja e</w:t>
      </w:r>
      <w:r>
        <w:rPr>
          <w:spacing w:val="-4"/>
          <w:sz w:val="22"/>
        </w:rPr>
        <w:t> </w:t>
      </w:r>
      <w:r>
        <w:rPr>
          <w:sz w:val="22"/>
        </w:rPr>
        <w:t>saj.</w:t>
      </w:r>
    </w:p>
    <w:p>
      <w:pPr>
        <w:pStyle w:val="BodyText"/>
        <w:spacing w:before="6"/>
        <w:ind w:left="0" w:firstLine="0"/>
        <w:rPr>
          <w:sz w:val="21"/>
        </w:rPr>
      </w:pPr>
    </w:p>
    <w:p>
      <w:pPr>
        <w:pStyle w:val="BodyText"/>
        <w:ind w:left="146" w:right="146" w:firstLine="0"/>
        <w:jc w:val="center"/>
      </w:pPr>
      <w:r>
        <w:rPr/>
        <w:t>Neni 118</w:t>
      </w:r>
    </w:p>
    <w:p>
      <w:pPr>
        <w:pStyle w:val="Heading1"/>
      </w:pPr>
      <w:r>
        <w:rPr/>
        <w:t>Qëllimet kryesore të veprimtarisë së RTSH-së</w:t>
      </w:r>
    </w:p>
    <w:p>
      <w:pPr>
        <w:pStyle w:val="BodyText"/>
        <w:spacing w:before="7"/>
        <w:ind w:left="0" w:firstLine="0"/>
        <w:rPr>
          <w:b/>
          <w:sz w:val="21"/>
        </w:rPr>
      </w:pPr>
    </w:p>
    <w:p>
      <w:pPr>
        <w:pStyle w:val="ListParagraph"/>
        <w:numPr>
          <w:ilvl w:val="0"/>
          <w:numId w:val="214"/>
        </w:numPr>
        <w:tabs>
          <w:tab w:pos="1061" w:val="left" w:leader="none"/>
        </w:tabs>
        <w:spacing w:line="252" w:lineRule="exact" w:before="0" w:after="0"/>
        <w:ind w:left="1060" w:right="0" w:hanging="221"/>
        <w:jc w:val="both"/>
        <w:rPr>
          <w:sz w:val="22"/>
        </w:rPr>
      </w:pPr>
      <w:r>
        <w:rPr>
          <w:sz w:val="22"/>
        </w:rPr>
        <w:t>Qëllimet kryesore të veprimtarisë së RTSH-së</w:t>
      </w:r>
      <w:r>
        <w:rPr>
          <w:spacing w:val="-5"/>
          <w:sz w:val="22"/>
        </w:rPr>
        <w:t> </w:t>
      </w:r>
      <w:r>
        <w:rPr>
          <w:sz w:val="22"/>
        </w:rPr>
        <w:t>janë:</w:t>
      </w:r>
    </w:p>
    <w:p>
      <w:pPr>
        <w:pStyle w:val="ListParagraph"/>
        <w:numPr>
          <w:ilvl w:val="0"/>
          <w:numId w:val="215"/>
        </w:numPr>
        <w:tabs>
          <w:tab w:pos="1078" w:val="left" w:leader="none"/>
        </w:tabs>
        <w:spacing w:line="240" w:lineRule="auto" w:before="0" w:after="0"/>
        <w:ind w:left="120" w:right="112" w:firstLine="719"/>
        <w:jc w:val="both"/>
        <w:rPr>
          <w:sz w:val="22"/>
        </w:rPr>
      </w:pPr>
      <w:r>
        <w:rPr>
          <w:sz w:val="22"/>
        </w:rPr>
        <w:t>t’i përgjigjet interesave, kërkesave dhe shqetësimeve të të gjithë popullatës, të mbajë parasysh nevojën për mirëkuptim dhe paqe në Republikën e Shqipërisë e më gjerë, të sigurojë që programet e veta të pasqyrojnë elementet e ndryshme njerëzore dhe kulturore dhe t’i kushtojë vëmendje të veçantë elementeve dalluese të kulturës dhe gjuhës</w:t>
      </w:r>
      <w:r>
        <w:rPr>
          <w:spacing w:val="-5"/>
          <w:sz w:val="22"/>
        </w:rPr>
        <w:t> </w:t>
      </w:r>
      <w:r>
        <w:rPr>
          <w:sz w:val="22"/>
        </w:rPr>
        <w:t>shqipe;</w:t>
      </w:r>
    </w:p>
    <w:p>
      <w:pPr>
        <w:pStyle w:val="ListParagraph"/>
        <w:numPr>
          <w:ilvl w:val="0"/>
          <w:numId w:val="215"/>
        </w:numPr>
        <w:tabs>
          <w:tab w:pos="1119" w:val="left" w:leader="none"/>
        </w:tabs>
        <w:spacing w:line="240" w:lineRule="auto" w:before="0" w:after="0"/>
        <w:ind w:left="120" w:right="113" w:firstLine="720"/>
        <w:jc w:val="both"/>
        <w:rPr>
          <w:sz w:val="22"/>
        </w:rPr>
      </w:pPr>
      <w:r>
        <w:rPr>
          <w:sz w:val="22"/>
        </w:rPr>
        <w:t>të mbështesë vlerat njerëzore dhe demokratike, të mbrojtura nga Kushtetuta, në veçanti të drejtën e shprehjes dhe</w:t>
      </w:r>
      <w:r>
        <w:rPr>
          <w:spacing w:val="-6"/>
          <w:sz w:val="22"/>
        </w:rPr>
        <w:t> </w:t>
      </w:r>
      <w:r>
        <w:rPr>
          <w:sz w:val="22"/>
        </w:rPr>
        <w:t>informimit;</w:t>
      </w:r>
    </w:p>
    <w:p>
      <w:pPr>
        <w:pStyle w:val="ListParagraph"/>
        <w:numPr>
          <w:ilvl w:val="0"/>
          <w:numId w:val="215"/>
        </w:numPr>
        <w:tabs>
          <w:tab w:pos="1088" w:val="left" w:leader="none"/>
        </w:tabs>
        <w:spacing w:line="240" w:lineRule="auto" w:before="1" w:after="0"/>
        <w:ind w:left="120" w:right="113" w:firstLine="720"/>
        <w:jc w:val="both"/>
        <w:rPr>
          <w:sz w:val="22"/>
        </w:rPr>
      </w:pPr>
      <w:r>
        <w:rPr>
          <w:sz w:val="22"/>
        </w:rPr>
        <w:t>të mbajë parasysh nevojën e informimit të publikut dhe kuptimit nga ana e tij të vlerave dhe traditave të vendeve të tjera, në veçanti ato</w:t>
      </w:r>
      <w:r>
        <w:rPr>
          <w:spacing w:val="-5"/>
          <w:sz w:val="22"/>
        </w:rPr>
        <w:t> </w:t>
      </w:r>
      <w:r>
        <w:rPr>
          <w:sz w:val="22"/>
        </w:rPr>
        <w:t>europiane;</w:t>
      </w:r>
    </w:p>
    <w:p>
      <w:pPr>
        <w:pStyle w:val="BodyText"/>
        <w:ind w:right="112"/>
        <w:jc w:val="both"/>
      </w:pPr>
      <w:r>
        <w:rPr/>
        <w:t>ç) të sigurojë një gamë të plotë të programeve në gjuhën shqipe, që pasqyrojnë larminë kulturore, argëtojnë, informojnë dhe edukojnë publikun, sigurojnë mbulimin e pasqyrimit të veprimtarive sportive, fetare e kulturore dhe plotësojnë pritshmëritë e publikut në përgjithësi, si dhe të individëve, që i përkasin pakicave shoqërore, duke respektuar në çdo rast dinjitetin njerëzor;</w:t>
      </w:r>
    </w:p>
    <w:p>
      <w:pPr>
        <w:pStyle w:val="ListParagraph"/>
        <w:numPr>
          <w:ilvl w:val="0"/>
          <w:numId w:val="215"/>
        </w:numPr>
        <w:tabs>
          <w:tab w:pos="1100" w:val="left" w:leader="none"/>
        </w:tabs>
        <w:spacing w:line="240" w:lineRule="auto" w:before="0" w:after="0"/>
        <w:ind w:left="120" w:right="114" w:firstLine="720"/>
        <w:jc w:val="both"/>
        <w:rPr>
          <w:sz w:val="22"/>
        </w:rPr>
      </w:pPr>
      <w:r>
        <w:rPr>
          <w:sz w:val="22"/>
        </w:rPr>
        <w:t>të sigurojë programe me lajme dhe çështje aktuale, në vend dhe jashtë, përfshirë mbulimin e veprimtarive</w:t>
      </w:r>
      <w:r>
        <w:rPr>
          <w:spacing w:val="-1"/>
          <w:sz w:val="22"/>
        </w:rPr>
        <w:t> </w:t>
      </w:r>
      <w:r>
        <w:rPr>
          <w:sz w:val="22"/>
        </w:rPr>
        <w:t>parlamentare;</w:t>
      </w:r>
    </w:p>
    <w:p>
      <w:pPr>
        <w:pStyle w:val="BodyText"/>
        <w:ind w:right="113"/>
        <w:jc w:val="both"/>
      </w:pPr>
      <w:r>
        <w:rPr/>
        <w:t>dh) të ndihmojë dhe të lehtësojë shprehjen e kulturës bashkëkohore dhe nxitjen e risive dhe eksperimentimit në fushën e transmetimeve.</w:t>
      </w:r>
    </w:p>
    <w:p>
      <w:pPr>
        <w:pStyle w:val="ListParagraph"/>
        <w:numPr>
          <w:ilvl w:val="0"/>
          <w:numId w:val="214"/>
        </w:numPr>
        <w:tabs>
          <w:tab w:pos="1071" w:val="left" w:leader="none"/>
        </w:tabs>
        <w:spacing w:line="240" w:lineRule="auto" w:before="0" w:after="0"/>
        <w:ind w:left="120" w:right="116" w:firstLine="720"/>
        <w:jc w:val="both"/>
        <w:rPr>
          <w:sz w:val="22"/>
        </w:rPr>
      </w:pPr>
      <w:r>
        <w:rPr>
          <w:sz w:val="22"/>
        </w:rPr>
        <w:t>Në përmbushje të qëllimeve kryesore të veprimtarisë së saj, sipas pikës 1 të këtij neni, RTSH- ja duhet:</w:t>
      </w:r>
    </w:p>
    <w:p>
      <w:pPr>
        <w:pStyle w:val="ListParagraph"/>
        <w:numPr>
          <w:ilvl w:val="0"/>
          <w:numId w:val="216"/>
        </w:numPr>
        <w:tabs>
          <w:tab w:pos="1076" w:val="left" w:leader="none"/>
        </w:tabs>
        <w:spacing w:line="240" w:lineRule="auto" w:before="0" w:after="0"/>
        <w:ind w:left="120" w:right="112" w:firstLine="720"/>
        <w:jc w:val="both"/>
        <w:rPr>
          <w:sz w:val="22"/>
        </w:rPr>
      </w:pPr>
      <w:r>
        <w:rPr>
          <w:sz w:val="22"/>
        </w:rPr>
        <w:t>të ngrejë, të mirëmbajë dhe të vërë në funksionim shërbimin kombëtar të transmetimeve audio dhe audiovizive, i cili duhet të jetë shërbim transmetimi pa pagesë për publikun dhe i kapshëm, për aq sa është e mundur, nga të gjithë individët në Republikën e</w:t>
      </w:r>
      <w:r>
        <w:rPr>
          <w:spacing w:val="-6"/>
          <w:sz w:val="22"/>
        </w:rPr>
        <w:t> </w:t>
      </w:r>
      <w:r>
        <w:rPr>
          <w:sz w:val="22"/>
        </w:rPr>
        <w:t>Shqipërisë;</w:t>
      </w:r>
    </w:p>
    <w:p>
      <w:pPr>
        <w:pStyle w:val="ListParagraph"/>
        <w:numPr>
          <w:ilvl w:val="0"/>
          <w:numId w:val="216"/>
        </w:numPr>
        <w:tabs>
          <w:tab w:pos="1114" w:val="left" w:leader="none"/>
        </w:tabs>
        <w:spacing w:line="240" w:lineRule="auto" w:before="0" w:after="0"/>
        <w:ind w:left="120" w:right="114" w:firstLine="720"/>
        <w:jc w:val="both"/>
        <w:rPr>
          <w:sz w:val="22"/>
        </w:rPr>
      </w:pPr>
      <w:r>
        <w:rPr>
          <w:sz w:val="22"/>
        </w:rPr>
        <w:t>të ngrejë, të mirëmbajë dhe të vërë në funksionim stacione të transmetimit dhe të sigurojë instalimin dhe përdorimin e rrjeteve të komunikimit elektronik për transmetimet</w:t>
      </w:r>
      <w:r>
        <w:rPr>
          <w:spacing w:val="-14"/>
          <w:sz w:val="22"/>
        </w:rPr>
        <w:t> </w:t>
      </w:r>
      <w:r>
        <w:rPr>
          <w:sz w:val="22"/>
        </w:rPr>
        <w:t>radiotelevizive;</w:t>
      </w:r>
    </w:p>
    <w:p>
      <w:pPr>
        <w:pStyle w:val="ListParagraph"/>
        <w:numPr>
          <w:ilvl w:val="0"/>
          <w:numId w:val="216"/>
        </w:numPr>
        <w:tabs>
          <w:tab w:pos="1100" w:val="left" w:leader="none"/>
        </w:tabs>
        <w:spacing w:line="240" w:lineRule="auto" w:before="0" w:after="0"/>
        <w:ind w:left="120" w:right="119" w:firstLine="720"/>
        <w:jc w:val="both"/>
        <w:rPr>
          <w:sz w:val="22"/>
        </w:rPr>
      </w:pPr>
      <w:r>
        <w:rPr>
          <w:sz w:val="22"/>
        </w:rPr>
        <w:t>të ofrojë shërbimin e teletekstit dhe informacion nëpërmjet faqes së internetit, në lidhje me shërbimet e veta dhe të sigurojë përditësimin e mirëmbajtjen e kësaj</w:t>
      </w:r>
      <w:r>
        <w:rPr>
          <w:spacing w:val="-9"/>
          <w:sz w:val="22"/>
        </w:rPr>
        <w:t> </w:t>
      </w:r>
      <w:r>
        <w:rPr>
          <w:sz w:val="22"/>
        </w:rPr>
        <w:t>faqeje;</w:t>
      </w:r>
    </w:p>
    <w:p>
      <w:pPr>
        <w:pStyle w:val="BodyText"/>
        <w:spacing w:line="251" w:lineRule="exact"/>
        <w:ind w:left="840" w:firstLine="0"/>
        <w:jc w:val="both"/>
      </w:pPr>
      <w:r>
        <w:rPr/>
        <w:t>ç) të krijojë dhe të mbajë orkestrën dhe/ose grupe të ngjashme;</w:t>
      </w:r>
    </w:p>
    <w:p>
      <w:pPr>
        <w:pStyle w:val="ListParagraph"/>
        <w:numPr>
          <w:ilvl w:val="0"/>
          <w:numId w:val="216"/>
        </w:numPr>
        <w:tabs>
          <w:tab w:pos="1141" w:val="left" w:leader="none"/>
        </w:tabs>
        <w:spacing w:line="240" w:lineRule="auto" w:before="0" w:after="0"/>
        <w:ind w:left="120" w:right="113" w:firstLine="720"/>
        <w:jc w:val="both"/>
        <w:rPr>
          <w:sz w:val="22"/>
        </w:rPr>
      </w:pPr>
      <w:r>
        <w:rPr>
          <w:sz w:val="22"/>
        </w:rPr>
        <w:t>të ndihmojë dhe të bashkëpunojë me institucionet përkatëse publike për përgatitjen dhe shpërndarjen e informacionit përkatës për publikun në rastet e gjendjes së</w:t>
      </w:r>
      <w:r>
        <w:rPr>
          <w:spacing w:val="-16"/>
          <w:sz w:val="22"/>
        </w:rPr>
        <w:t> </w:t>
      </w:r>
      <w:r>
        <w:rPr>
          <w:sz w:val="22"/>
        </w:rPr>
        <w:t>jashtëzakonshme;</w:t>
      </w:r>
    </w:p>
    <w:p>
      <w:pPr>
        <w:pStyle w:val="BodyText"/>
        <w:spacing w:before="1"/>
        <w:ind w:right="115" w:firstLine="719"/>
        <w:jc w:val="both"/>
      </w:pPr>
      <w:r>
        <w:rPr/>
        <w:t>dh) të krijojë dhe të mirëmbajë arkivat e materialeve përkatëse, që lidhen me qëllimet e veprimtarisë së vet;</w:t>
      </w:r>
    </w:p>
    <w:p>
      <w:pPr>
        <w:pStyle w:val="ListParagraph"/>
        <w:numPr>
          <w:ilvl w:val="0"/>
          <w:numId w:val="216"/>
        </w:numPr>
        <w:tabs>
          <w:tab w:pos="1091" w:val="left" w:leader="none"/>
        </w:tabs>
        <w:spacing w:line="240" w:lineRule="auto" w:before="0" w:after="0"/>
        <w:ind w:left="120" w:right="112" w:firstLine="720"/>
        <w:jc w:val="both"/>
        <w:rPr>
          <w:sz w:val="22"/>
        </w:rPr>
      </w:pPr>
      <w:r>
        <w:rPr>
          <w:sz w:val="22"/>
        </w:rPr>
        <w:t>të ngrejë, të mirëmbajë dhe të vërë në funksionim një shërbim transmetimi televiziv dhe një shërbim transmetimi audio, që të jetë i kapshëm, për aq sa është e mundur, nga shqiptarët jashtë Republikës së</w:t>
      </w:r>
      <w:r>
        <w:rPr>
          <w:spacing w:val="-1"/>
          <w:sz w:val="22"/>
        </w:rPr>
        <w:t> </w:t>
      </w:r>
      <w:r>
        <w:rPr>
          <w:sz w:val="22"/>
        </w:rPr>
        <w:t>Shqipërisë;</w:t>
      </w:r>
    </w:p>
    <w:p>
      <w:pPr>
        <w:pStyle w:val="BodyText"/>
        <w:ind w:right="113"/>
        <w:jc w:val="both"/>
      </w:pPr>
      <w:r>
        <w:rPr/>
        <w:t>ë) të ngrejë, të mirëmbajë dhe të vërë në funksionim, pas miratimit nga AMA, shërbime transmetimi lokale, rajonale apo për kategori ose grupime të ndryshme shoqërore, shërbime të cilat duhet të jenë të lira;</w:t>
      </w:r>
    </w:p>
    <w:p>
      <w:pPr>
        <w:pStyle w:val="ListParagraph"/>
        <w:numPr>
          <w:ilvl w:val="0"/>
          <w:numId w:val="216"/>
        </w:numPr>
        <w:tabs>
          <w:tab w:pos="1064" w:val="left" w:leader="none"/>
        </w:tabs>
        <w:spacing w:line="240" w:lineRule="auto" w:before="0" w:after="0"/>
        <w:ind w:left="120" w:right="114" w:firstLine="720"/>
        <w:jc w:val="both"/>
        <w:rPr>
          <w:sz w:val="22"/>
        </w:rPr>
      </w:pPr>
      <w:r>
        <w:rPr>
          <w:sz w:val="22"/>
        </w:rPr>
        <w:t>të ngrejë, të mirëmbajë dhe të vërë në funksionim shërbime audiovizive jolineare, në bazë të kërkesës së përdoruesit, shërbime të cilat të kenë karakterin e shërbimit</w:t>
      </w:r>
      <w:r>
        <w:rPr>
          <w:spacing w:val="-9"/>
          <w:sz w:val="22"/>
        </w:rPr>
        <w:t> </w:t>
      </w:r>
      <w:r>
        <w:rPr>
          <w:sz w:val="22"/>
        </w:rPr>
        <w:t>publik;</w:t>
      </w:r>
    </w:p>
    <w:p>
      <w:pPr>
        <w:spacing w:after="0" w:line="240" w:lineRule="auto"/>
        <w:jc w:val="both"/>
        <w:rPr>
          <w:sz w:val="22"/>
        </w:rPr>
        <w:sectPr>
          <w:pgSz w:w="12240" w:h="15840"/>
          <w:pgMar w:top="1360" w:bottom="280" w:left="1320" w:right="1320"/>
        </w:sectPr>
      </w:pPr>
    </w:p>
    <w:p>
      <w:pPr>
        <w:pStyle w:val="BodyText"/>
        <w:ind w:left="0" w:firstLine="0"/>
        <w:rPr>
          <w:sz w:val="24"/>
        </w:rPr>
      </w:pPr>
    </w:p>
    <w:p>
      <w:pPr>
        <w:pStyle w:val="BodyText"/>
        <w:spacing w:before="5"/>
        <w:ind w:left="0" w:firstLine="0"/>
        <w:rPr>
          <w:sz w:val="26"/>
        </w:rPr>
      </w:pPr>
    </w:p>
    <w:p>
      <w:pPr>
        <w:pStyle w:val="BodyText"/>
        <w:ind w:firstLine="0"/>
      </w:pPr>
      <w:r>
        <w:rPr/>
        <w:t>drejtë:</w:t>
      </w:r>
    </w:p>
    <w:p>
      <w:pPr>
        <w:pStyle w:val="ListParagraph"/>
        <w:numPr>
          <w:ilvl w:val="0"/>
          <w:numId w:val="216"/>
        </w:numPr>
        <w:tabs>
          <w:tab w:pos="357" w:val="left" w:leader="none"/>
        </w:tabs>
        <w:spacing w:line="252" w:lineRule="exact" w:before="74" w:after="0"/>
        <w:ind w:left="356" w:right="0" w:hanging="239"/>
        <w:jc w:val="left"/>
        <w:rPr>
          <w:sz w:val="22"/>
        </w:rPr>
      </w:pPr>
      <w:r>
        <w:rPr>
          <w:spacing w:val="1"/>
          <w:w w:val="100"/>
          <w:sz w:val="22"/>
        </w:rPr>
        <w:br w:type="column"/>
      </w:r>
      <w:r>
        <w:rPr>
          <w:sz w:val="22"/>
        </w:rPr>
        <w:t>të ngrejë, të mirëmbajë dhe të vërë në funksionim multiplekse</w:t>
      </w:r>
      <w:r>
        <w:rPr>
          <w:spacing w:val="-9"/>
          <w:sz w:val="22"/>
        </w:rPr>
        <w:t> </w:t>
      </w:r>
      <w:r>
        <w:rPr>
          <w:sz w:val="22"/>
        </w:rPr>
        <w:t>kombëtare.</w:t>
      </w:r>
    </w:p>
    <w:p>
      <w:pPr>
        <w:pStyle w:val="ListParagraph"/>
        <w:numPr>
          <w:ilvl w:val="0"/>
          <w:numId w:val="214"/>
        </w:numPr>
        <w:tabs>
          <w:tab w:pos="362" w:val="left" w:leader="none"/>
        </w:tabs>
        <w:spacing w:line="252" w:lineRule="exact" w:before="0" w:after="0"/>
        <w:ind w:left="361" w:right="0" w:hanging="244"/>
        <w:jc w:val="left"/>
        <w:rPr>
          <w:sz w:val="22"/>
        </w:rPr>
      </w:pPr>
      <w:r>
        <w:rPr>
          <w:sz w:val="22"/>
        </w:rPr>
        <w:t>RTSH-ja, në përmbushje të qëllimeve të veta, siç përcaktohen në pikën 1 të këtij neni, ka</w:t>
      </w:r>
      <w:r>
        <w:rPr>
          <w:spacing w:val="-1"/>
          <w:sz w:val="22"/>
        </w:rPr>
        <w:t> </w:t>
      </w:r>
      <w:r>
        <w:rPr>
          <w:sz w:val="22"/>
        </w:rPr>
        <w:t>të</w:t>
      </w:r>
    </w:p>
    <w:p>
      <w:pPr>
        <w:pStyle w:val="BodyText"/>
        <w:ind w:left="0" w:firstLine="0"/>
      </w:pPr>
    </w:p>
    <w:p>
      <w:pPr>
        <w:pStyle w:val="ListParagraph"/>
        <w:numPr>
          <w:ilvl w:val="0"/>
          <w:numId w:val="217"/>
        </w:numPr>
        <w:tabs>
          <w:tab w:pos="357" w:val="left" w:leader="none"/>
        </w:tabs>
        <w:spacing w:line="240" w:lineRule="auto" w:before="0" w:after="0"/>
        <w:ind w:left="356" w:right="0" w:hanging="239"/>
        <w:jc w:val="left"/>
        <w:rPr>
          <w:sz w:val="22"/>
        </w:rPr>
      </w:pPr>
      <w:r>
        <w:rPr>
          <w:sz w:val="22"/>
        </w:rPr>
        <w:t>të</w:t>
      </w:r>
      <w:r>
        <w:rPr>
          <w:spacing w:val="8"/>
          <w:sz w:val="22"/>
        </w:rPr>
        <w:t> </w:t>
      </w:r>
      <w:r>
        <w:rPr>
          <w:sz w:val="22"/>
        </w:rPr>
        <w:t>shfrytëzojë,</w:t>
      </w:r>
      <w:r>
        <w:rPr>
          <w:spacing w:val="7"/>
          <w:sz w:val="22"/>
        </w:rPr>
        <w:t> </w:t>
      </w:r>
      <w:r>
        <w:rPr>
          <w:sz w:val="22"/>
        </w:rPr>
        <w:t>për</w:t>
      </w:r>
      <w:r>
        <w:rPr>
          <w:spacing w:val="8"/>
          <w:sz w:val="22"/>
        </w:rPr>
        <w:t> </w:t>
      </w:r>
      <w:r>
        <w:rPr>
          <w:sz w:val="22"/>
        </w:rPr>
        <w:t>aq</w:t>
      </w:r>
      <w:r>
        <w:rPr>
          <w:spacing w:val="8"/>
          <w:sz w:val="22"/>
        </w:rPr>
        <w:t> </w:t>
      </w:r>
      <w:r>
        <w:rPr>
          <w:sz w:val="22"/>
        </w:rPr>
        <w:t>sa</w:t>
      </w:r>
      <w:r>
        <w:rPr>
          <w:spacing w:val="5"/>
          <w:sz w:val="22"/>
        </w:rPr>
        <w:t> </w:t>
      </w:r>
      <w:r>
        <w:rPr>
          <w:sz w:val="22"/>
        </w:rPr>
        <w:t>është</w:t>
      </w:r>
      <w:r>
        <w:rPr>
          <w:spacing w:val="8"/>
          <w:sz w:val="22"/>
        </w:rPr>
        <w:t> </w:t>
      </w:r>
      <w:r>
        <w:rPr>
          <w:sz w:val="22"/>
        </w:rPr>
        <w:t>e</w:t>
      </w:r>
      <w:r>
        <w:rPr>
          <w:spacing w:val="8"/>
          <w:sz w:val="22"/>
        </w:rPr>
        <w:t> </w:t>
      </w:r>
      <w:r>
        <w:rPr>
          <w:sz w:val="22"/>
        </w:rPr>
        <w:t>mundur</w:t>
      </w:r>
      <w:r>
        <w:rPr>
          <w:spacing w:val="9"/>
          <w:sz w:val="22"/>
        </w:rPr>
        <w:t> </w:t>
      </w:r>
      <w:r>
        <w:rPr>
          <w:sz w:val="22"/>
        </w:rPr>
        <w:t>dhe</w:t>
      </w:r>
      <w:r>
        <w:rPr>
          <w:spacing w:val="8"/>
          <w:sz w:val="22"/>
        </w:rPr>
        <w:t> </w:t>
      </w:r>
      <w:r>
        <w:rPr>
          <w:sz w:val="22"/>
        </w:rPr>
        <w:t>e</w:t>
      </w:r>
      <w:r>
        <w:rPr>
          <w:spacing w:val="8"/>
          <w:sz w:val="22"/>
        </w:rPr>
        <w:t> </w:t>
      </w:r>
      <w:r>
        <w:rPr>
          <w:sz w:val="22"/>
        </w:rPr>
        <w:t>arsyeshme,</w:t>
      </w:r>
      <w:r>
        <w:rPr>
          <w:spacing w:val="10"/>
          <w:sz w:val="22"/>
        </w:rPr>
        <w:t> </w:t>
      </w:r>
      <w:r>
        <w:rPr>
          <w:sz w:val="22"/>
        </w:rPr>
        <w:t>mundësitë</w:t>
      </w:r>
      <w:r>
        <w:rPr>
          <w:spacing w:val="9"/>
          <w:sz w:val="22"/>
        </w:rPr>
        <w:t> </w:t>
      </w:r>
      <w:r>
        <w:rPr>
          <w:sz w:val="22"/>
        </w:rPr>
        <w:t>tregtare,</w:t>
      </w:r>
      <w:r>
        <w:rPr>
          <w:spacing w:val="7"/>
          <w:sz w:val="22"/>
        </w:rPr>
        <w:t> </w:t>
      </w:r>
      <w:r>
        <w:rPr>
          <w:sz w:val="22"/>
        </w:rPr>
        <w:t>në</w:t>
      </w:r>
      <w:r>
        <w:rPr>
          <w:spacing w:val="8"/>
          <w:sz w:val="22"/>
        </w:rPr>
        <w:t> </w:t>
      </w:r>
      <w:r>
        <w:rPr>
          <w:sz w:val="22"/>
        </w:rPr>
        <w:t>përputhje</w:t>
      </w:r>
      <w:r>
        <w:rPr>
          <w:spacing w:val="8"/>
          <w:sz w:val="22"/>
        </w:rPr>
        <w:t> </w:t>
      </w:r>
      <w:r>
        <w:rPr>
          <w:sz w:val="22"/>
        </w:rPr>
        <w:t>me</w:t>
      </w:r>
    </w:p>
    <w:p>
      <w:pPr>
        <w:spacing w:after="0" w:line="240" w:lineRule="auto"/>
        <w:jc w:val="left"/>
        <w:rPr>
          <w:sz w:val="22"/>
        </w:rPr>
        <w:sectPr>
          <w:pgSz w:w="12240" w:h="15840"/>
          <w:pgMar w:top="1360" w:bottom="280" w:left="1320" w:right="1320"/>
          <w:cols w:num="2" w:equalWidth="0">
            <w:col w:w="682" w:space="40"/>
            <w:col w:w="8878"/>
          </w:cols>
        </w:sectPr>
      </w:pPr>
    </w:p>
    <w:p>
      <w:pPr>
        <w:pStyle w:val="BodyText"/>
        <w:spacing w:line="252" w:lineRule="exact" w:before="1"/>
        <w:ind w:firstLine="0"/>
      </w:pPr>
      <w:r>
        <w:rPr/>
        <w:t>qëllimet e veta;</w:t>
      </w:r>
    </w:p>
    <w:p>
      <w:pPr>
        <w:pStyle w:val="ListParagraph"/>
        <w:numPr>
          <w:ilvl w:val="0"/>
          <w:numId w:val="217"/>
        </w:numPr>
        <w:tabs>
          <w:tab w:pos="1081" w:val="left" w:leader="none"/>
        </w:tabs>
        <w:spacing w:line="252" w:lineRule="exact" w:before="0" w:after="0"/>
        <w:ind w:left="1080" w:right="0" w:hanging="241"/>
        <w:jc w:val="left"/>
        <w:rPr>
          <w:sz w:val="22"/>
        </w:rPr>
      </w:pPr>
      <w:r>
        <w:rPr>
          <w:sz w:val="22"/>
        </w:rPr>
        <w:t>të krijojë, të porosisë dhe të gjejë programe nga burime të</w:t>
      </w:r>
      <w:r>
        <w:rPr>
          <w:spacing w:val="-12"/>
          <w:sz w:val="22"/>
        </w:rPr>
        <w:t> </w:t>
      </w:r>
      <w:r>
        <w:rPr>
          <w:sz w:val="22"/>
        </w:rPr>
        <w:t>ndryshme;</w:t>
      </w:r>
    </w:p>
    <w:p>
      <w:pPr>
        <w:pStyle w:val="ListParagraph"/>
        <w:numPr>
          <w:ilvl w:val="0"/>
          <w:numId w:val="217"/>
        </w:numPr>
        <w:tabs>
          <w:tab w:pos="1069" w:val="left" w:leader="none"/>
        </w:tabs>
        <w:spacing w:line="240" w:lineRule="auto" w:before="0" w:after="0"/>
        <w:ind w:left="120" w:right="113" w:firstLine="720"/>
        <w:jc w:val="left"/>
        <w:rPr>
          <w:sz w:val="22"/>
        </w:rPr>
      </w:pPr>
      <w:r>
        <w:rPr>
          <w:sz w:val="22"/>
        </w:rPr>
        <w:t>të lidhë kontrata dhe marrëveshje, të mbledhë informacione e lajme dhe të pajtohet në agjencitë e shërbimeve të lajmeve e shërbime të tjera, për qëllimet e</w:t>
      </w:r>
      <w:r>
        <w:rPr>
          <w:spacing w:val="-2"/>
          <w:sz w:val="22"/>
        </w:rPr>
        <w:t> </w:t>
      </w:r>
      <w:r>
        <w:rPr>
          <w:sz w:val="22"/>
        </w:rPr>
        <w:t>RTSH-së;</w:t>
      </w:r>
    </w:p>
    <w:p>
      <w:pPr>
        <w:pStyle w:val="BodyText"/>
      </w:pPr>
      <w:r>
        <w:rPr/>
        <w:t>ç) të regjistrohet në shoqëri ndërkombëtare dhe institucione të muzikës, edukimit, artit skenik, kulturës, spektaklit, për qëllimet e RTSH-së;</w:t>
      </w:r>
    </w:p>
    <w:p>
      <w:pPr>
        <w:pStyle w:val="ListParagraph"/>
        <w:numPr>
          <w:ilvl w:val="0"/>
          <w:numId w:val="217"/>
        </w:numPr>
        <w:tabs>
          <w:tab w:pos="1107" w:val="left" w:leader="none"/>
        </w:tabs>
        <w:spacing w:line="240" w:lineRule="auto" w:before="0" w:after="0"/>
        <w:ind w:left="120" w:right="113" w:firstLine="720"/>
        <w:jc w:val="left"/>
        <w:rPr>
          <w:sz w:val="22"/>
        </w:rPr>
      </w:pPr>
      <w:r>
        <w:rPr>
          <w:sz w:val="22"/>
        </w:rPr>
        <w:t>të sigurojë, të organizojë dhe të subvencionojë koncerte, shfaqje, dhe veprimtari të tjera, në lidhje me shërbimin e</w:t>
      </w:r>
      <w:r>
        <w:rPr>
          <w:spacing w:val="-3"/>
          <w:sz w:val="22"/>
        </w:rPr>
        <w:t> </w:t>
      </w:r>
      <w:r>
        <w:rPr>
          <w:sz w:val="22"/>
        </w:rPr>
        <w:t>transmetimit;</w:t>
      </w:r>
    </w:p>
    <w:p>
      <w:pPr>
        <w:pStyle w:val="BodyText"/>
        <w:spacing w:before="1"/>
      </w:pPr>
      <w:r>
        <w:rPr/>
        <w:t>dh) të përgatisë, të botojë dhe të shpërndajë, me ose pa pagesë, shtypshkrime që i shërbejnë qëllimeve të RTSH-së;</w:t>
      </w:r>
    </w:p>
    <w:p>
      <w:pPr>
        <w:pStyle w:val="ListParagraph"/>
        <w:numPr>
          <w:ilvl w:val="0"/>
          <w:numId w:val="217"/>
        </w:numPr>
        <w:tabs>
          <w:tab w:pos="1091" w:val="left" w:leader="none"/>
        </w:tabs>
        <w:spacing w:line="240" w:lineRule="auto" w:before="0" w:after="0"/>
        <w:ind w:left="120" w:right="114" w:firstLine="720"/>
        <w:jc w:val="left"/>
        <w:rPr>
          <w:sz w:val="22"/>
        </w:rPr>
      </w:pPr>
      <w:r>
        <w:rPr>
          <w:sz w:val="22"/>
        </w:rPr>
        <w:t>të realizojë marrëveshje me shoqëri të tjera transmetimesh ose institucione për shpërndarjen, marrjen, shkëmbimin dhe ritransmetimin e programeve, qofshin këto drejtpërdrejt apo të</w:t>
      </w:r>
      <w:r>
        <w:rPr>
          <w:spacing w:val="-22"/>
          <w:sz w:val="22"/>
        </w:rPr>
        <w:t> </w:t>
      </w:r>
      <w:r>
        <w:rPr>
          <w:sz w:val="22"/>
        </w:rPr>
        <w:t>regjistruara;</w:t>
      </w:r>
    </w:p>
    <w:p>
      <w:pPr>
        <w:pStyle w:val="BodyText"/>
        <w:tabs>
          <w:tab w:pos="7229" w:val="left" w:leader="none"/>
        </w:tabs>
        <w:ind w:right="117"/>
      </w:pPr>
      <w:r>
        <w:rPr/>
        <w:t>ë) </w:t>
      </w:r>
      <w:r>
        <w:rPr>
          <w:spacing w:val="13"/>
        </w:rPr>
        <w:t> </w:t>
      </w:r>
      <w:r>
        <w:rPr/>
        <w:t>të </w:t>
      </w:r>
      <w:r>
        <w:rPr>
          <w:spacing w:val="12"/>
        </w:rPr>
        <w:t> </w:t>
      </w:r>
      <w:r>
        <w:rPr/>
        <w:t>prodhojë, </w:t>
      </w:r>
      <w:r>
        <w:rPr>
          <w:spacing w:val="12"/>
        </w:rPr>
        <w:t> </w:t>
      </w:r>
      <w:r>
        <w:rPr/>
        <w:t>të </w:t>
      </w:r>
      <w:r>
        <w:rPr>
          <w:spacing w:val="12"/>
        </w:rPr>
        <w:t> </w:t>
      </w:r>
      <w:r>
        <w:rPr/>
        <w:t>botojë </w:t>
      </w:r>
      <w:r>
        <w:rPr>
          <w:spacing w:val="10"/>
        </w:rPr>
        <w:t> </w:t>
      </w:r>
      <w:r>
        <w:rPr/>
        <w:t>dhe </w:t>
      </w:r>
      <w:r>
        <w:rPr>
          <w:spacing w:val="12"/>
        </w:rPr>
        <w:t> </w:t>
      </w:r>
      <w:r>
        <w:rPr/>
        <w:t>të </w:t>
      </w:r>
      <w:r>
        <w:rPr>
          <w:spacing w:val="12"/>
        </w:rPr>
        <w:t> </w:t>
      </w:r>
      <w:r>
        <w:rPr/>
        <w:t>shpërndajë, </w:t>
      </w:r>
      <w:r>
        <w:rPr>
          <w:spacing w:val="12"/>
        </w:rPr>
        <w:t> </w:t>
      </w:r>
      <w:r>
        <w:rPr/>
        <w:t>me </w:t>
      </w:r>
      <w:r>
        <w:rPr>
          <w:spacing w:val="15"/>
        </w:rPr>
        <w:t> </w:t>
      </w:r>
      <w:r>
        <w:rPr/>
        <w:t>ose </w:t>
      </w:r>
      <w:r>
        <w:rPr>
          <w:spacing w:val="13"/>
        </w:rPr>
        <w:t> </w:t>
      </w:r>
      <w:r>
        <w:rPr/>
        <w:t>pa </w:t>
      </w:r>
      <w:r>
        <w:rPr>
          <w:spacing w:val="12"/>
        </w:rPr>
        <w:t> </w:t>
      </w:r>
      <w:r>
        <w:rPr/>
        <w:t>pagesë,</w:t>
        <w:tab/>
        <w:t>materiale audiovizive të regjistruara;</w:t>
      </w:r>
    </w:p>
    <w:p>
      <w:pPr>
        <w:pStyle w:val="ListParagraph"/>
        <w:numPr>
          <w:ilvl w:val="0"/>
          <w:numId w:val="217"/>
        </w:numPr>
        <w:tabs>
          <w:tab w:pos="1043" w:val="left" w:leader="none"/>
        </w:tabs>
        <w:spacing w:line="251" w:lineRule="exact" w:before="0" w:after="0"/>
        <w:ind w:left="1042" w:right="0" w:hanging="203"/>
        <w:jc w:val="left"/>
        <w:rPr>
          <w:sz w:val="22"/>
        </w:rPr>
      </w:pPr>
      <w:r>
        <w:rPr>
          <w:sz w:val="22"/>
        </w:rPr>
        <w:t>të investojë në realizimin e</w:t>
      </w:r>
      <w:r>
        <w:rPr>
          <w:spacing w:val="-1"/>
          <w:sz w:val="22"/>
        </w:rPr>
        <w:t> </w:t>
      </w:r>
      <w:r>
        <w:rPr>
          <w:sz w:val="22"/>
        </w:rPr>
        <w:t>filmave;</w:t>
      </w:r>
    </w:p>
    <w:p>
      <w:pPr>
        <w:pStyle w:val="ListParagraph"/>
        <w:numPr>
          <w:ilvl w:val="0"/>
          <w:numId w:val="217"/>
        </w:numPr>
        <w:tabs>
          <w:tab w:pos="1107" w:val="left" w:leader="none"/>
        </w:tabs>
        <w:spacing w:line="240" w:lineRule="auto" w:before="2" w:after="0"/>
        <w:ind w:left="120" w:right="113" w:firstLine="720"/>
        <w:jc w:val="left"/>
        <w:rPr>
          <w:sz w:val="22"/>
        </w:rPr>
      </w:pPr>
      <w:r>
        <w:rPr>
          <w:sz w:val="22"/>
        </w:rPr>
        <w:t>të realizojë transmetimet e programeve, me anë të rrjeteve tokësore, satelitore dhe kabllore, duke përdorur teknologjitë e reja të</w:t>
      </w:r>
      <w:r>
        <w:rPr>
          <w:spacing w:val="-12"/>
          <w:sz w:val="22"/>
        </w:rPr>
        <w:t> </w:t>
      </w:r>
      <w:r>
        <w:rPr>
          <w:sz w:val="22"/>
        </w:rPr>
        <w:t>transmetimeve.</w:t>
      </w:r>
    </w:p>
    <w:p>
      <w:pPr>
        <w:pStyle w:val="ListParagraph"/>
        <w:numPr>
          <w:ilvl w:val="0"/>
          <w:numId w:val="214"/>
        </w:numPr>
        <w:tabs>
          <w:tab w:pos="1141" w:val="left" w:leader="none"/>
        </w:tabs>
        <w:spacing w:line="240" w:lineRule="auto" w:before="0" w:after="0"/>
        <w:ind w:left="120" w:right="112" w:firstLine="720"/>
        <w:jc w:val="left"/>
        <w:rPr>
          <w:sz w:val="22"/>
        </w:rPr>
      </w:pPr>
      <w:r>
        <w:rPr>
          <w:sz w:val="22"/>
        </w:rPr>
        <w:t>RTSH-ja mund të përfshihet në listat e programit, të përpiluara jashtë Republikës së Shqipërisë.</w:t>
      </w:r>
    </w:p>
    <w:p>
      <w:pPr>
        <w:pStyle w:val="ListParagraph"/>
        <w:numPr>
          <w:ilvl w:val="0"/>
          <w:numId w:val="214"/>
        </w:numPr>
        <w:tabs>
          <w:tab w:pos="1093" w:val="left" w:leader="none"/>
        </w:tabs>
        <w:spacing w:line="242" w:lineRule="auto" w:before="0" w:after="0"/>
        <w:ind w:left="120" w:right="114" w:firstLine="720"/>
        <w:jc w:val="left"/>
        <w:rPr>
          <w:sz w:val="22"/>
        </w:rPr>
      </w:pPr>
      <w:r>
        <w:rPr>
          <w:sz w:val="22"/>
        </w:rPr>
        <w:t>RTSH-ja mund të sigurojë shërbime transmetimi të një tematike të veçantë, për kategori të caktuara shoqërore, të kapshme nëpërmjet</w:t>
      </w:r>
      <w:r>
        <w:rPr>
          <w:spacing w:val="-3"/>
          <w:sz w:val="22"/>
        </w:rPr>
        <w:t> </w:t>
      </w:r>
      <w:r>
        <w:rPr>
          <w:sz w:val="22"/>
        </w:rPr>
        <w:t>abonimit.</w:t>
      </w:r>
    </w:p>
    <w:p>
      <w:pPr>
        <w:pStyle w:val="BodyText"/>
        <w:spacing w:before="6"/>
        <w:ind w:left="0" w:firstLine="0"/>
        <w:rPr>
          <w:sz w:val="21"/>
        </w:rPr>
      </w:pPr>
    </w:p>
    <w:p>
      <w:pPr>
        <w:pStyle w:val="BodyText"/>
        <w:ind w:left="146" w:right="145" w:firstLine="0"/>
        <w:jc w:val="center"/>
      </w:pPr>
      <w:r>
        <w:rPr/>
        <w:t>Neni 119</w:t>
      </w:r>
    </w:p>
    <w:p>
      <w:pPr>
        <w:pStyle w:val="Heading1"/>
        <w:ind w:right="145"/>
      </w:pPr>
      <w:r>
        <w:rPr/>
        <w:t>Programet audiovizive të</w:t>
      </w:r>
      <w:r>
        <w:rPr>
          <w:spacing w:val="-7"/>
        </w:rPr>
        <w:t> </w:t>
      </w:r>
      <w:r>
        <w:rPr/>
        <w:t>RTSH-së</w:t>
      </w:r>
    </w:p>
    <w:p>
      <w:pPr>
        <w:pStyle w:val="BodyText"/>
        <w:spacing w:before="7"/>
        <w:ind w:left="0" w:firstLine="0"/>
        <w:rPr>
          <w:b/>
          <w:sz w:val="21"/>
        </w:rPr>
      </w:pPr>
    </w:p>
    <w:p>
      <w:pPr>
        <w:pStyle w:val="BodyText"/>
        <w:spacing w:line="252" w:lineRule="exact"/>
        <w:ind w:left="840" w:firstLine="0"/>
      </w:pPr>
      <w:r>
        <w:rPr/>
        <w:t>RTSH-ja përfshin në transmetimet e saj pa pagesë jo më pak</w:t>
      </w:r>
      <w:r>
        <w:rPr>
          <w:spacing w:val="-20"/>
        </w:rPr>
        <w:t> </w:t>
      </w:r>
      <w:r>
        <w:rPr/>
        <w:t>se:</w:t>
      </w:r>
    </w:p>
    <w:p>
      <w:pPr>
        <w:pStyle w:val="ListParagraph"/>
        <w:numPr>
          <w:ilvl w:val="0"/>
          <w:numId w:val="218"/>
        </w:numPr>
        <w:tabs>
          <w:tab w:pos="1069" w:val="left" w:leader="none"/>
        </w:tabs>
        <w:spacing w:line="252" w:lineRule="exact" w:before="0" w:after="0"/>
        <w:ind w:left="1068" w:right="0" w:hanging="229"/>
        <w:jc w:val="left"/>
        <w:rPr>
          <w:sz w:val="22"/>
        </w:rPr>
      </w:pPr>
      <w:r>
        <w:rPr>
          <w:sz w:val="22"/>
        </w:rPr>
        <w:t>2 programe kombëtare transmetimi</w:t>
      </w:r>
      <w:r>
        <w:rPr>
          <w:spacing w:val="-2"/>
          <w:sz w:val="22"/>
        </w:rPr>
        <w:t> </w:t>
      </w:r>
      <w:r>
        <w:rPr>
          <w:sz w:val="22"/>
        </w:rPr>
        <w:t>audioviziv;</w:t>
      </w:r>
    </w:p>
    <w:p>
      <w:pPr>
        <w:pStyle w:val="ListParagraph"/>
        <w:numPr>
          <w:ilvl w:val="0"/>
          <w:numId w:val="218"/>
        </w:numPr>
        <w:tabs>
          <w:tab w:pos="1081" w:val="left" w:leader="none"/>
        </w:tabs>
        <w:spacing w:line="252" w:lineRule="exact" w:before="2" w:after="0"/>
        <w:ind w:left="1080" w:right="0" w:hanging="241"/>
        <w:jc w:val="left"/>
        <w:rPr>
          <w:sz w:val="22"/>
        </w:rPr>
      </w:pPr>
      <w:r>
        <w:rPr>
          <w:sz w:val="22"/>
        </w:rPr>
        <w:t>2 programe kombëtare transmetimi</w:t>
      </w:r>
      <w:r>
        <w:rPr>
          <w:spacing w:val="-2"/>
          <w:sz w:val="22"/>
        </w:rPr>
        <w:t> </w:t>
      </w:r>
      <w:r>
        <w:rPr>
          <w:sz w:val="22"/>
        </w:rPr>
        <w:t>audio;</w:t>
      </w:r>
    </w:p>
    <w:p>
      <w:pPr>
        <w:pStyle w:val="ListParagraph"/>
        <w:numPr>
          <w:ilvl w:val="0"/>
          <w:numId w:val="218"/>
        </w:numPr>
        <w:tabs>
          <w:tab w:pos="1069" w:val="left" w:leader="none"/>
        </w:tabs>
        <w:spacing w:line="240" w:lineRule="auto" w:before="0" w:after="0"/>
        <w:ind w:left="840" w:right="4134" w:firstLine="0"/>
        <w:jc w:val="left"/>
        <w:rPr>
          <w:sz w:val="22"/>
        </w:rPr>
      </w:pPr>
      <w:r>
        <w:rPr>
          <w:sz w:val="22"/>
        </w:rPr>
        <w:t>1 program transmetimi audio në gjuhë të huaja; ç) 1 program transmetimi audio për</w:t>
      </w:r>
      <w:r>
        <w:rPr>
          <w:spacing w:val="-11"/>
          <w:sz w:val="22"/>
        </w:rPr>
        <w:t> </w:t>
      </w:r>
      <w:r>
        <w:rPr>
          <w:sz w:val="22"/>
        </w:rPr>
        <w:t>bashkatdhetarët;</w:t>
      </w:r>
    </w:p>
    <w:p>
      <w:pPr>
        <w:pStyle w:val="ListParagraph"/>
        <w:numPr>
          <w:ilvl w:val="0"/>
          <w:numId w:val="218"/>
        </w:numPr>
        <w:tabs>
          <w:tab w:pos="1081" w:val="left" w:leader="none"/>
        </w:tabs>
        <w:spacing w:line="240" w:lineRule="auto" w:before="0" w:after="0"/>
        <w:ind w:left="840" w:right="4691" w:firstLine="0"/>
        <w:jc w:val="left"/>
        <w:rPr>
          <w:sz w:val="22"/>
        </w:rPr>
      </w:pPr>
      <w:r>
        <w:rPr>
          <w:sz w:val="22"/>
        </w:rPr>
        <w:t>programet e qendrave audiovizive rajonale; dh) 1 program satelitor</w:t>
      </w:r>
      <w:r>
        <w:rPr>
          <w:spacing w:val="-7"/>
          <w:sz w:val="22"/>
        </w:rPr>
        <w:t> </w:t>
      </w:r>
      <w:r>
        <w:rPr>
          <w:sz w:val="22"/>
        </w:rPr>
        <w:t>audioviziv;</w:t>
      </w:r>
    </w:p>
    <w:p>
      <w:pPr>
        <w:pStyle w:val="ListParagraph"/>
        <w:numPr>
          <w:ilvl w:val="0"/>
          <w:numId w:val="218"/>
        </w:numPr>
        <w:tabs>
          <w:tab w:pos="1069" w:val="left" w:leader="none"/>
        </w:tabs>
        <w:spacing w:line="240" w:lineRule="auto" w:before="0" w:after="0"/>
        <w:ind w:left="1068" w:right="0" w:hanging="229"/>
        <w:jc w:val="left"/>
        <w:rPr>
          <w:sz w:val="22"/>
        </w:rPr>
      </w:pPr>
      <w:r>
        <w:rPr>
          <w:sz w:val="22"/>
        </w:rPr>
        <w:t>1 program transmetimi të drejtpërdrejtë audioviziv për veprimtaritë e</w:t>
      </w:r>
      <w:r>
        <w:rPr>
          <w:spacing w:val="-14"/>
          <w:sz w:val="22"/>
        </w:rPr>
        <w:t> </w:t>
      </w:r>
      <w:r>
        <w:rPr>
          <w:sz w:val="22"/>
        </w:rPr>
        <w:t>Kuvendit.</w:t>
      </w:r>
    </w:p>
    <w:p>
      <w:pPr>
        <w:pStyle w:val="BodyText"/>
        <w:spacing w:before="9"/>
        <w:ind w:left="0" w:firstLine="0"/>
        <w:rPr>
          <w:sz w:val="21"/>
        </w:rPr>
      </w:pPr>
    </w:p>
    <w:p>
      <w:pPr>
        <w:pStyle w:val="BodyText"/>
        <w:ind w:left="146" w:right="145" w:firstLine="0"/>
        <w:jc w:val="center"/>
      </w:pPr>
      <w:r>
        <w:rPr/>
        <w:t>Neni 120</w:t>
      </w:r>
    </w:p>
    <w:p>
      <w:pPr>
        <w:pStyle w:val="BodyText"/>
        <w:ind w:left="0" w:firstLine="0"/>
      </w:pPr>
    </w:p>
    <w:p>
      <w:pPr>
        <w:pStyle w:val="BodyText"/>
      </w:pPr>
      <w:r>
        <w:rPr/>
        <w:t>RTSH-së i ndalohet propaganda politike dhe fetare. Pasqyrimi i fushatës zgjedhore bëhet në përputhje me përcaktimet e Kodit Zgjedhor.</w:t>
      </w:r>
    </w:p>
    <w:p>
      <w:pPr>
        <w:pStyle w:val="BodyText"/>
        <w:spacing w:before="164"/>
        <w:ind w:left="146" w:right="89" w:firstLine="0"/>
        <w:jc w:val="center"/>
      </w:pPr>
      <w:r>
        <w:rPr/>
        <w:t>Neni 121</w:t>
      </w:r>
    </w:p>
    <w:p>
      <w:pPr>
        <w:pStyle w:val="Heading1"/>
        <w:spacing w:before="6"/>
      </w:pPr>
      <w:r>
        <w:rPr/>
        <w:t>Hapësira e mbulimit</w:t>
      </w:r>
    </w:p>
    <w:p>
      <w:pPr>
        <w:pStyle w:val="BodyText"/>
        <w:spacing w:before="5"/>
        <w:ind w:left="0" w:firstLine="0"/>
        <w:rPr>
          <w:b/>
          <w:sz w:val="21"/>
        </w:rPr>
      </w:pPr>
    </w:p>
    <w:p>
      <w:pPr>
        <w:pStyle w:val="ListParagraph"/>
        <w:numPr>
          <w:ilvl w:val="0"/>
          <w:numId w:val="219"/>
        </w:numPr>
        <w:tabs>
          <w:tab w:pos="1081" w:val="left" w:leader="none"/>
        </w:tabs>
        <w:spacing w:line="240" w:lineRule="auto" w:before="0" w:after="0"/>
        <w:ind w:left="120" w:right="115" w:firstLine="720"/>
        <w:jc w:val="left"/>
        <w:rPr>
          <w:sz w:val="22"/>
        </w:rPr>
      </w:pPr>
      <w:r>
        <w:rPr>
          <w:sz w:val="22"/>
        </w:rPr>
        <w:t>Programet kombëtare të RTSH-së duhet të mbulojnë territorin e banuar nga të paktën 90 për qind e shtetasve të Republikës së</w:t>
      </w:r>
      <w:r>
        <w:rPr>
          <w:spacing w:val="-3"/>
          <w:sz w:val="22"/>
        </w:rPr>
        <w:t> </w:t>
      </w:r>
      <w:r>
        <w:rPr>
          <w:sz w:val="22"/>
        </w:rPr>
        <w:t>Shqipërisë.</w:t>
      </w:r>
    </w:p>
    <w:p>
      <w:pPr>
        <w:pStyle w:val="ListParagraph"/>
        <w:numPr>
          <w:ilvl w:val="0"/>
          <w:numId w:val="219"/>
        </w:numPr>
        <w:tabs>
          <w:tab w:pos="1076" w:val="left" w:leader="none"/>
        </w:tabs>
        <w:spacing w:line="240" w:lineRule="auto" w:before="0" w:after="0"/>
        <w:ind w:left="120" w:right="115" w:firstLine="720"/>
        <w:jc w:val="left"/>
        <w:rPr>
          <w:sz w:val="22"/>
        </w:rPr>
      </w:pPr>
      <w:r>
        <w:rPr>
          <w:sz w:val="22"/>
        </w:rPr>
        <w:t>Brenda 5 vjetëve nga hyrja në fuqi e këtij ligji, të paktën njëri nga rrjetet e RTSH-së duhet të mbulojë 99 për qind të</w:t>
      </w:r>
      <w:r>
        <w:rPr>
          <w:spacing w:val="-3"/>
          <w:sz w:val="22"/>
        </w:rPr>
        <w:t> </w:t>
      </w:r>
      <w:r>
        <w:rPr>
          <w:sz w:val="22"/>
        </w:rPr>
        <w:t>popullsisë.</w:t>
      </w:r>
    </w:p>
    <w:p>
      <w:pPr>
        <w:spacing w:after="0" w:line="240" w:lineRule="auto"/>
        <w:jc w:val="left"/>
        <w:rPr>
          <w:sz w:val="22"/>
        </w:rPr>
        <w:sectPr>
          <w:type w:val="continuous"/>
          <w:pgSz w:w="12240" w:h="15840"/>
          <w:pgMar w:top="1360" w:bottom="280" w:left="1320" w:right="1320"/>
        </w:sectPr>
      </w:pPr>
    </w:p>
    <w:p>
      <w:pPr>
        <w:pStyle w:val="BodyText"/>
        <w:spacing w:before="74"/>
        <w:ind w:left="146" w:right="146" w:firstLine="0"/>
        <w:jc w:val="center"/>
      </w:pPr>
      <w:r>
        <w:rPr/>
        <w:t>Neni 122</w:t>
      </w:r>
    </w:p>
    <w:p>
      <w:pPr>
        <w:pStyle w:val="Heading1"/>
        <w:spacing w:before="3"/>
        <w:ind w:right="145"/>
      </w:pPr>
      <w:r>
        <w:rPr/>
        <w:t>Infrastruktura e transmetimit</w:t>
      </w:r>
    </w:p>
    <w:p>
      <w:pPr>
        <w:pStyle w:val="BodyText"/>
        <w:spacing w:before="7"/>
        <w:ind w:left="0" w:firstLine="0"/>
        <w:rPr>
          <w:b/>
          <w:sz w:val="21"/>
        </w:rPr>
      </w:pPr>
    </w:p>
    <w:p>
      <w:pPr>
        <w:pStyle w:val="ListParagraph"/>
        <w:numPr>
          <w:ilvl w:val="0"/>
          <w:numId w:val="220"/>
        </w:numPr>
        <w:tabs>
          <w:tab w:pos="1066" w:val="left" w:leader="none"/>
        </w:tabs>
        <w:spacing w:line="240" w:lineRule="auto" w:before="1" w:after="0"/>
        <w:ind w:left="120" w:right="113" w:firstLine="720"/>
        <w:jc w:val="both"/>
        <w:rPr>
          <w:sz w:val="22"/>
        </w:rPr>
      </w:pPr>
      <w:r>
        <w:rPr>
          <w:sz w:val="22"/>
        </w:rPr>
        <w:t>AMA, pas këshillimit me RTSH-në, mund t’i kërkojë kësaj të fundit të bashkëpunojë me një të licencuar për transmetime audio ose audiovizive, për përdorimin e mjeteve të infrastrukturës së shpërndarjes së sinjalit, për shërbimet e transmetimit audio ose audioviziv të licencës</w:t>
      </w:r>
      <w:r>
        <w:rPr>
          <w:spacing w:val="-14"/>
          <w:sz w:val="22"/>
        </w:rPr>
        <w:t> </w:t>
      </w:r>
      <w:r>
        <w:rPr>
          <w:sz w:val="22"/>
        </w:rPr>
        <w:t>përkatëse.</w:t>
      </w:r>
    </w:p>
    <w:p>
      <w:pPr>
        <w:pStyle w:val="ListParagraph"/>
        <w:numPr>
          <w:ilvl w:val="0"/>
          <w:numId w:val="220"/>
        </w:numPr>
        <w:tabs>
          <w:tab w:pos="1064" w:val="left" w:leader="none"/>
        </w:tabs>
        <w:spacing w:line="240" w:lineRule="auto" w:before="0" w:after="0"/>
        <w:ind w:left="120" w:right="115" w:firstLine="720"/>
        <w:jc w:val="both"/>
        <w:rPr>
          <w:sz w:val="22"/>
        </w:rPr>
      </w:pPr>
      <w:r>
        <w:rPr>
          <w:sz w:val="22"/>
        </w:rPr>
        <w:t>I licencuari i shërbimit të transmetimit audio ose audioviziv i paguan RTSH-së tarifat periodike për përdorimin e infrastrukturës së</w:t>
      </w:r>
      <w:r>
        <w:rPr>
          <w:spacing w:val="-6"/>
          <w:sz w:val="22"/>
        </w:rPr>
        <w:t> </w:t>
      </w:r>
      <w:r>
        <w:rPr>
          <w:sz w:val="22"/>
        </w:rPr>
        <w:t>transmetimit.</w:t>
      </w:r>
    </w:p>
    <w:p>
      <w:pPr>
        <w:pStyle w:val="ListParagraph"/>
        <w:numPr>
          <w:ilvl w:val="0"/>
          <w:numId w:val="220"/>
        </w:numPr>
        <w:tabs>
          <w:tab w:pos="1088" w:val="left" w:leader="none"/>
        </w:tabs>
        <w:spacing w:line="240" w:lineRule="auto" w:before="0" w:after="0"/>
        <w:ind w:left="120" w:right="115" w:firstLine="719"/>
        <w:jc w:val="both"/>
        <w:rPr>
          <w:sz w:val="22"/>
        </w:rPr>
      </w:pPr>
      <w:r>
        <w:rPr>
          <w:sz w:val="22"/>
        </w:rPr>
        <w:t>Tarifat hartohen bazuar në parimet e transparencës, proporcionalitetit dhe mosdiskriminimit. Ato propozohen nga RTSH-ja dhe miratohen nga AMA, e cila shprehet brenda 30 ditëve nga paraqitja e propozimit. Nëse AMA nuk shprehet brenda këtij afati, tarifat konsiderohen të</w:t>
      </w:r>
      <w:r>
        <w:rPr>
          <w:spacing w:val="-9"/>
          <w:sz w:val="22"/>
        </w:rPr>
        <w:t> </w:t>
      </w:r>
      <w:r>
        <w:rPr>
          <w:sz w:val="22"/>
        </w:rPr>
        <w:t>miratuara.</w:t>
      </w:r>
    </w:p>
    <w:p>
      <w:pPr>
        <w:pStyle w:val="BodyText"/>
        <w:spacing w:before="92"/>
        <w:ind w:left="146" w:right="146" w:firstLine="0"/>
        <w:jc w:val="center"/>
      </w:pPr>
      <w:r>
        <w:rPr/>
        <w:t>Neni 123</w:t>
      </w:r>
    </w:p>
    <w:p>
      <w:pPr>
        <w:pStyle w:val="Heading1"/>
        <w:ind w:right="147"/>
      </w:pPr>
      <w:r>
        <w:rPr/>
        <w:t>Fondi i prodhimit të pavarur</w:t>
      </w:r>
    </w:p>
    <w:p>
      <w:pPr>
        <w:pStyle w:val="BodyText"/>
        <w:spacing w:before="7"/>
        <w:ind w:left="0" w:firstLine="0"/>
        <w:rPr>
          <w:b/>
          <w:sz w:val="21"/>
        </w:rPr>
      </w:pPr>
    </w:p>
    <w:p>
      <w:pPr>
        <w:pStyle w:val="ListParagraph"/>
        <w:numPr>
          <w:ilvl w:val="0"/>
          <w:numId w:val="221"/>
        </w:numPr>
        <w:tabs>
          <w:tab w:pos="1073" w:val="left" w:leader="none"/>
        </w:tabs>
        <w:spacing w:line="240" w:lineRule="auto" w:before="0" w:after="0"/>
        <w:ind w:left="119" w:right="115" w:firstLine="720"/>
        <w:jc w:val="both"/>
        <w:rPr>
          <w:sz w:val="22"/>
        </w:rPr>
      </w:pPr>
      <w:r>
        <w:rPr>
          <w:sz w:val="22"/>
        </w:rPr>
        <w:t>RTSH-ja krijon dhe administron një fond nga të ardhurat e veta për financimin e prodhimit të pavarur.</w:t>
      </w:r>
    </w:p>
    <w:p>
      <w:pPr>
        <w:pStyle w:val="ListParagraph"/>
        <w:numPr>
          <w:ilvl w:val="0"/>
          <w:numId w:val="221"/>
        </w:numPr>
        <w:tabs>
          <w:tab w:pos="1071" w:val="left" w:leader="none"/>
        </w:tabs>
        <w:spacing w:line="240" w:lineRule="auto" w:before="1" w:after="0"/>
        <w:ind w:left="119" w:right="115" w:firstLine="720"/>
        <w:jc w:val="both"/>
        <w:rPr>
          <w:sz w:val="22"/>
        </w:rPr>
      </w:pPr>
      <w:r>
        <w:rPr>
          <w:sz w:val="22"/>
        </w:rPr>
        <w:t>Prodhim i pavarur është programi i transmetimit audioviziv, i bërë nga një person ose shoqëri, që plotëson kushtet e</w:t>
      </w:r>
      <w:r>
        <w:rPr>
          <w:spacing w:val="-3"/>
          <w:sz w:val="22"/>
        </w:rPr>
        <w:t> </w:t>
      </w:r>
      <w:r>
        <w:rPr>
          <w:sz w:val="22"/>
        </w:rPr>
        <w:t>mëposhtme:</w:t>
      </w:r>
    </w:p>
    <w:p>
      <w:pPr>
        <w:pStyle w:val="ListParagraph"/>
        <w:numPr>
          <w:ilvl w:val="0"/>
          <w:numId w:val="222"/>
        </w:numPr>
        <w:tabs>
          <w:tab w:pos="1088" w:val="left" w:leader="none"/>
        </w:tabs>
        <w:spacing w:line="240" w:lineRule="auto" w:before="0" w:after="0"/>
        <w:ind w:left="119" w:right="113" w:firstLine="720"/>
        <w:jc w:val="both"/>
        <w:rPr>
          <w:sz w:val="22"/>
        </w:rPr>
      </w:pPr>
      <w:r>
        <w:rPr>
          <w:sz w:val="22"/>
        </w:rPr>
        <w:t>personat pjesëmarrës në program apo ata të përfshirë në përgatitjen e tij dhe pajisjet e mjetet për realizimin e programit vendosen nga vetë personi apo shoqëria e kontraktuar për realizimin e prodhimit të</w:t>
      </w:r>
      <w:r>
        <w:rPr>
          <w:spacing w:val="-2"/>
          <w:sz w:val="22"/>
        </w:rPr>
        <w:t> </w:t>
      </w:r>
      <w:r>
        <w:rPr>
          <w:sz w:val="22"/>
        </w:rPr>
        <w:t>pavarur;</w:t>
      </w:r>
    </w:p>
    <w:p>
      <w:pPr>
        <w:pStyle w:val="ListParagraph"/>
        <w:numPr>
          <w:ilvl w:val="0"/>
          <w:numId w:val="222"/>
        </w:numPr>
        <w:tabs>
          <w:tab w:pos="1141" w:val="left" w:leader="none"/>
        </w:tabs>
        <w:spacing w:line="240" w:lineRule="auto" w:before="0" w:after="0"/>
        <w:ind w:left="119" w:right="115" w:firstLine="720"/>
        <w:jc w:val="both"/>
        <w:rPr>
          <w:sz w:val="22"/>
        </w:rPr>
      </w:pPr>
      <w:r>
        <w:rPr>
          <w:sz w:val="22"/>
        </w:rPr>
        <w:t>personi apo shoqëria e kontraktuar për realizimin e prodhimit të pavarur nuk është një transmetues audioviziv, pjesë e tij apo aksionar në një</w:t>
      </w:r>
      <w:r>
        <w:rPr>
          <w:spacing w:val="-8"/>
          <w:sz w:val="22"/>
        </w:rPr>
        <w:t> </w:t>
      </w:r>
      <w:r>
        <w:rPr>
          <w:sz w:val="22"/>
        </w:rPr>
        <w:t>transmetues.</w:t>
      </w:r>
    </w:p>
    <w:p>
      <w:pPr>
        <w:pStyle w:val="ListParagraph"/>
        <w:numPr>
          <w:ilvl w:val="0"/>
          <w:numId w:val="221"/>
        </w:numPr>
        <w:tabs>
          <w:tab w:pos="1061" w:val="left" w:leader="none"/>
        </w:tabs>
        <w:spacing w:line="252" w:lineRule="exact" w:before="0" w:after="0"/>
        <w:ind w:left="1060" w:right="0" w:hanging="222"/>
        <w:jc w:val="both"/>
        <w:rPr>
          <w:sz w:val="22"/>
        </w:rPr>
      </w:pPr>
      <w:r>
        <w:rPr>
          <w:sz w:val="22"/>
        </w:rPr>
        <w:t>Fondi i prodhimit të pavarur përdoret nga RTSH-ja vetëm</w:t>
      </w:r>
      <w:r>
        <w:rPr>
          <w:spacing w:val="-11"/>
          <w:sz w:val="22"/>
        </w:rPr>
        <w:t> </w:t>
      </w:r>
      <w:r>
        <w:rPr>
          <w:sz w:val="22"/>
        </w:rPr>
        <w:t>për:</w:t>
      </w:r>
    </w:p>
    <w:p>
      <w:pPr>
        <w:pStyle w:val="ListParagraph"/>
        <w:numPr>
          <w:ilvl w:val="0"/>
          <w:numId w:val="223"/>
        </w:numPr>
        <w:tabs>
          <w:tab w:pos="1069" w:val="left" w:leader="none"/>
        </w:tabs>
        <w:spacing w:line="252" w:lineRule="exact" w:before="0" w:after="0"/>
        <w:ind w:left="1068" w:right="0" w:hanging="229"/>
        <w:jc w:val="both"/>
        <w:rPr>
          <w:sz w:val="22"/>
        </w:rPr>
      </w:pPr>
      <w:r>
        <w:rPr>
          <w:sz w:val="22"/>
        </w:rPr>
        <w:t>porositjen e realizimit të programeve të pavarura të transmetimit</w:t>
      </w:r>
      <w:r>
        <w:rPr>
          <w:spacing w:val="-7"/>
          <w:sz w:val="22"/>
        </w:rPr>
        <w:t> </w:t>
      </w:r>
      <w:r>
        <w:rPr>
          <w:sz w:val="22"/>
        </w:rPr>
        <w:t>audioviziv;</w:t>
      </w:r>
    </w:p>
    <w:p>
      <w:pPr>
        <w:pStyle w:val="ListParagraph"/>
        <w:numPr>
          <w:ilvl w:val="0"/>
          <w:numId w:val="223"/>
        </w:numPr>
        <w:tabs>
          <w:tab w:pos="1117" w:val="left" w:leader="none"/>
        </w:tabs>
        <w:spacing w:line="240" w:lineRule="auto" w:before="1" w:after="0"/>
        <w:ind w:left="120" w:right="115" w:firstLine="720"/>
        <w:jc w:val="both"/>
        <w:rPr>
          <w:sz w:val="22"/>
        </w:rPr>
      </w:pPr>
      <w:r>
        <w:rPr>
          <w:sz w:val="22"/>
        </w:rPr>
        <w:t>realizimin e konkurrimit të hapur publik për përzgjedhjen e propozimeve të paraqitura për realizimin e programeve të përmendura në shkronjën “a” të kësaj</w:t>
      </w:r>
      <w:r>
        <w:rPr>
          <w:spacing w:val="-5"/>
          <w:sz w:val="22"/>
        </w:rPr>
        <w:t> </w:t>
      </w:r>
      <w:r>
        <w:rPr>
          <w:sz w:val="22"/>
        </w:rPr>
        <w:t>pike.</w:t>
      </w:r>
    </w:p>
    <w:p>
      <w:pPr>
        <w:pStyle w:val="ListParagraph"/>
        <w:numPr>
          <w:ilvl w:val="0"/>
          <w:numId w:val="221"/>
        </w:numPr>
        <w:tabs>
          <w:tab w:pos="1117" w:val="left" w:leader="none"/>
        </w:tabs>
        <w:spacing w:line="242" w:lineRule="auto" w:before="0" w:after="0"/>
        <w:ind w:left="120" w:right="115" w:firstLine="720"/>
        <w:jc w:val="both"/>
        <w:rPr>
          <w:sz w:val="22"/>
        </w:rPr>
      </w:pPr>
      <w:r>
        <w:rPr>
          <w:sz w:val="22"/>
        </w:rPr>
        <w:t>RTSH-ja nuk mund të shpenzojë më shumë se 10 për qind të fondit të prodhimit të pavarur për qëllimin e përcaktuar në shkronjën “b” të pikës 2 të këtij</w:t>
      </w:r>
      <w:r>
        <w:rPr>
          <w:spacing w:val="-2"/>
          <w:sz w:val="22"/>
        </w:rPr>
        <w:t> </w:t>
      </w:r>
      <w:r>
        <w:rPr>
          <w:sz w:val="22"/>
        </w:rPr>
        <w:t>neni.</w:t>
      </w:r>
    </w:p>
    <w:p>
      <w:pPr>
        <w:pStyle w:val="ListParagraph"/>
        <w:numPr>
          <w:ilvl w:val="0"/>
          <w:numId w:val="221"/>
        </w:numPr>
        <w:tabs>
          <w:tab w:pos="1071" w:val="left" w:leader="none"/>
        </w:tabs>
        <w:spacing w:line="242" w:lineRule="auto" w:before="0" w:after="0"/>
        <w:ind w:left="120" w:right="114" w:firstLine="720"/>
        <w:jc w:val="both"/>
        <w:rPr>
          <w:sz w:val="22"/>
        </w:rPr>
      </w:pPr>
      <w:r>
        <w:rPr>
          <w:sz w:val="22"/>
        </w:rPr>
        <w:t>Fondi i prodhimit të pavarur që nuk shpenzohet brenda vitit financiar, në të cilin është krijuar, duhet të shpenzohet brenda dy vitesh, duke përfshirë vitin financiar</w:t>
      </w:r>
      <w:r>
        <w:rPr>
          <w:spacing w:val="-11"/>
          <w:sz w:val="22"/>
        </w:rPr>
        <w:t> </w:t>
      </w:r>
      <w:r>
        <w:rPr>
          <w:sz w:val="22"/>
        </w:rPr>
        <w:t>përkatës.</w:t>
      </w:r>
    </w:p>
    <w:p>
      <w:pPr>
        <w:pStyle w:val="ListParagraph"/>
        <w:numPr>
          <w:ilvl w:val="0"/>
          <w:numId w:val="221"/>
        </w:numPr>
        <w:tabs>
          <w:tab w:pos="1066" w:val="left" w:leader="none"/>
        </w:tabs>
        <w:spacing w:line="240" w:lineRule="auto" w:before="0" w:after="0"/>
        <w:ind w:left="120" w:right="114" w:firstLine="720"/>
        <w:jc w:val="both"/>
        <w:rPr>
          <w:sz w:val="22"/>
        </w:rPr>
      </w:pPr>
      <w:r>
        <w:rPr>
          <w:sz w:val="22"/>
        </w:rPr>
        <w:t>Nëse fondi i prodhimit të pavarur nuk shpenzohet brenda periudhës së përcaktuar në pikën 5 të këtij neni, Drejtori i Përgjithshëm i RTSH-së, pas këshillimit me Bordin e Administrimit, i propozon KDRTSH-së kalimin e pjesës së mbetur të fondit të prodhimit të pavarur në buxhetin e përgjithshëm të RTSH-së.</w:t>
      </w:r>
    </w:p>
    <w:p>
      <w:pPr>
        <w:pStyle w:val="ListParagraph"/>
        <w:numPr>
          <w:ilvl w:val="0"/>
          <w:numId w:val="221"/>
        </w:numPr>
        <w:tabs>
          <w:tab w:pos="1097" w:val="left" w:leader="none"/>
        </w:tabs>
        <w:spacing w:line="240" w:lineRule="auto" w:before="0" w:after="0"/>
        <w:ind w:left="119" w:right="118" w:firstLine="720"/>
        <w:jc w:val="left"/>
        <w:rPr>
          <w:sz w:val="22"/>
        </w:rPr>
      </w:pPr>
      <w:r>
        <w:rPr>
          <w:sz w:val="22"/>
        </w:rPr>
        <w:t>Në përgatitjen e propozimit, sipas pikës 6 të këtij neni, Drejtori i Përgjithshëm i RTSH-së mban</w:t>
      </w:r>
      <w:r>
        <w:rPr>
          <w:spacing w:val="-1"/>
          <w:sz w:val="22"/>
        </w:rPr>
        <w:t> </w:t>
      </w:r>
      <w:r>
        <w:rPr>
          <w:sz w:val="22"/>
        </w:rPr>
        <w:t>parasysh:</w:t>
      </w:r>
    </w:p>
    <w:p>
      <w:pPr>
        <w:pStyle w:val="ListParagraph"/>
        <w:numPr>
          <w:ilvl w:val="0"/>
          <w:numId w:val="224"/>
        </w:numPr>
        <w:tabs>
          <w:tab w:pos="1069" w:val="left" w:leader="none"/>
        </w:tabs>
        <w:spacing w:line="251" w:lineRule="exact" w:before="0" w:after="0"/>
        <w:ind w:left="1068" w:right="0" w:hanging="230"/>
        <w:jc w:val="left"/>
        <w:rPr>
          <w:sz w:val="22"/>
        </w:rPr>
      </w:pPr>
      <w:r>
        <w:rPr>
          <w:sz w:val="22"/>
        </w:rPr>
        <w:t>detyrimet financiare aktuale dhe të planifikuara të</w:t>
      </w:r>
      <w:r>
        <w:rPr>
          <w:spacing w:val="-5"/>
          <w:sz w:val="22"/>
        </w:rPr>
        <w:t> </w:t>
      </w:r>
      <w:r>
        <w:rPr>
          <w:sz w:val="22"/>
        </w:rPr>
        <w:t>RTSH-së;</w:t>
      </w:r>
    </w:p>
    <w:p>
      <w:pPr>
        <w:pStyle w:val="ListParagraph"/>
        <w:numPr>
          <w:ilvl w:val="0"/>
          <w:numId w:val="224"/>
        </w:numPr>
        <w:tabs>
          <w:tab w:pos="1088" w:val="left" w:leader="none"/>
        </w:tabs>
        <w:spacing w:line="240" w:lineRule="auto" w:before="0" w:after="0"/>
        <w:ind w:left="120" w:right="114" w:firstLine="719"/>
        <w:jc w:val="left"/>
        <w:rPr>
          <w:sz w:val="22"/>
        </w:rPr>
      </w:pPr>
      <w:r>
        <w:rPr>
          <w:sz w:val="22"/>
        </w:rPr>
        <w:t>efektet në periudhat financiare përkatëse për punësimin dhe angazhimin e burimeve njerëzore në RTSH;</w:t>
      </w:r>
    </w:p>
    <w:p>
      <w:pPr>
        <w:pStyle w:val="ListParagraph"/>
        <w:numPr>
          <w:ilvl w:val="0"/>
          <w:numId w:val="224"/>
        </w:numPr>
        <w:tabs>
          <w:tab w:pos="1083" w:val="left" w:leader="none"/>
        </w:tabs>
        <w:spacing w:line="240" w:lineRule="auto" w:before="0" w:after="0"/>
        <w:ind w:left="120" w:right="114" w:firstLine="720"/>
        <w:jc w:val="left"/>
        <w:rPr>
          <w:sz w:val="22"/>
        </w:rPr>
      </w:pPr>
      <w:r>
        <w:rPr>
          <w:sz w:val="22"/>
        </w:rPr>
        <w:t>kryerjen e detyrimeve të RTSH-së si shërbim publik dhe realizimin e prodhimeve të pavarura të transmetimit audioviziv.</w:t>
      </w:r>
    </w:p>
    <w:p>
      <w:pPr>
        <w:pStyle w:val="ListParagraph"/>
        <w:numPr>
          <w:ilvl w:val="0"/>
          <w:numId w:val="221"/>
        </w:numPr>
        <w:tabs>
          <w:tab w:pos="1062" w:val="left" w:leader="none"/>
        </w:tabs>
        <w:spacing w:line="251" w:lineRule="exact" w:before="0" w:after="0"/>
        <w:ind w:left="1061" w:right="0" w:hanging="222"/>
        <w:jc w:val="left"/>
        <w:rPr>
          <w:sz w:val="22"/>
        </w:rPr>
      </w:pPr>
      <w:r>
        <w:rPr>
          <w:sz w:val="22"/>
        </w:rPr>
        <w:t>Brenda 3 muajve nga përfundimi i vitit financiar, RTSH-ja përgatit një raport për AMA-n</w:t>
      </w:r>
      <w:r>
        <w:rPr>
          <w:spacing w:val="-23"/>
          <w:sz w:val="22"/>
        </w:rPr>
        <w:t> </w:t>
      </w:r>
      <w:r>
        <w:rPr>
          <w:sz w:val="22"/>
        </w:rPr>
        <w:t>për:</w:t>
      </w:r>
    </w:p>
    <w:p>
      <w:pPr>
        <w:pStyle w:val="ListParagraph"/>
        <w:numPr>
          <w:ilvl w:val="0"/>
          <w:numId w:val="225"/>
        </w:numPr>
        <w:tabs>
          <w:tab w:pos="1069" w:val="left" w:leader="none"/>
        </w:tabs>
        <w:spacing w:line="252" w:lineRule="exact" w:before="0" w:after="0"/>
        <w:ind w:left="1068" w:right="0" w:hanging="229"/>
        <w:jc w:val="left"/>
        <w:rPr>
          <w:sz w:val="22"/>
        </w:rPr>
      </w:pPr>
      <w:r>
        <w:rPr>
          <w:sz w:val="22"/>
        </w:rPr>
        <w:t>prodhimet e porositura gjatë vitit të kaluar nga fondi i prodhimit të</w:t>
      </w:r>
      <w:r>
        <w:rPr>
          <w:spacing w:val="-11"/>
          <w:sz w:val="22"/>
        </w:rPr>
        <w:t> </w:t>
      </w:r>
      <w:r>
        <w:rPr>
          <w:sz w:val="22"/>
        </w:rPr>
        <w:t>pavarur;</w:t>
      </w:r>
    </w:p>
    <w:p>
      <w:pPr>
        <w:pStyle w:val="ListParagraph"/>
        <w:numPr>
          <w:ilvl w:val="0"/>
          <w:numId w:val="225"/>
        </w:numPr>
        <w:tabs>
          <w:tab w:pos="1081" w:val="left" w:leader="none"/>
        </w:tabs>
        <w:spacing w:line="252" w:lineRule="exact" w:before="0" w:after="0"/>
        <w:ind w:left="1080" w:right="0" w:hanging="241"/>
        <w:jc w:val="left"/>
        <w:rPr>
          <w:sz w:val="22"/>
        </w:rPr>
      </w:pPr>
      <w:r>
        <w:rPr>
          <w:sz w:val="22"/>
        </w:rPr>
        <w:t>emrin e shoqërisë ose personave të kontraktuar për këtë</w:t>
      </w:r>
      <w:r>
        <w:rPr>
          <w:spacing w:val="-10"/>
          <w:sz w:val="22"/>
        </w:rPr>
        <w:t> </w:t>
      </w:r>
      <w:r>
        <w:rPr>
          <w:sz w:val="22"/>
        </w:rPr>
        <w:t>qëllim;</w:t>
      </w:r>
    </w:p>
    <w:p>
      <w:pPr>
        <w:pStyle w:val="ListParagraph"/>
        <w:numPr>
          <w:ilvl w:val="0"/>
          <w:numId w:val="225"/>
        </w:numPr>
        <w:tabs>
          <w:tab w:pos="1100" w:val="left" w:leader="none"/>
        </w:tabs>
        <w:spacing w:line="240" w:lineRule="auto" w:before="0" w:after="0"/>
        <w:ind w:left="120" w:right="115" w:firstLine="720"/>
        <w:jc w:val="left"/>
        <w:rPr>
          <w:sz w:val="22"/>
        </w:rPr>
      </w:pPr>
      <w:r>
        <w:rPr>
          <w:sz w:val="22"/>
        </w:rPr>
        <w:t>përdorimin e fondit të prodhimit të pavarur gjatë vitit të kaluar dhe shumën e mbetur pa u shpenzuar;</w:t>
      </w:r>
    </w:p>
    <w:p>
      <w:pPr>
        <w:pStyle w:val="BodyText"/>
        <w:spacing w:line="242" w:lineRule="auto"/>
      </w:pPr>
      <w:r>
        <w:rPr/>
        <w:t>ç) çdo çështje tjetër që lidhet me ato të përcaktuara në shkronjat “a” deri në “c” të kësaj pike që AMA mund të kërkojë. Kopje të këtyre raporteve i paraqiten Kuvendit gjatë raportimit vjetor të RTSH-së.</w:t>
      </w:r>
    </w:p>
    <w:p>
      <w:pPr>
        <w:spacing w:after="0" w:line="242" w:lineRule="auto"/>
        <w:sectPr>
          <w:pgSz w:w="12240" w:h="15840"/>
          <w:pgMar w:top="1360" w:bottom="280" w:left="1320" w:right="1320"/>
        </w:sectPr>
      </w:pPr>
    </w:p>
    <w:p>
      <w:pPr>
        <w:pStyle w:val="BodyText"/>
        <w:spacing w:before="74"/>
        <w:ind w:left="146" w:right="146" w:firstLine="0"/>
        <w:jc w:val="center"/>
      </w:pPr>
      <w:r>
        <w:rPr/>
        <w:t>Neni 124</w:t>
      </w:r>
    </w:p>
    <w:p>
      <w:pPr>
        <w:pStyle w:val="Heading1"/>
        <w:spacing w:before="3"/>
      </w:pPr>
      <w:r>
        <w:rPr/>
        <w:t>Prodhimet e RTSH-së</w:t>
      </w:r>
    </w:p>
    <w:p>
      <w:pPr>
        <w:pStyle w:val="BodyText"/>
        <w:spacing w:before="7"/>
        <w:ind w:left="0" w:firstLine="0"/>
        <w:rPr>
          <w:b/>
          <w:sz w:val="21"/>
        </w:rPr>
      </w:pPr>
    </w:p>
    <w:p>
      <w:pPr>
        <w:pStyle w:val="ListParagraph"/>
        <w:numPr>
          <w:ilvl w:val="0"/>
          <w:numId w:val="226"/>
        </w:numPr>
        <w:tabs>
          <w:tab w:pos="1095" w:val="left" w:leader="none"/>
        </w:tabs>
        <w:spacing w:line="240" w:lineRule="auto" w:before="1" w:after="0"/>
        <w:ind w:left="119" w:right="115" w:firstLine="720"/>
        <w:jc w:val="left"/>
        <w:rPr>
          <w:sz w:val="22"/>
        </w:rPr>
      </w:pPr>
      <w:r>
        <w:rPr>
          <w:sz w:val="22"/>
        </w:rPr>
        <w:t>Prodhimet e RTSH-së, bashkëprodhimet dhe prodhimi i porositur i programeve përbëjnë të paktën 50 për qind të kohës së</w:t>
      </w:r>
      <w:r>
        <w:rPr>
          <w:spacing w:val="-5"/>
          <w:sz w:val="22"/>
        </w:rPr>
        <w:t> </w:t>
      </w:r>
      <w:r>
        <w:rPr>
          <w:sz w:val="22"/>
        </w:rPr>
        <w:t>transmetimit.</w:t>
      </w:r>
    </w:p>
    <w:p>
      <w:pPr>
        <w:pStyle w:val="ListParagraph"/>
        <w:numPr>
          <w:ilvl w:val="0"/>
          <w:numId w:val="226"/>
        </w:numPr>
        <w:tabs>
          <w:tab w:pos="1069" w:val="left" w:leader="none"/>
        </w:tabs>
        <w:spacing w:line="240" w:lineRule="auto" w:before="0" w:after="0"/>
        <w:ind w:left="119" w:right="115" w:firstLine="720"/>
        <w:jc w:val="left"/>
        <w:rPr>
          <w:sz w:val="22"/>
        </w:rPr>
      </w:pPr>
      <w:r>
        <w:rPr>
          <w:sz w:val="22"/>
        </w:rPr>
        <w:t>Prodhimi i porositur është pjesë e programeve të RTSH-së. Porositë realizohen nga subjekte të licencuara për prodhimin e programeve audiovizive ose të</w:t>
      </w:r>
      <w:r>
        <w:rPr>
          <w:spacing w:val="-10"/>
          <w:sz w:val="22"/>
        </w:rPr>
        <w:t> </w:t>
      </w:r>
      <w:r>
        <w:rPr>
          <w:sz w:val="22"/>
        </w:rPr>
        <w:t>filmave.</w:t>
      </w:r>
    </w:p>
    <w:p>
      <w:pPr>
        <w:pStyle w:val="ListParagraph"/>
        <w:numPr>
          <w:ilvl w:val="0"/>
          <w:numId w:val="226"/>
        </w:numPr>
        <w:tabs>
          <w:tab w:pos="1061" w:val="left" w:leader="none"/>
        </w:tabs>
        <w:spacing w:line="240" w:lineRule="auto" w:before="0" w:after="0"/>
        <w:ind w:left="119" w:right="115" w:firstLine="720"/>
        <w:jc w:val="left"/>
        <w:rPr>
          <w:sz w:val="22"/>
        </w:rPr>
      </w:pPr>
      <w:r>
        <w:rPr>
          <w:sz w:val="22"/>
        </w:rPr>
        <w:t>Bashkëprodhim është prodhimi i programeve në bashkëpunim mes RTSH-së dhe një subjekti të licencuar, ku secili prodhues angazhohet me potencialin e tij financiar e</w:t>
      </w:r>
      <w:r>
        <w:rPr>
          <w:spacing w:val="-3"/>
          <w:sz w:val="22"/>
        </w:rPr>
        <w:t> </w:t>
      </w:r>
      <w:r>
        <w:rPr>
          <w:sz w:val="22"/>
        </w:rPr>
        <w:t>teknik.</w:t>
      </w:r>
    </w:p>
    <w:p>
      <w:pPr>
        <w:pStyle w:val="ListParagraph"/>
        <w:numPr>
          <w:ilvl w:val="0"/>
          <w:numId w:val="226"/>
        </w:numPr>
        <w:tabs>
          <w:tab w:pos="1109" w:val="left" w:leader="none"/>
        </w:tabs>
        <w:spacing w:line="240" w:lineRule="auto" w:before="1" w:after="0"/>
        <w:ind w:left="119" w:right="116" w:firstLine="720"/>
        <w:jc w:val="left"/>
        <w:rPr>
          <w:sz w:val="22"/>
        </w:rPr>
      </w:pPr>
      <w:r>
        <w:rPr>
          <w:sz w:val="22"/>
        </w:rPr>
        <w:t>RTSH-ja ofron konkurrencë të hapur publike për prodhimet e porositura, sipas strukturës programore.</w:t>
      </w:r>
    </w:p>
    <w:p>
      <w:pPr>
        <w:pStyle w:val="ListParagraph"/>
        <w:numPr>
          <w:ilvl w:val="0"/>
          <w:numId w:val="226"/>
        </w:numPr>
        <w:tabs>
          <w:tab w:pos="1071" w:val="left" w:leader="none"/>
        </w:tabs>
        <w:spacing w:line="251" w:lineRule="exact" w:before="0" w:after="0"/>
        <w:ind w:left="1070" w:right="0" w:hanging="232"/>
        <w:jc w:val="left"/>
        <w:rPr>
          <w:sz w:val="22"/>
        </w:rPr>
      </w:pPr>
      <w:r>
        <w:rPr>
          <w:sz w:val="22"/>
        </w:rPr>
        <w:t>Modalitetet</w:t>
      </w:r>
      <w:r>
        <w:rPr>
          <w:spacing w:val="9"/>
          <w:sz w:val="22"/>
        </w:rPr>
        <w:t> </w:t>
      </w:r>
      <w:r>
        <w:rPr>
          <w:sz w:val="22"/>
        </w:rPr>
        <w:t>për</w:t>
      </w:r>
      <w:r>
        <w:rPr>
          <w:spacing w:val="9"/>
          <w:sz w:val="22"/>
        </w:rPr>
        <w:t> </w:t>
      </w:r>
      <w:r>
        <w:rPr>
          <w:sz w:val="22"/>
        </w:rPr>
        <w:t>prodhimet</w:t>
      </w:r>
      <w:r>
        <w:rPr>
          <w:spacing w:val="8"/>
          <w:sz w:val="22"/>
        </w:rPr>
        <w:t> </w:t>
      </w:r>
      <w:r>
        <w:rPr>
          <w:sz w:val="22"/>
        </w:rPr>
        <w:t>e</w:t>
      </w:r>
      <w:r>
        <w:rPr>
          <w:spacing w:val="9"/>
          <w:sz w:val="22"/>
        </w:rPr>
        <w:t> </w:t>
      </w:r>
      <w:r>
        <w:rPr>
          <w:sz w:val="22"/>
        </w:rPr>
        <w:t>porositura</w:t>
      </w:r>
      <w:r>
        <w:rPr>
          <w:spacing w:val="9"/>
          <w:sz w:val="22"/>
        </w:rPr>
        <w:t> </w:t>
      </w:r>
      <w:r>
        <w:rPr>
          <w:sz w:val="22"/>
        </w:rPr>
        <w:t>dhe</w:t>
      </w:r>
      <w:r>
        <w:rPr>
          <w:spacing w:val="9"/>
          <w:sz w:val="22"/>
        </w:rPr>
        <w:t> </w:t>
      </w:r>
      <w:r>
        <w:rPr>
          <w:sz w:val="22"/>
        </w:rPr>
        <w:t>bashkëprodhimet</w:t>
      </w:r>
      <w:r>
        <w:rPr>
          <w:spacing w:val="9"/>
          <w:sz w:val="22"/>
        </w:rPr>
        <w:t> </w:t>
      </w:r>
      <w:r>
        <w:rPr>
          <w:sz w:val="22"/>
        </w:rPr>
        <w:t>përcaktohen</w:t>
      </w:r>
      <w:r>
        <w:rPr>
          <w:spacing w:val="8"/>
          <w:sz w:val="22"/>
        </w:rPr>
        <w:t> </w:t>
      </w:r>
      <w:r>
        <w:rPr>
          <w:sz w:val="22"/>
        </w:rPr>
        <w:t>në</w:t>
      </w:r>
      <w:r>
        <w:rPr>
          <w:spacing w:val="9"/>
          <w:sz w:val="22"/>
        </w:rPr>
        <w:t> </w:t>
      </w:r>
      <w:r>
        <w:rPr>
          <w:sz w:val="22"/>
        </w:rPr>
        <w:t>statutin</w:t>
      </w:r>
      <w:r>
        <w:rPr>
          <w:spacing w:val="8"/>
          <w:sz w:val="22"/>
        </w:rPr>
        <w:t> </w:t>
      </w:r>
      <w:r>
        <w:rPr>
          <w:sz w:val="22"/>
        </w:rPr>
        <w:t>e</w:t>
      </w:r>
      <w:r>
        <w:rPr>
          <w:spacing w:val="9"/>
          <w:sz w:val="22"/>
        </w:rPr>
        <w:t> </w:t>
      </w:r>
      <w:r>
        <w:rPr>
          <w:sz w:val="22"/>
        </w:rPr>
        <w:t>RTSH-</w:t>
      </w:r>
    </w:p>
    <w:p>
      <w:pPr>
        <w:pStyle w:val="BodyText"/>
        <w:spacing w:line="252" w:lineRule="exact" w:before="1"/>
        <w:ind w:left="119" w:firstLine="0"/>
      </w:pPr>
      <w:r>
        <w:rPr/>
        <w:t>së.</w:t>
      </w:r>
    </w:p>
    <w:p>
      <w:pPr>
        <w:pStyle w:val="ListParagraph"/>
        <w:numPr>
          <w:ilvl w:val="0"/>
          <w:numId w:val="226"/>
        </w:numPr>
        <w:tabs>
          <w:tab w:pos="1066" w:val="left" w:leader="none"/>
        </w:tabs>
        <w:spacing w:line="252" w:lineRule="exact" w:before="0" w:after="0"/>
        <w:ind w:left="1065" w:right="0" w:hanging="227"/>
        <w:jc w:val="left"/>
        <w:rPr>
          <w:sz w:val="22"/>
        </w:rPr>
      </w:pPr>
      <w:r>
        <w:rPr>
          <w:sz w:val="22"/>
        </w:rPr>
        <w:t>Për prodhimin e veprave audiovizive, që realizohen me porosi, RTSH-ja ka të drejtë të</w:t>
      </w:r>
      <w:r>
        <w:rPr>
          <w:spacing w:val="47"/>
          <w:sz w:val="22"/>
        </w:rPr>
        <w:t> </w:t>
      </w:r>
      <w:r>
        <w:rPr>
          <w:sz w:val="22"/>
        </w:rPr>
        <w:t>përdorë</w:t>
      </w:r>
    </w:p>
    <w:p>
      <w:pPr>
        <w:pStyle w:val="BodyText"/>
        <w:spacing w:before="1"/>
        <w:ind w:firstLine="0"/>
      </w:pPr>
      <w:r>
        <w:rPr/>
        <w:t>deri në 25 për qind të buxhetit të saj të destinuar për prodhimet.</w:t>
      </w:r>
    </w:p>
    <w:p>
      <w:pPr>
        <w:pStyle w:val="BodyText"/>
        <w:ind w:left="0" w:firstLine="0"/>
      </w:pPr>
    </w:p>
    <w:p>
      <w:pPr>
        <w:pStyle w:val="BodyText"/>
        <w:spacing w:before="1"/>
        <w:ind w:left="146" w:right="146" w:firstLine="0"/>
        <w:jc w:val="center"/>
      </w:pPr>
      <w:r>
        <w:rPr/>
        <w:t>Neni 125</w:t>
      </w:r>
    </w:p>
    <w:p>
      <w:pPr>
        <w:pStyle w:val="Heading1"/>
        <w:spacing w:before="3"/>
        <w:ind w:right="144"/>
      </w:pPr>
      <w:r>
        <w:rPr/>
        <w:t>Rrjetet e transmetimeve të RTSH-së</w:t>
      </w:r>
    </w:p>
    <w:p>
      <w:pPr>
        <w:pStyle w:val="BodyText"/>
        <w:spacing w:before="7"/>
        <w:ind w:left="0" w:firstLine="0"/>
        <w:rPr>
          <w:b/>
          <w:sz w:val="21"/>
        </w:rPr>
      </w:pPr>
    </w:p>
    <w:p>
      <w:pPr>
        <w:pStyle w:val="BodyText"/>
        <w:spacing w:line="252" w:lineRule="exact"/>
        <w:ind w:left="840" w:firstLine="0"/>
        <w:jc w:val="both"/>
      </w:pPr>
      <w:r>
        <w:rPr/>
        <w:t>Shërbimet e programeve të RTSH-së mbështeten në rrjetet e transmetimit si më poshtë:</w:t>
      </w:r>
    </w:p>
    <w:p>
      <w:pPr>
        <w:pStyle w:val="ListParagraph"/>
        <w:numPr>
          <w:ilvl w:val="0"/>
          <w:numId w:val="227"/>
        </w:numPr>
        <w:tabs>
          <w:tab w:pos="1119" w:val="left" w:leader="none"/>
        </w:tabs>
        <w:spacing w:line="240" w:lineRule="auto" w:before="0" w:after="0"/>
        <w:ind w:left="120" w:right="116" w:firstLine="720"/>
        <w:jc w:val="both"/>
        <w:rPr>
          <w:sz w:val="22"/>
        </w:rPr>
      </w:pPr>
      <w:r>
        <w:rPr>
          <w:sz w:val="22"/>
        </w:rPr>
        <w:t>rrjete që përdorin frekuencat për transmetime audiovizive. Këto frekuenca caktohen nga AMA, sipas Planit Kombëtar të Frekuencave dhe janë pjesë e kontratës së shërbimit të transmetimit publik, në përputhje me nenin 117 të këtij</w:t>
      </w:r>
      <w:r>
        <w:rPr>
          <w:spacing w:val="-3"/>
          <w:sz w:val="22"/>
        </w:rPr>
        <w:t> </w:t>
      </w:r>
      <w:r>
        <w:rPr>
          <w:sz w:val="22"/>
        </w:rPr>
        <w:t>ligji;</w:t>
      </w:r>
    </w:p>
    <w:p>
      <w:pPr>
        <w:pStyle w:val="ListParagraph"/>
        <w:numPr>
          <w:ilvl w:val="0"/>
          <w:numId w:val="227"/>
        </w:numPr>
        <w:tabs>
          <w:tab w:pos="1112" w:val="left" w:leader="none"/>
        </w:tabs>
        <w:spacing w:line="240" w:lineRule="auto" w:before="0" w:after="0"/>
        <w:ind w:left="120" w:right="117" w:firstLine="720"/>
        <w:jc w:val="both"/>
        <w:rPr>
          <w:sz w:val="22"/>
        </w:rPr>
      </w:pPr>
      <w:r>
        <w:rPr>
          <w:sz w:val="22"/>
        </w:rPr>
        <w:t>rrjete që përdorin frekuenca jashtë brezave audiovizive. Këto frekuenca jepen nga AKEP-i, sipas përcaktimeve në Planin Kombëtar të Frekuencave, në përputhje me nenin 54 pika 2 të këtij</w:t>
      </w:r>
      <w:r>
        <w:rPr>
          <w:spacing w:val="-18"/>
          <w:sz w:val="22"/>
        </w:rPr>
        <w:t> </w:t>
      </w:r>
      <w:r>
        <w:rPr>
          <w:sz w:val="22"/>
        </w:rPr>
        <w:t>ligji;</w:t>
      </w:r>
    </w:p>
    <w:p>
      <w:pPr>
        <w:pStyle w:val="ListParagraph"/>
        <w:numPr>
          <w:ilvl w:val="0"/>
          <w:numId w:val="227"/>
        </w:numPr>
        <w:tabs>
          <w:tab w:pos="1100" w:val="left" w:leader="none"/>
        </w:tabs>
        <w:spacing w:line="240" w:lineRule="auto" w:before="0" w:after="0"/>
        <w:ind w:left="120" w:right="114" w:firstLine="720"/>
        <w:jc w:val="both"/>
        <w:rPr>
          <w:sz w:val="22"/>
        </w:rPr>
      </w:pPr>
      <w:r>
        <w:rPr>
          <w:sz w:val="22"/>
        </w:rPr>
        <w:t>rrjete që nuk kërkojnë caktimin e frekuencave. Ofrimi i shërbimeve të mbështetura në këto rrjete bëhet në bazë të përcaktimeve të nenit 54 pika 3 të këtij</w:t>
      </w:r>
      <w:r>
        <w:rPr>
          <w:spacing w:val="-7"/>
          <w:sz w:val="22"/>
        </w:rPr>
        <w:t> </w:t>
      </w:r>
      <w:r>
        <w:rPr>
          <w:sz w:val="22"/>
        </w:rPr>
        <w:t>ligji.</w:t>
      </w:r>
    </w:p>
    <w:p>
      <w:pPr>
        <w:pStyle w:val="BodyText"/>
        <w:spacing w:before="10"/>
        <w:ind w:left="0" w:firstLine="0"/>
        <w:rPr>
          <w:sz w:val="21"/>
        </w:rPr>
      </w:pPr>
    </w:p>
    <w:p>
      <w:pPr>
        <w:pStyle w:val="BodyText"/>
        <w:ind w:left="146" w:right="146" w:firstLine="0"/>
        <w:jc w:val="center"/>
      </w:pPr>
      <w:r>
        <w:rPr/>
        <w:t>Neni 126</w:t>
      </w:r>
    </w:p>
    <w:p>
      <w:pPr>
        <w:pStyle w:val="Heading1"/>
        <w:spacing w:before="7"/>
        <w:ind w:right="144"/>
      </w:pPr>
      <w:r>
        <w:rPr/>
        <w:t>Transmetimet numerike të RTSH-së</w:t>
      </w:r>
    </w:p>
    <w:p>
      <w:pPr>
        <w:pStyle w:val="BodyText"/>
        <w:spacing w:before="6"/>
        <w:ind w:left="0" w:firstLine="0"/>
        <w:rPr>
          <w:b/>
          <w:sz w:val="21"/>
        </w:rPr>
      </w:pPr>
    </w:p>
    <w:p>
      <w:pPr>
        <w:pStyle w:val="ListParagraph"/>
        <w:numPr>
          <w:ilvl w:val="0"/>
          <w:numId w:val="228"/>
        </w:numPr>
        <w:tabs>
          <w:tab w:pos="1066" w:val="left" w:leader="none"/>
        </w:tabs>
        <w:spacing w:line="240" w:lineRule="auto" w:before="1" w:after="0"/>
        <w:ind w:left="120" w:right="115" w:firstLine="720"/>
        <w:jc w:val="left"/>
        <w:rPr>
          <w:sz w:val="22"/>
        </w:rPr>
      </w:pPr>
      <w:r>
        <w:rPr>
          <w:sz w:val="22"/>
        </w:rPr>
        <w:t>RTSH-ja, në bazë të kontratës që lidh me AMA-n, krijon, shfrytëzon dhe vë në funksionim një rrjet numerik kombëtar për të realizuar transmetimet numerike</w:t>
      </w:r>
      <w:r>
        <w:rPr>
          <w:spacing w:val="-9"/>
          <w:sz w:val="22"/>
        </w:rPr>
        <w:t> </w:t>
      </w:r>
      <w:r>
        <w:rPr>
          <w:sz w:val="22"/>
        </w:rPr>
        <w:t>për:</w:t>
      </w:r>
    </w:p>
    <w:p>
      <w:pPr>
        <w:pStyle w:val="ListParagraph"/>
        <w:numPr>
          <w:ilvl w:val="0"/>
          <w:numId w:val="229"/>
        </w:numPr>
        <w:tabs>
          <w:tab w:pos="1069" w:val="left" w:leader="none"/>
        </w:tabs>
        <w:spacing w:line="251" w:lineRule="exact" w:before="0" w:after="0"/>
        <w:ind w:left="1068" w:right="0" w:hanging="229"/>
        <w:jc w:val="left"/>
        <w:rPr>
          <w:sz w:val="22"/>
        </w:rPr>
      </w:pPr>
      <w:r>
        <w:rPr>
          <w:sz w:val="22"/>
        </w:rPr>
        <w:t>shërbimet e veta audio dhe audiovizive pa</w:t>
      </w:r>
      <w:r>
        <w:rPr>
          <w:spacing w:val="-3"/>
          <w:sz w:val="22"/>
        </w:rPr>
        <w:t> </w:t>
      </w:r>
      <w:r>
        <w:rPr>
          <w:sz w:val="22"/>
        </w:rPr>
        <w:t>pagesë;</w:t>
      </w:r>
    </w:p>
    <w:p>
      <w:pPr>
        <w:pStyle w:val="ListParagraph"/>
        <w:numPr>
          <w:ilvl w:val="0"/>
          <w:numId w:val="229"/>
        </w:numPr>
        <w:tabs>
          <w:tab w:pos="1081" w:val="left" w:leader="none"/>
        </w:tabs>
        <w:spacing w:line="252" w:lineRule="exact" w:before="1" w:after="0"/>
        <w:ind w:left="1080" w:right="0" w:hanging="241"/>
        <w:jc w:val="left"/>
        <w:rPr>
          <w:sz w:val="22"/>
        </w:rPr>
      </w:pPr>
      <w:r>
        <w:rPr>
          <w:sz w:val="22"/>
        </w:rPr>
        <w:t>shërbime të tjera me natyrë publike, të përcaktuara si të tilla nga</w:t>
      </w:r>
      <w:r>
        <w:rPr>
          <w:spacing w:val="-9"/>
          <w:sz w:val="22"/>
        </w:rPr>
        <w:t> </w:t>
      </w:r>
      <w:r>
        <w:rPr>
          <w:sz w:val="22"/>
        </w:rPr>
        <w:t>AMA;</w:t>
      </w:r>
    </w:p>
    <w:p>
      <w:pPr>
        <w:pStyle w:val="ListParagraph"/>
        <w:numPr>
          <w:ilvl w:val="0"/>
          <w:numId w:val="229"/>
        </w:numPr>
        <w:tabs>
          <w:tab w:pos="1069" w:val="left" w:leader="none"/>
        </w:tabs>
        <w:spacing w:line="252" w:lineRule="exact" w:before="0" w:after="0"/>
        <w:ind w:left="1068" w:right="0" w:hanging="229"/>
        <w:jc w:val="left"/>
        <w:rPr>
          <w:sz w:val="22"/>
        </w:rPr>
      </w:pPr>
      <w:r>
        <w:rPr>
          <w:sz w:val="22"/>
        </w:rPr>
        <w:t>shërbime të transmetuesve të tjerë, në bazë të kontratave</w:t>
      </w:r>
      <w:r>
        <w:rPr>
          <w:spacing w:val="-6"/>
          <w:sz w:val="22"/>
        </w:rPr>
        <w:t> </w:t>
      </w:r>
      <w:r>
        <w:rPr>
          <w:sz w:val="22"/>
        </w:rPr>
        <w:t>përkatëse.</w:t>
      </w:r>
    </w:p>
    <w:p>
      <w:pPr>
        <w:pStyle w:val="ListParagraph"/>
        <w:numPr>
          <w:ilvl w:val="0"/>
          <w:numId w:val="228"/>
        </w:numPr>
        <w:tabs>
          <w:tab w:pos="1069" w:val="left" w:leader="none"/>
        </w:tabs>
        <w:spacing w:line="240" w:lineRule="auto" w:before="1" w:after="0"/>
        <w:ind w:left="120" w:right="115" w:firstLine="720"/>
        <w:jc w:val="left"/>
        <w:rPr>
          <w:sz w:val="22"/>
        </w:rPr>
      </w:pPr>
      <w:r>
        <w:rPr>
          <w:sz w:val="22"/>
        </w:rPr>
        <w:t>Përcaktimet e pikës 1 të këtij neni nuk e ndalojnë RTSH-në që të kërkojë krijimin e një rrjeti numerik të</w:t>
      </w:r>
      <w:r>
        <w:rPr>
          <w:spacing w:val="-3"/>
          <w:sz w:val="22"/>
        </w:rPr>
        <w:t> </w:t>
      </w:r>
      <w:r>
        <w:rPr>
          <w:sz w:val="22"/>
        </w:rPr>
        <w:t>dytë.</w:t>
      </w:r>
    </w:p>
    <w:p>
      <w:pPr>
        <w:pStyle w:val="BodyText"/>
        <w:spacing w:before="11"/>
        <w:ind w:left="0" w:firstLine="0"/>
        <w:rPr>
          <w:sz w:val="21"/>
        </w:rPr>
      </w:pPr>
    </w:p>
    <w:p>
      <w:pPr>
        <w:pStyle w:val="BodyText"/>
        <w:spacing w:line="252" w:lineRule="exact"/>
        <w:ind w:left="146" w:right="146" w:firstLine="0"/>
        <w:jc w:val="center"/>
      </w:pPr>
      <w:r>
        <w:rPr/>
        <w:t>KREU XIII</w:t>
      </w:r>
    </w:p>
    <w:p>
      <w:pPr>
        <w:pStyle w:val="BodyText"/>
        <w:spacing w:line="252" w:lineRule="exact"/>
        <w:ind w:left="143" w:right="147" w:firstLine="0"/>
        <w:jc w:val="center"/>
      </w:pPr>
      <w:r>
        <w:rPr/>
        <w:t>MBULIMI I NGJARJEVE ME RËNDËSI PËR PUBLIKUN</w:t>
      </w:r>
    </w:p>
    <w:p>
      <w:pPr>
        <w:pStyle w:val="BodyText"/>
        <w:ind w:left="0" w:firstLine="0"/>
      </w:pPr>
    </w:p>
    <w:p>
      <w:pPr>
        <w:pStyle w:val="BodyText"/>
        <w:ind w:left="146" w:right="146" w:firstLine="0"/>
        <w:jc w:val="center"/>
      </w:pPr>
      <w:r>
        <w:rPr/>
        <w:t>Neni 127</w:t>
      </w:r>
    </w:p>
    <w:p>
      <w:pPr>
        <w:pStyle w:val="Heading1"/>
        <w:spacing w:before="7"/>
        <w:ind w:right="144"/>
      </w:pPr>
      <w:r>
        <w:rPr/>
        <w:t>Përcaktimi i ngjarjeve me rëndësi të madhe</w:t>
      </w:r>
    </w:p>
    <w:p>
      <w:pPr>
        <w:pStyle w:val="BodyText"/>
        <w:spacing w:before="4"/>
        <w:ind w:left="0" w:firstLine="0"/>
        <w:rPr>
          <w:b/>
          <w:sz w:val="21"/>
        </w:rPr>
      </w:pPr>
    </w:p>
    <w:p>
      <w:pPr>
        <w:pStyle w:val="ListParagraph"/>
        <w:numPr>
          <w:ilvl w:val="0"/>
          <w:numId w:val="230"/>
        </w:numPr>
        <w:tabs>
          <w:tab w:pos="1062" w:val="left" w:leader="none"/>
        </w:tabs>
        <w:spacing w:line="240" w:lineRule="auto" w:before="0" w:after="0"/>
        <w:ind w:left="1061" w:right="0" w:hanging="222"/>
        <w:jc w:val="both"/>
        <w:rPr>
          <w:sz w:val="22"/>
        </w:rPr>
      </w:pPr>
      <w:r>
        <w:rPr>
          <w:sz w:val="22"/>
        </w:rPr>
        <w:t>AMA, me vendim,</w:t>
      </w:r>
      <w:r>
        <w:rPr>
          <w:spacing w:val="-1"/>
          <w:sz w:val="22"/>
        </w:rPr>
        <w:t> </w:t>
      </w:r>
      <w:r>
        <w:rPr>
          <w:sz w:val="22"/>
        </w:rPr>
        <w:t>përcakton:</w:t>
      </w:r>
    </w:p>
    <w:p>
      <w:pPr>
        <w:pStyle w:val="ListParagraph"/>
        <w:numPr>
          <w:ilvl w:val="0"/>
          <w:numId w:val="231"/>
        </w:numPr>
        <w:tabs>
          <w:tab w:pos="1071" w:val="left" w:leader="none"/>
        </w:tabs>
        <w:spacing w:line="240" w:lineRule="auto" w:before="2" w:after="0"/>
        <w:ind w:left="120" w:right="115" w:firstLine="720"/>
        <w:jc w:val="both"/>
        <w:rPr>
          <w:sz w:val="22"/>
        </w:rPr>
      </w:pPr>
      <w:r>
        <w:rPr>
          <w:sz w:val="22"/>
        </w:rPr>
        <w:t>listën me ngjarjet me rëndësi të madhe për publikun, të cilat do të transmetohen pa pagesë nga OSHMA-ja që do të fitojë të drejtën e transmetimit të kësaj ngjarjeje dhe që siguron mbulimin e përgjithshëm;</w:t>
      </w:r>
    </w:p>
    <w:p>
      <w:pPr>
        <w:pStyle w:val="ListParagraph"/>
        <w:numPr>
          <w:ilvl w:val="0"/>
          <w:numId w:val="231"/>
        </w:numPr>
        <w:tabs>
          <w:tab w:pos="1141" w:val="left" w:leader="none"/>
        </w:tabs>
        <w:spacing w:line="240" w:lineRule="auto" w:before="0" w:after="0"/>
        <w:ind w:left="120" w:right="113" w:firstLine="720"/>
        <w:jc w:val="both"/>
        <w:rPr>
          <w:sz w:val="22"/>
        </w:rPr>
      </w:pPr>
      <w:r>
        <w:rPr>
          <w:sz w:val="22"/>
        </w:rPr>
        <w:t>mënyrën e transmetimit pa pagesë të një ngjarjeje me rëndësi të madhe, nëse duhet të transmetohet direkt, i regjistruar apo në të dyja mënyrat dhe në të gjithë ose një pjesë të territorit të</w:t>
      </w:r>
      <w:r>
        <w:rPr>
          <w:spacing w:val="-29"/>
          <w:sz w:val="22"/>
        </w:rPr>
        <w:t> </w:t>
      </w:r>
      <w:r>
        <w:rPr>
          <w:sz w:val="22"/>
        </w:rPr>
        <w:t>vendit.</w:t>
      </w:r>
    </w:p>
    <w:p>
      <w:pPr>
        <w:spacing w:after="0" w:line="240" w:lineRule="auto"/>
        <w:jc w:val="both"/>
        <w:rPr>
          <w:sz w:val="22"/>
        </w:rPr>
        <w:sectPr>
          <w:pgSz w:w="12240" w:h="15840"/>
          <w:pgMar w:top="1360" w:bottom="280" w:left="1320" w:right="1320"/>
        </w:sectPr>
      </w:pPr>
    </w:p>
    <w:p>
      <w:pPr>
        <w:pStyle w:val="ListParagraph"/>
        <w:numPr>
          <w:ilvl w:val="0"/>
          <w:numId w:val="230"/>
        </w:numPr>
        <w:tabs>
          <w:tab w:pos="1069" w:val="left" w:leader="none"/>
        </w:tabs>
        <w:spacing w:line="240" w:lineRule="auto" w:before="74" w:after="0"/>
        <w:ind w:left="120" w:right="113" w:firstLine="720"/>
        <w:jc w:val="both"/>
        <w:rPr>
          <w:sz w:val="22"/>
        </w:rPr>
      </w:pPr>
      <w:r>
        <w:rPr>
          <w:sz w:val="22"/>
        </w:rPr>
        <w:t>AMA, për të marrë vendimin e përcaktimit, duhet të mbajë parasysh të gjitha rrethanat dhe, në veçanti, jehonën dhe interesimin e veçantë, si dhe vlerat e veçanta e të rëndësishme që ngjarja ka për kulturën e të gjithë popullsisë në Republikën e</w:t>
      </w:r>
      <w:r>
        <w:rPr>
          <w:spacing w:val="-4"/>
          <w:sz w:val="22"/>
        </w:rPr>
        <w:t> </w:t>
      </w:r>
      <w:r>
        <w:rPr>
          <w:sz w:val="22"/>
        </w:rPr>
        <w:t>Shqipërisë.</w:t>
      </w:r>
    </w:p>
    <w:p>
      <w:pPr>
        <w:pStyle w:val="ListParagraph"/>
        <w:numPr>
          <w:ilvl w:val="0"/>
          <w:numId w:val="230"/>
        </w:numPr>
        <w:tabs>
          <w:tab w:pos="1071" w:val="left" w:leader="none"/>
        </w:tabs>
        <w:spacing w:line="240" w:lineRule="auto" w:before="0" w:after="0"/>
        <w:ind w:left="120" w:right="114" w:firstLine="720"/>
        <w:jc w:val="both"/>
        <w:rPr>
          <w:sz w:val="22"/>
        </w:rPr>
      </w:pPr>
      <w:r>
        <w:rPr>
          <w:sz w:val="22"/>
        </w:rPr>
        <w:t>Për të përcaktuar masën, në të cilën ekzistojnë rrethanat e përcaktuara në pikën 2 të këtij neni, AMA vlerëson pjesëmarrjen e një skuadre kombëtare apo të një individi shqiptar, si dhe përvojën e mëparshme, në lidhje me mbulimin e transmetimit të ngjarjes apo ngjarjeve të</w:t>
      </w:r>
      <w:r>
        <w:rPr>
          <w:spacing w:val="-11"/>
          <w:sz w:val="22"/>
        </w:rPr>
        <w:t> </w:t>
      </w:r>
      <w:r>
        <w:rPr>
          <w:sz w:val="22"/>
        </w:rPr>
        <w:t>ngjashme.</w:t>
      </w:r>
    </w:p>
    <w:p>
      <w:pPr>
        <w:pStyle w:val="ListParagraph"/>
        <w:numPr>
          <w:ilvl w:val="0"/>
          <w:numId w:val="230"/>
        </w:numPr>
        <w:tabs>
          <w:tab w:pos="1064" w:val="left" w:leader="none"/>
        </w:tabs>
        <w:spacing w:line="240" w:lineRule="auto" w:before="0" w:after="0"/>
        <w:ind w:left="120" w:right="114" w:firstLine="720"/>
        <w:jc w:val="both"/>
        <w:rPr>
          <w:sz w:val="22"/>
        </w:rPr>
      </w:pPr>
      <w:r>
        <w:rPr>
          <w:sz w:val="22"/>
        </w:rPr>
        <w:t>AMA, në vendimin e përcaktimit, vlerëson natyrën e ngjarjes, kohën kur ngjarja zhvillohet dhe vlerësimin praktik të transmetimeve në</w:t>
      </w:r>
      <w:r>
        <w:rPr>
          <w:spacing w:val="-6"/>
          <w:sz w:val="22"/>
        </w:rPr>
        <w:t> </w:t>
      </w:r>
      <w:r>
        <w:rPr>
          <w:sz w:val="22"/>
        </w:rPr>
        <w:t>vend.</w:t>
      </w:r>
    </w:p>
    <w:p>
      <w:pPr>
        <w:pStyle w:val="ListParagraph"/>
        <w:numPr>
          <w:ilvl w:val="0"/>
          <w:numId w:val="230"/>
        </w:numPr>
        <w:tabs>
          <w:tab w:pos="1061" w:val="left" w:leader="none"/>
        </w:tabs>
        <w:spacing w:line="240" w:lineRule="auto" w:before="0" w:after="0"/>
        <w:ind w:left="120" w:right="116" w:firstLine="720"/>
        <w:jc w:val="both"/>
        <w:rPr>
          <w:sz w:val="22"/>
        </w:rPr>
      </w:pPr>
      <w:r>
        <w:rPr>
          <w:sz w:val="22"/>
        </w:rPr>
        <w:t>Në marrjen e vendimit të përcaktimit, AMA këshillohet me ministrin që mbulon kulturën, artin, sportin dhe turizmin dhe me Këshillin e</w:t>
      </w:r>
      <w:r>
        <w:rPr>
          <w:spacing w:val="-9"/>
          <w:sz w:val="22"/>
        </w:rPr>
        <w:t> </w:t>
      </w:r>
      <w:r>
        <w:rPr>
          <w:sz w:val="22"/>
        </w:rPr>
        <w:t>Ankesave.</w:t>
      </w:r>
    </w:p>
    <w:p>
      <w:pPr>
        <w:pStyle w:val="ListParagraph"/>
        <w:numPr>
          <w:ilvl w:val="0"/>
          <w:numId w:val="230"/>
        </w:numPr>
        <w:tabs>
          <w:tab w:pos="1136" w:val="left" w:leader="none"/>
        </w:tabs>
        <w:spacing w:line="240" w:lineRule="auto" w:before="0" w:after="0"/>
        <w:ind w:left="120" w:right="116" w:firstLine="720"/>
        <w:jc w:val="both"/>
        <w:rPr>
          <w:sz w:val="22"/>
        </w:rPr>
      </w:pPr>
      <w:r>
        <w:rPr>
          <w:sz w:val="22"/>
        </w:rPr>
        <w:t>Vendimi i përcaktimit i paraqitet për mendim Komisionit për Edukimin dhe Mjetet e Informimit Publik të</w:t>
      </w:r>
      <w:r>
        <w:rPr>
          <w:spacing w:val="-4"/>
          <w:sz w:val="22"/>
        </w:rPr>
        <w:t> </w:t>
      </w:r>
      <w:r>
        <w:rPr>
          <w:sz w:val="22"/>
        </w:rPr>
        <w:t>Kuvendit.</w:t>
      </w:r>
    </w:p>
    <w:p>
      <w:pPr>
        <w:pStyle w:val="BodyText"/>
        <w:spacing w:before="9"/>
        <w:ind w:left="0" w:firstLine="0"/>
        <w:rPr>
          <w:sz w:val="21"/>
        </w:rPr>
      </w:pPr>
    </w:p>
    <w:p>
      <w:pPr>
        <w:pStyle w:val="BodyText"/>
        <w:spacing w:before="1"/>
        <w:ind w:left="146" w:right="146" w:firstLine="0"/>
        <w:jc w:val="center"/>
      </w:pPr>
      <w:r>
        <w:rPr/>
        <w:t>Neni 128</w:t>
      </w:r>
    </w:p>
    <w:p>
      <w:pPr>
        <w:pStyle w:val="Heading1"/>
        <w:spacing w:before="6"/>
        <w:ind w:left="1835" w:right="1834"/>
      </w:pPr>
      <w:r>
        <w:rPr/>
        <w:t>Kualifikimi i OSHMA-ve për mbulimin e ngjarjeve me rëndësi të madhe për publikun</w:t>
      </w:r>
    </w:p>
    <w:p>
      <w:pPr>
        <w:pStyle w:val="BodyText"/>
        <w:spacing w:before="6"/>
        <w:ind w:left="0" w:firstLine="0"/>
        <w:rPr>
          <w:b/>
          <w:sz w:val="21"/>
        </w:rPr>
      </w:pPr>
    </w:p>
    <w:p>
      <w:pPr>
        <w:pStyle w:val="ListParagraph"/>
        <w:numPr>
          <w:ilvl w:val="0"/>
          <w:numId w:val="232"/>
        </w:numPr>
        <w:tabs>
          <w:tab w:pos="1069" w:val="left" w:leader="none"/>
        </w:tabs>
        <w:spacing w:line="240" w:lineRule="auto" w:before="0" w:after="0"/>
        <w:ind w:left="120" w:right="113" w:firstLine="720"/>
        <w:jc w:val="both"/>
        <w:rPr>
          <w:sz w:val="22"/>
        </w:rPr>
      </w:pPr>
      <w:r>
        <w:rPr>
          <w:sz w:val="22"/>
        </w:rPr>
        <w:t>Dy ose më shumë OSHMA mund të lidhin kontratë ose marrëveshje për të realizuar së bashku mbulimin e përgjithshëm të një ngjarjeje me rëndësi. Në një rast të tillë këta OSHMA konsiderohen së bashku si një OSHMA i kualifikuar në lidhje me mbulimin e</w:t>
      </w:r>
      <w:r>
        <w:rPr>
          <w:spacing w:val="-10"/>
          <w:sz w:val="22"/>
        </w:rPr>
        <w:t> </w:t>
      </w:r>
      <w:r>
        <w:rPr>
          <w:sz w:val="22"/>
        </w:rPr>
        <w:t>përgjithshëm.</w:t>
      </w:r>
    </w:p>
    <w:p>
      <w:pPr>
        <w:pStyle w:val="ListParagraph"/>
        <w:numPr>
          <w:ilvl w:val="0"/>
          <w:numId w:val="232"/>
        </w:numPr>
        <w:tabs>
          <w:tab w:pos="1076" w:val="left" w:leader="none"/>
        </w:tabs>
        <w:spacing w:line="240" w:lineRule="auto" w:before="0" w:after="0"/>
        <w:ind w:left="120" w:right="118" w:firstLine="720"/>
        <w:jc w:val="both"/>
        <w:rPr>
          <w:sz w:val="22"/>
        </w:rPr>
      </w:pPr>
      <w:r>
        <w:rPr>
          <w:sz w:val="22"/>
        </w:rPr>
        <w:t>Një OSHMA mund të kërkojë nga AMA të zgjidhë mosmarrëveshjet, në lidhje me shërbimin pa pagesë të transmetimit brenda vendit për mbulimin e</w:t>
      </w:r>
      <w:r>
        <w:rPr>
          <w:spacing w:val="-8"/>
          <w:sz w:val="22"/>
        </w:rPr>
        <w:t> </w:t>
      </w:r>
      <w:r>
        <w:rPr>
          <w:sz w:val="22"/>
        </w:rPr>
        <w:t>përgjithshëm.</w:t>
      </w:r>
    </w:p>
    <w:p>
      <w:pPr>
        <w:pStyle w:val="ListParagraph"/>
        <w:numPr>
          <w:ilvl w:val="0"/>
          <w:numId w:val="232"/>
        </w:numPr>
        <w:tabs>
          <w:tab w:pos="1121" w:val="left" w:leader="none"/>
        </w:tabs>
        <w:spacing w:line="240" w:lineRule="auto" w:before="0" w:after="0"/>
        <w:ind w:left="120" w:right="114" w:firstLine="720"/>
        <w:jc w:val="both"/>
        <w:rPr>
          <w:sz w:val="22"/>
        </w:rPr>
      </w:pPr>
      <w:r>
        <w:rPr>
          <w:sz w:val="22"/>
        </w:rPr>
        <w:t>AMA mund të konsultohet me ekspertë teknikë ose persona të tjerë të specializuar për zgjidhjen e</w:t>
      </w:r>
      <w:r>
        <w:rPr>
          <w:spacing w:val="-1"/>
          <w:sz w:val="22"/>
        </w:rPr>
        <w:t> </w:t>
      </w:r>
      <w:r>
        <w:rPr>
          <w:sz w:val="22"/>
        </w:rPr>
        <w:t>mosmarrëveshjes.</w:t>
      </w:r>
    </w:p>
    <w:p>
      <w:pPr>
        <w:pStyle w:val="BodyText"/>
        <w:spacing w:before="10"/>
        <w:ind w:left="0" w:firstLine="0"/>
        <w:rPr>
          <w:sz w:val="21"/>
        </w:rPr>
      </w:pPr>
    </w:p>
    <w:p>
      <w:pPr>
        <w:pStyle w:val="BodyText"/>
        <w:ind w:left="146" w:right="146" w:firstLine="0"/>
        <w:jc w:val="center"/>
      </w:pPr>
      <w:r>
        <w:rPr/>
        <w:t>Neni 129</w:t>
      </w:r>
    </w:p>
    <w:p>
      <w:pPr>
        <w:pStyle w:val="Heading1"/>
        <w:spacing w:before="7"/>
      </w:pPr>
      <w:r>
        <w:rPr/>
        <w:t>Detyrimet e OSHMA-ve në lidhje me ngjarjet e përcaktuara</w:t>
      </w:r>
    </w:p>
    <w:p>
      <w:pPr>
        <w:pStyle w:val="BodyText"/>
        <w:spacing w:before="4"/>
        <w:ind w:left="0" w:firstLine="0"/>
        <w:rPr>
          <w:b/>
          <w:sz w:val="21"/>
        </w:rPr>
      </w:pPr>
    </w:p>
    <w:p>
      <w:pPr>
        <w:pStyle w:val="ListParagraph"/>
        <w:numPr>
          <w:ilvl w:val="0"/>
          <w:numId w:val="233"/>
        </w:numPr>
        <w:tabs>
          <w:tab w:pos="1092" w:val="left" w:leader="none"/>
        </w:tabs>
        <w:spacing w:line="240" w:lineRule="auto" w:before="0" w:after="0"/>
        <w:ind w:left="120" w:right="113" w:firstLine="720"/>
        <w:jc w:val="both"/>
        <w:rPr>
          <w:sz w:val="22"/>
        </w:rPr>
      </w:pPr>
      <w:r>
        <w:rPr>
          <w:sz w:val="22"/>
        </w:rPr>
        <w:t>Nëse një OSHMA në juridiksionin e Republikës së Shqipërisë nuk është i kualifikuar, por zotëron të drejtën ekskluzive për të transmetuar një ngjarje të përcaktuar, ky OSHMA ia vë në dispozicion transmetimin e ngjarjes OSHMA-së së kualifikuar, kundrejt pagesës së një shume të arsyeshme, mbi bazën e vlerës së tregut, prej këtij të fundit.</w:t>
      </w:r>
    </w:p>
    <w:p>
      <w:pPr>
        <w:pStyle w:val="ListParagraph"/>
        <w:numPr>
          <w:ilvl w:val="0"/>
          <w:numId w:val="233"/>
        </w:numPr>
        <w:tabs>
          <w:tab w:pos="1092" w:val="left" w:leader="none"/>
        </w:tabs>
        <w:spacing w:line="240" w:lineRule="auto" w:before="1" w:after="0"/>
        <w:ind w:left="120" w:right="115" w:firstLine="720"/>
        <w:jc w:val="both"/>
        <w:rPr>
          <w:sz w:val="22"/>
        </w:rPr>
      </w:pPr>
      <w:r>
        <w:rPr>
          <w:sz w:val="22"/>
        </w:rPr>
        <w:t>Kur një OSHMA i kualifikuar zotëron të drejtën ekskluzive ose të transmetimit të ngjarjes, sipas përcaktimeve të këtij kreu, ose në bazë të një kontrate me organizuesin e ngjarjes, OSHMA-ja i kualifikuar duhet të transmetojë ngjarjen në një shërbim pa pagesë, duke siguruar mbulimin e përgjithshëm, në përputhje me vendimin përkatës të përcaktimit të</w:t>
      </w:r>
      <w:r>
        <w:rPr>
          <w:spacing w:val="-8"/>
          <w:sz w:val="22"/>
        </w:rPr>
        <w:t> </w:t>
      </w:r>
      <w:r>
        <w:rPr>
          <w:sz w:val="22"/>
        </w:rPr>
        <w:t>AMA-s.</w:t>
      </w:r>
    </w:p>
    <w:p>
      <w:pPr>
        <w:pStyle w:val="ListParagraph"/>
        <w:numPr>
          <w:ilvl w:val="0"/>
          <w:numId w:val="233"/>
        </w:numPr>
        <w:tabs>
          <w:tab w:pos="1124" w:val="left" w:leader="none"/>
        </w:tabs>
        <w:spacing w:line="240" w:lineRule="auto" w:before="1" w:after="0"/>
        <w:ind w:left="119" w:right="115" w:firstLine="720"/>
        <w:jc w:val="both"/>
        <w:rPr>
          <w:sz w:val="22"/>
        </w:rPr>
      </w:pPr>
      <w:r>
        <w:rPr>
          <w:sz w:val="22"/>
        </w:rPr>
        <w:t>Nëse për arsye të vlerës së çmimit të tregut, kalimi i së drejtës së transmetimit, sipas përcaktimit të pikës 1 të këtij neni, nuk mund të realizohet, OSHMA-ja, që zotëron të drejtën ekskluzive të transmetimit të ngjarjes së përcaktuar, i vë në dispozicion OSHMA-së të kualifikuar një përmbledhje të transmetimit të ngjarjes. Karakteristikat e përmbledhjes së transmetimit të ngjarjes dhe mënyra e transmetimit të saj përcaktohen në rregullore të veçantë të</w:t>
      </w:r>
      <w:r>
        <w:rPr>
          <w:spacing w:val="-5"/>
          <w:sz w:val="22"/>
        </w:rPr>
        <w:t> </w:t>
      </w:r>
      <w:r>
        <w:rPr>
          <w:sz w:val="22"/>
        </w:rPr>
        <w:t>AMA-s.</w:t>
      </w:r>
    </w:p>
    <w:p>
      <w:pPr>
        <w:pStyle w:val="BodyText"/>
        <w:spacing w:before="10"/>
        <w:ind w:left="0" w:firstLine="0"/>
        <w:rPr>
          <w:sz w:val="21"/>
        </w:rPr>
      </w:pPr>
    </w:p>
    <w:p>
      <w:pPr>
        <w:pStyle w:val="BodyText"/>
        <w:ind w:left="146" w:right="146" w:firstLine="0"/>
        <w:jc w:val="center"/>
      </w:pPr>
      <w:r>
        <w:rPr/>
        <w:t>Neni 130</w:t>
      </w:r>
    </w:p>
    <w:p>
      <w:pPr>
        <w:pStyle w:val="Heading1"/>
        <w:spacing w:before="6"/>
      </w:pPr>
      <w:r>
        <w:rPr/>
        <w:t>E drejta për raporte të lajmeve të shkurtra</w:t>
      </w:r>
    </w:p>
    <w:p>
      <w:pPr>
        <w:pStyle w:val="BodyText"/>
        <w:spacing w:before="5"/>
        <w:ind w:left="0" w:firstLine="0"/>
        <w:rPr>
          <w:b/>
          <w:sz w:val="21"/>
        </w:rPr>
      </w:pPr>
    </w:p>
    <w:p>
      <w:pPr>
        <w:pStyle w:val="ListParagraph"/>
        <w:numPr>
          <w:ilvl w:val="0"/>
          <w:numId w:val="234"/>
        </w:numPr>
        <w:tabs>
          <w:tab w:pos="1073" w:val="left" w:leader="none"/>
        </w:tabs>
        <w:spacing w:line="240" w:lineRule="auto" w:before="0" w:after="0"/>
        <w:ind w:left="119" w:right="113" w:firstLine="720"/>
        <w:jc w:val="both"/>
        <w:rPr>
          <w:sz w:val="22"/>
        </w:rPr>
      </w:pPr>
      <w:r>
        <w:rPr>
          <w:sz w:val="22"/>
        </w:rPr>
        <w:t>Për qëllim të raporteve të lajmeve të shkurtra, çdo OSHMA, i krijuar në Bashkimin Europian, ka akses me kushte të barabarta në ngjarje me interes të lartë për publikun, të cilat transmetohen mbi baza ekskluzive nga një OSHMA nën juridiksionin e</w:t>
      </w:r>
      <w:r>
        <w:rPr>
          <w:spacing w:val="-7"/>
          <w:sz w:val="22"/>
        </w:rPr>
        <w:t> </w:t>
      </w:r>
      <w:r>
        <w:rPr>
          <w:sz w:val="22"/>
        </w:rPr>
        <w:t>Shqipërisë.</w:t>
      </w:r>
    </w:p>
    <w:p>
      <w:pPr>
        <w:pStyle w:val="ListParagraph"/>
        <w:numPr>
          <w:ilvl w:val="0"/>
          <w:numId w:val="234"/>
        </w:numPr>
        <w:tabs>
          <w:tab w:pos="1085" w:val="left" w:leader="none"/>
        </w:tabs>
        <w:spacing w:line="240" w:lineRule="auto" w:before="2" w:after="0"/>
        <w:ind w:left="119" w:right="114" w:firstLine="719"/>
        <w:jc w:val="both"/>
        <w:rPr>
          <w:sz w:val="22"/>
        </w:rPr>
      </w:pPr>
      <w:r>
        <w:rPr>
          <w:sz w:val="22"/>
        </w:rPr>
        <w:t>Nëse një OSHMA, i krijuar në Republikën e Shqipërisë, ka kërkuar të drejta ekskluzive për ngjarje me interes të lartë për publikun, një tjetër OSHMA, i krijuar në Shqipëri, mund të kërkojë prej tij akses</w:t>
      </w:r>
      <w:r>
        <w:rPr>
          <w:spacing w:val="16"/>
          <w:sz w:val="22"/>
        </w:rPr>
        <w:t> </w:t>
      </w:r>
      <w:r>
        <w:rPr>
          <w:sz w:val="22"/>
        </w:rPr>
        <w:t>për</w:t>
      </w:r>
      <w:r>
        <w:rPr>
          <w:spacing w:val="14"/>
          <w:sz w:val="22"/>
        </w:rPr>
        <w:t> </w:t>
      </w:r>
      <w:r>
        <w:rPr>
          <w:sz w:val="22"/>
        </w:rPr>
        <w:t>ngjarjen</w:t>
      </w:r>
      <w:r>
        <w:rPr>
          <w:spacing w:val="14"/>
          <w:sz w:val="22"/>
        </w:rPr>
        <w:t> </w:t>
      </w:r>
      <w:r>
        <w:rPr>
          <w:sz w:val="22"/>
        </w:rPr>
        <w:t>në</w:t>
      </w:r>
      <w:r>
        <w:rPr>
          <w:spacing w:val="16"/>
          <w:sz w:val="22"/>
        </w:rPr>
        <w:t> </w:t>
      </w:r>
      <w:r>
        <w:rPr>
          <w:sz w:val="22"/>
        </w:rPr>
        <w:t>fjalë.</w:t>
      </w:r>
      <w:r>
        <w:rPr>
          <w:spacing w:val="14"/>
          <w:sz w:val="22"/>
        </w:rPr>
        <w:t> </w:t>
      </w:r>
      <w:r>
        <w:rPr>
          <w:sz w:val="22"/>
        </w:rPr>
        <w:t>Të</w:t>
      </w:r>
      <w:r>
        <w:rPr>
          <w:spacing w:val="14"/>
          <w:sz w:val="22"/>
        </w:rPr>
        <w:t> </w:t>
      </w:r>
      <w:r>
        <w:rPr>
          <w:sz w:val="22"/>
        </w:rPr>
        <w:t>gjithë</w:t>
      </w:r>
      <w:r>
        <w:rPr>
          <w:spacing w:val="17"/>
          <w:sz w:val="22"/>
        </w:rPr>
        <w:t> </w:t>
      </w:r>
      <w:r>
        <w:rPr>
          <w:sz w:val="22"/>
        </w:rPr>
        <w:t>OSHMA-të</w:t>
      </w:r>
      <w:r>
        <w:rPr>
          <w:spacing w:val="16"/>
          <w:sz w:val="22"/>
        </w:rPr>
        <w:t> </w:t>
      </w:r>
      <w:r>
        <w:rPr>
          <w:sz w:val="22"/>
        </w:rPr>
        <w:t>kanë</w:t>
      </w:r>
      <w:r>
        <w:rPr>
          <w:spacing w:val="17"/>
          <w:sz w:val="22"/>
        </w:rPr>
        <w:t> </w:t>
      </w:r>
      <w:r>
        <w:rPr>
          <w:sz w:val="22"/>
        </w:rPr>
        <w:t>të</w:t>
      </w:r>
      <w:r>
        <w:rPr>
          <w:spacing w:val="14"/>
          <w:sz w:val="22"/>
        </w:rPr>
        <w:t> </w:t>
      </w:r>
      <w:r>
        <w:rPr>
          <w:sz w:val="22"/>
        </w:rPr>
        <w:t>drejtën</w:t>
      </w:r>
      <w:r>
        <w:rPr>
          <w:spacing w:val="17"/>
          <w:sz w:val="22"/>
        </w:rPr>
        <w:t> </w:t>
      </w:r>
      <w:r>
        <w:rPr>
          <w:sz w:val="22"/>
        </w:rPr>
        <w:t>për</w:t>
      </w:r>
      <w:r>
        <w:rPr>
          <w:spacing w:val="16"/>
          <w:sz w:val="22"/>
        </w:rPr>
        <w:t> </w:t>
      </w:r>
      <w:r>
        <w:rPr>
          <w:sz w:val="22"/>
        </w:rPr>
        <w:t>akses</w:t>
      </w:r>
      <w:r>
        <w:rPr>
          <w:spacing w:val="14"/>
          <w:sz w:val="22"/>
        </w:rPr>
        <w:t> </w:t>
      </w:r>
      <w:r>
        <w:rPr>
          <w:sz w:val="22"/>
        </w:rPr>
        <w:t>në</w:t>
      </w:r>
      <w:r>
        <w:rPr>
          <w:spacing w:val="17"/>
          <w:sz w:val="22"/>
        </w:rPr>
        <w:t> </w:t>
      </w:r>
      <w:r>
        <w:rPr>
          <w:sz w:val="22"/>
        </w:rPr>
        <w:t>ngjarje</w:t>
      </w:r>
      <w:r>
        <w:rPr>
          <w:spacing w:val="14"/>
          <w:sz w:val="22"/>
        </w:rPr>
        <w:t> </w:t>
      </w:r>
      <w:r>
        <w:rPr>
          <w:sz w:val="22"/>
        </w:rPr>
        <w:t>të</w:t>
      </w:r>
      <w:r>
        <w:rPr>
          <w:spacing w:val="15"/>
          <w:sz w:val="22"/>
        </w:rPr>
        <w:t> </w:t>
      </w:r>
      <w:r>
        <w:rPr>
          <w:sz w:val="22"/>
        </w:rPr>
        <w:t>interesit</w:t>
      </w:r>
      <w:r>
        <w:rPr>
          <w:spacing w:val="14"/>
          <w:sz w:val="22"/>
        </w:rPr>
        <w:t> </w:t>
      </w:r>
      <w:r>
        <w:rPr>
          <w:sz w:val="22"/>
        </w:rPr>
        <w:t>të</w:t>
      </w:r>
      <w:r>
        <w:rPr>
          <w:spacing w:val="15"/>
          <w:sz w:val="22"/>
        </w:rPr>
        <w:t> </w:t>
      </w:r>
      <w:r>
        <w:rPr>
          <w:sz w:val="22"/>
        </w:rPr>
        <w:t>lartë</w:t>
      </w:r>
    </w:p>
    <w:p>
      <w:pPr>
        <w:spacing w:after="0" w:line="240" w:lineRule="auto"/>
        <w:jc w:val="both"/>
        <w:rPr>
          <w:sz w:val="22"/>
        </w:rPr>
        <w:sectPr>
          <w:pgSz w:w="12240" w:h="15840"/>
          <w:pgMar w:top="1360" w:bottom="280" w:left="1320" w:right="1320"/>
        </w:sectPr>
      </w:pPr>
    </w:p>
    <w:p>
      <w:pPr>
        <w:pStyle w:val="BodyText"/>
        <w:spacing w:line="252" w:lineRule="exact" w:before="74"/>
        <w:ind w:firstLine="0"/>
        <w:jc w:val="both"/>
      </w:pPr>
      <w:r>
        <w:rPr/>
        <w:t>për publikun, në kushte të barabarta.</w:t>
      </w:r>
    </w:p>
    <w:p>
      <w:pPr>
        <w:pStyle w:val="ListParagraph"/>
        <w:numPr>
          <w:ilvl w:val="0"/>
          <w:numId w:val="234"/>
        </w:numPr>
        <w:tabs>
          <w:tab w:pos="1071" w:val="left" w:leader="none"/>
        </w:tabs>
        <w:spacing w:line="240" w:lineRule="auto" w:before="0" w:after="0"/>
        <w:ind w:left="119" w:right="117" w:firstLine="720"/>
        <w:jc w:val="both"/>
        <w:rPr>
          <w:sz w:val="22"/>
        </w:rPr>
      </w:pPr>
      <w:r>
        <w:rPr>
          <w:sz w:val="22"/>
        </w:rPr>
        <w:t>AMA siguron që aksesi në ngjarjet e referuara në pikat 1 dhe 2 të këtij neni të jetë i garantuar duke lejuar OSHMA-në të zgjedhë lirisht pjesë të shkurtra nga sinjali i OSHMA-së së përcaktuar, duke identifikuar burimin e</w:t>
      </w:r>
      <w:r>
        <w:rPr>
          <w:spacing w:val="-3"/>
          <w:sz w:val="22"/>
        </w:rPr>
        <w:t> </w:t>
      </w:r>
      <w:r>
        <w:rPr>
          <w:sz w:val="22"/>
        </w:rPr>
        <w:t>tyre.</w:t>
      </w:r>
    </w:p>
    <w:p>
      <w:pPr>
        <w:pStyle w:val="ListParagraph"/>
        <w:numPr>
          <w:ilvl w:val="0"/>
          <w:numId w:val="234"/>
        </w:numPr>
        <w:tabs>
          <w:tab w:pos="1116" w:val="left" w:leader="none"/>
        </w:tabs>
        <w:spacing w:line="240" w:lineRule="auto" w:before="1" w:after="0"/>
        <w:ind w:left="119" w:right="113" w:firstLine="720"/>
        <w:jc w:val="both"/>
        <w:rPr>
          <w:sz w:val="22"/>
        </w:rPr>
      </w:pPr>
      <w:r>
        <w:rPr>
          <w:sz w:val="22"/>
        </w:rPr>
        <w:t>Pjesë të shkurtra përdoren vetëm për programet e lajmeve të përgjithshme dhe mund të përdoren në shërbimet mediatike audiovizive, sipas kërkesës, vetëm nëse i njëjti program ofrohet mbi një bazë më të vonë nga i njëjti</w:t>
      </w:r>
      <w:r>
        <w:rPr>
          <w:spacing w:val="-2"/>
          <w:sz w:val="22"/>
        </w:rPr>
        <w:t> </w:t>
      </w:r>
      <w:r>
        <w:rPr>
          <w:sz w:val="22"/>
        </w:rPr>
        <w:t>OSHMA.</w:t>
      </w:r>
    </w:p>
    <w:p>
      <w:pPr>
        <w:pStyle w:val="ListParagraph"/>
        <w:numPr>
          <w:ilvl w:val="0"/>
          <w:numId w:val="234"/>
        </w:numPr>
        <w:tabs>
          <w:tab w:pos="1066" w:val="left" w:leader="none"/>
        </w:tabs>
        <w:spacing w:line="240" w:lineRule="auto" w:before="0" w:after="0"/>
        <w:ind w:left="119" w:right="113" w:firstLine="720"/>
        <w:jc w:val="both"/>
        <w:rPr>
          <w:sz w:val="22"/>
        </w:rPr>
      </w:pPr>
      <w:r>
        <w:rPr>
          <w:sz w:val="22"/>
        </w:rPr>
        <w:t>OSHMA-ja që transmeton ngjarjen me interes të lartë për publikun ka të drejtën të kërkojë nga një OSHMA tjetër kompensimin e kostos aktuale për përmbushjen e këtij detyrimi. Kompensimi i parashikuar nuk duhet të tejkalojë kostot shtesë, të shkaktuara drejtpërdrejt nga lejimi i</w:t>
      </w:r>
      <w:r>
        <w:rPr>
          <w:spacing w:val="-16"/>
          <w:sz w:val="22"/>
        </w:rPr>
        <w:t> </w:t>
      </w:r>
      <w:r>
        <w:rPr>
          <w:sz w:val="22"/>
        </w:rPr>
        <w:t>aksesit.</w:t>
      </w:r>
    </w:p>
    <w:p>
      <w:pPr>
        <w:pStyle w:val="ListParagraph"/>
        <w:numPr>
          <w:ilvl w:val="0"/>
          <w:numId w:val="234"/>
        </w:numPr>
        <w:tabs>
          <w:tab w:pos="1112" w:val="left" w:leader="none"/>
        </w:tabs>
        <w:spacing w:line="240" w:lineRule="auto" w:before="0" w:after="0"/>
        <w:ind w:left="120" w:right="115" w:firstLine="720"/>
        <w:jc w:val="both"/>
        <w:rPr>
          <w:sz w:val="22"/>
        </w:rPr>
      </w:pPr>
      <w:r>
        <w:rPr>
          <w:sz w:val="22"/>
        </w:rPr>
        <w:t>AMA rregullon zbatimin e këtij neni, duke përfshirë përgatitjet e kompensimit, gjatësinë maksimale të pjesëve të shkurtra dhe kufizimet kohore për sa i përket ritransmetimit të</w:t>
      </w:r>
      <w:r>
        <w:rPr>
          <w:spacing w:val="-16"/>
          <w:sz w:val="22"/>
        </w:rPr>
        <w:t> </w:t>
      </w:r>
      <w:r>
        <w:rPr>
          <w:sz w:val="22"/>
        </w:rPr>
        <w:t>tyre.</w:t>
      </w:r>
    </w:p>
    <w:p>
      <w:pPr>
        <w:pStyle w:val="BodyText"/>
        <w:spacing w:before="9"/>
        <w:ind w:left="0" w:firstLine="0"/>
        <w:rPr>
          <w:sz w:val="21"/>
        </w:rPr>
      </w:pPr>
    </w:p>
    <w:p>
      <w:pPr>
        <w:pStyle w:val="BodyText"/>
        <w:ind w:left="146" w:right="146" w:firstLine="0"/>
        <w:jc w:val="center"/>
      </w:pPr>
      <w:r>
        <w:rPr/>
        <w:t>Neni 131</w:t>
      </w:r>
    </w:p>
    <w:p>
      <w:pPr>
        <w:pStyle w:val="Heading1"/>
        <w:spacing w:before="6"/>
      </w:pPr>
      <w:r>
        <w:rPr/>
        <w:t>Ankimi për ngjarjet me rëndësi të madhe</w:t>
      </w:r>
    </w:p>
    <w:p>
      <w:pPr>
        <w:pStyle w:val="BodyText"/>
        <w:spacing w:before="7"/>
        <w:ind w:left="0" w:firstLine="0"/>
        <w:rPr>
          <w:b/>
          <w:sz w:val="21"/>
        </w:rPr>
      </w:pPr>
    </w:p>
    <w:p>
      <w:pPr>
        <w:pStyle w:val="BodyText"/>
        <w:ind w:right="117"/>
        <w:jc w:val="both"/>
      </w:pPr>
      <w:r>
        <w:rPr/>
        <w:t>Nëse një OSHMA pretendon se ka ndodhur ose mund të ndodhë mosrespektimi prej një ose disa OSHMA-ve i nenit 129 të këtij ligji, mund bëjë ankim në gjykatë kundër këtyre OSHMA-ve, duke kërkuar:</w:t>
      </w:r>
    </w:p>
    <w:p>
      <w:pPr>
        <w:pStyle w:val="ListParagraph"/>
        <w:numPr>
          <w:ilvl w:val="0"/>
          <w:numId w:val="235"/>
        </w:numPr>
        <w:tabs>
          <w:tab w:pos="1069" w:val="left" w:leader="none"/>
        </w:tabs>
        <w:spacing w:line="252" w:lineRule="exact" w:before="0" w:after="0"/>
        <w:ind w:left="1068" w:right="0" w:hanging="229"/>
        <w:jc w:val="both"/>
        <w:rPr>
          <w:sz w:val="22"/>
        </w:rPr>
      </w:pPr>
      <w:r>
        <w:rPr>
          <w:sz w:val="22"/>
        </w:rPr>
        <w:t>anulimin e kontratës së të drejtës ekskluzive të</w:t>
      </w:r>
      <w:r>
        <w:rPr>
          <w:spacing w:val="-8"/>
          <w:sz w:val="22"/>
        </w:rPr>
        <w:t> </w:t>
      </w:r>
      <w:r>
        <w:rPr>
          <w:sz w:val="22"/>
        </w:rPr>
        <w:t>transmetimit;</w:t>
      </w:r>
    </w:p>
    <w:p>
      <w:pPr>
        <w:pStyle w:val="ListParagraph"/>
        <w:numPr>
          <w:ilvl w:val="0"/>
          <w:numId w:val="235"/>
        </w:numPr>
        <w:tabs>
          <w:tab w:pos="1081" w:val="left" w:leader="none"/>
        </w:tabs>
        <w:spacing w:line="252" w:lineRule="exact" w:before="0" w:after="0"/>
        <w:ind w:left="1080" w:right="0" w:hanging="241"/>
        <w:jc w:val="both"/>
        <w:rPr>
          <w:sz w:val="22"/>
        </w:rPr>
      </w:pPr>
      <w:r>
        <w:rPr>
          <w:sz w:val="22"/>
        </w:rPr>
        <w:t>përcaktimin e dëmeve civile, të shkaktuara nga ofruesit e</w:t>
      </w:r>
      <w:r>
        <w:rPr>
          <w:spacing w:val="-4"/>
          <w:sz w:val="22"/>
        </w:rPr>
        <w:t> </w:t>
      </w:r>
      <w:r>
        <w:rPr>
          <w:sz w:val="22"/>
        </w:rPr>
        <w:t>tjerë;</w:t>
      </w:r>
    </w:p>
    <w:p>
      <w:pPr>
        <w:pStyle w:val="BodyText"/>
        <w:ind w:left="0" w:firstLine="0"/>
      </w:pPr>
    </w:p>
    <w:p>
      <w:pPr>
        <w:pStyle w:val="ListParagraph"/>
        <w:numPr>
          <w:ilvl w:val="0"/>
          <w:numId w:val="235"/>
        </w:numPr>
        <w:tabs>
          <w:tab w:pos="1153" w:val="left" w:leader="none"/>
        </w:tabs>
        <w:spacing w:line="240" w:lineRule="auto" w:before="1" w:after="0"/>
        <w:ind w:left="120" w:right="115" w:firstLine="720"/>
        <w:jc w:val="both"/>
        <w:rPr>
          <w:sz w:val="22"/>
        </w:rPr>
      </w:pPr>
      <w:r>
        <w:rPr>
          <w:sz w:val="22"/>
        </w:rPr>
        <w:t>njohjen e së drejtës për ofrimin e mbulimit të ngjarjes subjektit të interesuar, sipas përcaktimeve të këtij ligji.</w:t>
      </w:r>
    </w:p>
    <w:p>
      <w:pPr>
        <w:pStyle w:val="BodyText"/>
        <w:spacing w:before="10"/>
        <w:ind w:left="0" w:firstLine="0"/>
        <w:rPr>
          <w:sz w:val="21"/>
        </w:rPr>
      </w:pPr>
    </w:p>
    <w:p>
      <w:pPr>
        <w:pStyle w:val="BodyText"/>
        <w:spacing w:before="1"/>
        <w:ind w:left="146" w:right="147" w:firstLine="0"/>
        <w:jc w:val="center"/>
      </w:pPr>
      <w:r>
        <w:rPr/>
        <w:t>KREU XIV</w:t>
      </w:r>
    </w:p>
    <w:p>
      <w:pPr>
        <w:pStyle w:val="BodyText"/>
        <w:spacing w:before="1"/>
        <w:ind w:left="146" w:right="147" w:firstLine="0"/>
        <w:jc w:val="center"/>
      </w:pPr>
      <w:r>
        <w:rPr/>
        <w:t>KUNDËRVAJTJET ADMINISTRATIVE DHE SANKSIONET</w:t>
      </w:r>
    </w:p>
    <w:p>
      <w:pPr>
        <w:pStyle w:val="BodyText"/>
        <w:spacing w:before="9"/>
        <w:ind w:left="0" w:firstLine="0"/>
        <w:rPr>
          <w:sz w:val="21"/>
        </w:rPr>
      </w:pPr>
    </w:p>
    <w:p>
      <w:pPr>
        <w:pStyle w:val="BodyText"/>
        <w:ind w:left="146" w:right="146" w:firstLine="0"/>
        <w:jc w:val="center"/>
      </w:pPr>
      <w:r>
        <w:rPr/>
        <w:t>Neni 132</w:t>
      </w:r>
    </w:p>
    <w:p>
      <w:pPr>
        <w:pStyle w:val="Heading1"/>
        <w:spacing w:before="7"/>
        <w:ind w:right="144"/>
      </w:pPr>
      <w:r>
        <w:rPr/>
        <w:t>Masat për shkeljet</w:t>
      </w:r>
    </w:p>
    <w:p>
      <w:pPr>
        <w:pStyle w:val="BodyText"/>
        <w:spacing w:before="6"/>
        <w:ind w:left="0" w:firstLine="0"/>
        <w:rPr>
          <w:b/>
          <w:sz w:val="21"/>
        </w:rPr>
      </w:pPr>
    </w:p>
    <w:p>
      <w:pPr>
        <w:pStyle w:val="ListParagraph"/>
        <w:numPr>
          <w:ilvl w:val="0"/>
          <w:numId w:val="236"/>
        </w:numPr>
        <w:tabs>
          <w:tab w:pos="1062" w:val="left" w:leader="none"/>
        </w:tabs>
        <w:spacing w:line="252" w:lineRule="exact" w:before="1" w:after="0"/>
        <w:ind w:left="1061" w:right="0" w:hanging="222"/>
        <w:jc w:val="left"/>
        <w:rPr>
          <w:sz w:val="22"/>
        </w:rPr>
      </w:pPr>
      <w:r>
        <w:rPr>
          <w:sz w:val="22"/>
        </w:rPr>
        <w:t>Në rastet e shkeljes së dispozitave të këtij ligji, </w:t>
      </w:r>
      <w:r>
        <w:rPr>
          <w:spacing w:val="-2"/>
          <w:sz w:val="22"/>
        </w:rPr>
        <w:t>AMA</w:t>
      </w:r>
      <w:r>
        <w:rPr>
          <w:spacing w:val="-5"/>
          <w:sz w:val="22"/>
        </w:rPr>
        <w:t> </w:t>
      </w:r>
      <w:r>
        <w:rPr>
          <w:sz w:val="22"/>
        </w:rPr>
        <w:t>vendos:</w:t>
      </w:r>
    </w:p>
    <w:p>
      <w:pPr>
        <w:pStyle w:val="ListParagraph"/>
        <w:numPr>
          <w:ilvl w:val="0"/>
          <w:numId w:val="237"/>
        </w:numPr>
        <w:tabs>
          <w:tab w:pos="1069" w:val="left" w:leader="none"/>
        </w:tabs>
        <w:spacing w:line="252" w:lineRule="exact" w:before="0" w:after="0"/>
        <w:ind w:left="1068" w:right="0" w:hanging="229"/>
        <w:jc w:val="left"/>
        <w:rPr>
          <w:sz w:val="22"/>
        </w:rPr>
      </w:pPr>
      <w:r>
        <w:rPr>
          <w:sz w:val="22"/>
        </w:rPr>
        <w:t>gjobë;</w:t>
      </w:r>
    </w:p>
    <w:p>
      <w:pPr>
        <w:pStyle w:val="ListParagraph"/>
        <w:numPr>
          <w:ilvl w:val="0"/>
          <w:numId w:val="237"/>
        </w:numPr>
        <w:tabs>
          <w:tab w:pos="1081" w:val="left" w:leader="none"/>
        </w:tabs>
        <w:spacing w:line="252" w:lineRule="exact" w:before="0" w:after="0"/>
        <w:ind w:left="1080" w:right="0" w:hanging="241"/>
        <w:jc w:val="left"/>
        <w:rPr>
          <w:sz w:val="22"/>
        </w:rPr>
      </w:pPr>
      <w:r>
        <w:rPr>
          <w:sz w:val="22"/>
        </w:rPr>
        <w:t>pezullim të përkohshëm të licencës dhe/ose</w:t>
      </w:r>
      <w:r>
        <w:rPr>
          <w:spacing w:val="-9"/>
          <w:sz w:val="22"/>
        </w:rPr>
        <w:t> </w:t>
      </w:r>
      <w:r>
        <w:rPr>
          <w:sz w:val="22"/>
        </w:rPr>
        <w:t>autorizimit;</w:t>
      </w:r>
    </w:p>
    <w:p>
      <w:pPr>
        <w:pStyle w:val="ListParagraph"/>
        <w:numPr>
          <w:ilvl w:val="0"/>
          <w:numId w:val="237"/>
        </w:numPr>
        <w:tabs>
          <w:tab w:pos="1069" w:val="left" w:leader="none"/>
        </w:tabs>
        <w:spacing w:line="240" w:lineRule="auto" w:before="1" w:after="0"/>
        <w:ind w:left="840" w:right="4142" w:firstLine="0"/>
        <w:jc w:val="left"/>
        <w:rPr>
          <w:sz w:val="22"/>
        </w:rPr>
      </w:pPr>
      <w:r>
        <w:rPr>
          <w:sz w:val="22"/>
        </w:rPr>
        <w:t>reduktim të kohës së licencës dhe/ose autorizimit; ç) heqje të licencës dhe/ose</w:t>
      </w:r>
      <w:r>
        <w:rPr>
          <w:spacing w:val="-6"/>
          <w:sz w:val="22"/>
        </w:rPr>
        <w:t> </w:t>
      </w:r>
      <w:r>
        <w:rPr>
          <w:sz w:val="22"/>
        </w:rPr>
        <w:t>autorizimit.</w:t>
      </w:r>
    </w:p>
    <w:p>
      <w:pPr>
        <w:pStyle w:val="BodyText"/>
        <w:spacing w:line="252" w:lineRule="exact"/>
        <w:ind w:left="840" w:firstLine="0"/>
      </w:pPr>
      <w:r>
        <w:rPr/>
        <w:t>AMA në vendimin e saj merr në konsideratë masën dhe kohëzgjatjen e shkeljes së kryer.</w:t>
      </w:r>
    </w:p>
    <w:p>
      <w:pPr>
        <w:pStyle w:val="ListParagraph"/>
        <w:numPr>
          <w:ilvl w:val="0"/>
          <w:numId w:val="236"/>
        </w:numPr>
        <w:tabs>
          <w:tab w:pos="1088" w:val="left" w:leader="none"/>
        </w:tabs>
        <w:spacing w:line="240" w:lineRule="auto" w:before="0" w:after="0"/>
        <w:ind w:left="119" w:right="114" w:firstLine="720"/>
        <w:jc w:val="left"/>
        <w:rPr>
          <w:sz w:val="22"/>
        </w:rPr>
      </w:pPr>
      <w:r>
        <w:rPr>
          <w:sz w:val="22"/>
        </w:rPr>
        <w:t>AMA vendos sanksionet e parashikuara në ligj jo më vonë se një vit nga data e kryerjes së shkeljes.</w:t>
      </w:r>
    </w:p>
    <w:p>
      <w:pPr>
        <w:pStyle w:val="ListParagraph"/>
        <w:numPr>
          <w:ilvl w:val="0"/>
          <w:numId w:val="236"/>
        </w:numPr>
        <w:tabs>
          <w:tab w:pos="1064" w:val="left" w:leader="none"/>
        </w:tabs>
        <w:spacing w:line="240" w:lineRule="auto" w:before="0" w:after="0"/>
        <w:ind w:left="119" w:right="115" w:firstLine="720"/>
        <w:jc w:val="left"/>
        <w:rPr>
          <w:sz w:val="22"/>
        </w:rPr>
      </w:pPr>
      <w:r>
        <w:rPr>
          <w:sz w:val="22"/>
        </w:rPr>
        <w:t>Kur AMA vëren shkelje të dispozitave ligjore, për të cilat me ligj vendosin sanksione organet e tjera shtetërore, atëherë ajo njofton këto të</w:t>
      </w:r>
      <w:r>
        <w:rPr>
          <w:spacing w:val="-15"/>
          <w:sz w:val="22"/>
        </w:rPr>
        <w:t> </w:t>
      </w:r>
      <w:r>
        <w:rPr>
          <w:sz w:val="22"/>
        </w:rPr>
        <w:t>fundit.</w:t>
      </w:r>
    </w:p>
    <w:p>
      <w:pPr>
        <w:pStyle w:val="ListParagraph"/>
        <w:numPr>
          <w:ilvl w:val="0"/>
          <w:numId w:val="236"/>
        </w:numPr>
        <w:tabs>
          <w:tab w:pos="1076" w:val="left" w:leader="none"/>
        </w:tabs>
        <w:spacing w:line="240" w:lineRule="auto" w:before="1" w:after="0"/>
        <w:ind w:left="119" w:right="115" w:firstLine="720"/>
        <w:jc w:val="left"/>
        <w:rPr>
          <w:sz w:val="22"/>
        </w:rPr>
      </w:pPr>
      <w:r>
        <w:rPr>
          <w:sz w:val="22"/>
        </w:rPr>
        <w:t>Subjekti i ndëshkuar mund të bëjë ankim pranë AMA-s brenda 30 ditëve nga data e shpalljes ose e njoftimit. AMA shqyrton ankesën dhe shpall vendimin brenda 30</w:t>
      </w:r>
      <w:r>
        <w:rPr>
          <w:spacing w:val="-5"/>
          <w:sz w:val="22"/>
        </w:rPr>
        <w:t> </w:t>
      </w:r>
      <w:r>
        <w:rPr>
          <w:sz w:val="22"/>
        </w:rPr>
        <w:t>ditëve.</w:t>
      </w:r>
    </w:p>
    <w:p>
      <w:pPr>
        <w:pStyle w:val="BodyText"/>
        <w:ind w:left="119" w:right="117"/>
      </w:pPr>
      <w:r>
        <w:rPr/>
        <w:t>Kundër vendimit të AMA-s mund të bëhet ankim në gjykatën e rrethit gjyqësor ku ka selinë organi administrativ.</w:t>
      </w:r>
    </w:p>
    <w:p>
      <w:pPr>
        <w:pStyle w:val="ListParagraph"/>
        <w:numPr>
          <w:ilvl w:val="0"/>
          <w:numId w:val="236"/>
        </w:numPr>
        <w:tabs>
          <w:tab w:pos="1100" w:val="left" w:leader="none"/>
        </w:tabs>
        <w:spacing w:line="242" w:lineRule="auto" w:before="0" w:after="0"/>
        <w:ind w:left="119" w:right="114" w:firstLine="720"/>
        <w:jc w:val="left"/>
        <w:rPr>
          <w:sz w:val="22"/>
        </w:rPr>
      </w:pPr>
      <w:r>
        <w:rPr>
          <w:sz w:val="22"/>
        </w:rPr>
        <w:t>Vendimet e AMA-s, ekzekutohen nga shërbimi përmbarimor, sipas dispozitave të Kodit të Procedurës Civile. AMA nuk ka detyrim të parapaguajë taksën apo tarifën për shërbimin</w:t>
      </w:r>
      <w:r>
        <w:rPr>
          <w:spacing w:val="-25"/>
          <w:sz w:val="22"/>
        </w:rPr>
        <w:t> </w:t>
      </w:r>
      <w:r>
        <w:rPr>
          <w:sz w:val="22"/>
        </w:rPr>
        <w:t>përmbarimor.</w:t>
      </w:r>
    </w:p>
    <w:p>
      <w:pPr>
        <w:pStyle w:val="BodyText"/>
        <w:spacing w:before="6"/>
        <w:ind w:left="0" w:firstLine="0"/>
        <w:rPr>
          <w:sz w:val="21"/>
        </w:rPr>
      </w:pPr>
    </w:p>
    <w:p>
      <w:pPr>
        <w:pStyle w:val="BodyText"/>
        <w:ind w:left="146" w:right="146" w:firstLine="0"/>
        <w:jc w:val="center"/>
      </w:pPr>
      <w:r>
        <w:rPr/>
        <w:t>Neni 133</w:t>
      </w:r>
    </w:p>
    <w:p>
      <w:pPr>
        <w:pStyle w:val="Heading1"/>
      </w:pPr>
      <w:r>
        <w:rPr/>
        <w:t>Gjobat</w:t>
      </w:r>
    </w:p>
    <w:p>
      <w:pPr>
        <w:spacing w:after="0"/>
        <w:sectPr>
          <w:pgSz w:w="12240" w:h="15840"/>
          <w:pgMar w:top="1360" w:bottom="280" w:left="1320" w:right="1320"/>
        </w:sectPr>
      </w:pPr>
    </w:p>
    <w:p>
      <w:pPr>
        <w:pStyle w:val="BodyText"/>
        <w:spacing w:before="74"/>
      </w:pPr>
      <w:r>
        <w:rPr/>
        <w:t>Shkeljet e mëposhtme, të kryera nga i licencuari ose i autorizuari, kur nuk përbëjnë vepër penale, janë kundërvajtje administrative dhe dënohen si më poshtë:</w:t>
      </w:r>
    </w:p>
    <w:p>
      <w:pPr>
        <w:pStyle w:val="ListParagraph"/>
        <w:numPr>
          <w:ilvl w:val="0"/>
          <w:numId w:val="238"/>
        </w:numPr>
        <w:tabs>
          <w:tab w:pos="1061" w:val="left" w:leader="none"/>
        </w:tabs>
        <w:spacing w:line="252" w:lineRule="exact" w:before="0" w:after="0"/>
        <w:ind w:left="1060" w:right="0" w:hanging="221"/>
        <w:jc w:val="left"/>
        <w:rPr>
          <w:sz w:val="22"/>
        </w:rPr>
      </w:pPr>
      <w:r>
        <w:rPr>
          <w:sz w:val="22"/>
        </w:rPr>
        <w:t>Me gjobë nga 40 000 deri në 400 000 lekë për rastet</w:t>
      </w:r>
      <w:r>
        <w:rPr>
          <w:spacing w:val="-5"/>
          <w:sz w:val="22"/>
        </w:rPr>
        <w:t> </w:t>
      </w:r>
      <w:r>
        <w:rPr>
          <w:sz w:val="22"/>
        </w:rPr>
        <w:t>kur:</w:t>
      </w:r>
    </w:p>
    <w:p>
      <w:pPr>
        <w:pStyle w:val="ListParagraph"/>
        <w:numPr>
          <w:ilvl w:val="0"/>
          <w:numId w:val="239"/>
        </w:numPr>
        <w:tabs>
          <w:tab w:pos="1069" w:val="left" w:leader="none"/>
        </w:tabs>
        <w:spacing w:line="252" w:lineRule="exact" w:before="0" w:after="0"/>
        <w:ind w:left="1068" w:right="0" w:hanging="229"/>
        <w:jc w:val="left"/>
        <w:rPr>
          <w:sz w:val="22"/>
        </w:rPr>
      </w:pPr>
      <w:r>
        <w:rPr>
          <w:sz w:val="22"/>
        </w:rPr>
        <w:t>nuk respekton detyrimet që rrjedhin nga neni 33 i këtij</w:t>
      </w:r>
      <w:r>
        <w:rPr>
          <w:spacing w:val="-10"/>
          <w:sz w:val="22"/>
        </w:rPr>
        <w:t> </w:t>
      </w:r>
      <w:r>
        <w:rPr>
          <w:sz w:val="22"/>
        </w:rPr>
        <w:t>ligji;</w:t>
      </w:r>
    </w:p>
    <w:p>
      <w:pPr>
        <w:pStyle w:val="ListParagraph"/>
        <w:numPr>
          <w:ilvl w:val="0"/>
          <w:numId w:val="239"/>
        </w:numPr>
        <w:tabs>
          <w:tab w:pos="1092" w:val="left" w:leader="none"/>
        </w:tabs>
        <w:spacing w:line="240" w:lineRule="auto" w:before="1" w:after="0"/>
        <w:ind w:left="119" w:right="114" w:firstLine="720"/>
        <w:jc w:val="left"/>
        <w:rPr>
          <w:sz w:val="22"/>
        </w:rPr>
      </w:pPr>
      <w:r>
        <w:rPr>
          <w:sz w:val="22"/>
        </w:rPr>
        <w:t>nuk zbaton afatin e ruajtjes së regjistrimit të transmetimeve, sipas përcaktimeve të nenit 37 të këtij ligji.</w:t>
      </w:r>
    </w:p>
    <w:p>
      <w:pPr>
        <w:pStyle w:val="ListParagraph"/>
        <w:numPr>
          <w:ilvl w:val="0"/>
          <w:numId w:val="238"/>
        </w:numPr>
        <w:tabs>
          <w:tab w:pos="1061" w:val="left" w:leader="none"/>
        </w:tabs>
        <w:spacing w:line="251" w:lineRule="exact" w:before="0" w:after="0"/>
        <w:ind w:left="1060" w:right="0" w:hanging="221"/>
        <w:jc w:val="left"/>
        <w:rPr>
          <w:sz w:val="22"/>
        </w:rPr>
      </w:pPr>
      <w:r>
        <w:rPr>
          <w:sz w:val="22"/>
        </w:rPr>
        <w:t>Me gjobë nga 120 000 deri në 2 000 000 lekë për rastet</w:t>
      </w:r>
      <w:r>
        <w:rPr>
          <w:spacing w:val="-8"/>
          <w:sz w:val="22"/>
        </w:rPr>
        <w:t> </w:t>
      </w:r>
      <w:r>
        <w:rPr>
          <w:sz w:val="22"/>
        </w:rPr>
        <w:t>kur:</w:t>
      </w:r>
    </w:p>
    <w:p>
      <w:pPr>
        <w:pStyle w:val="ListParagraph"/>
        <w:numPr>
          <w:ilvl w:val="0"/>
          <w:numId w:val="240"/>
        </w:numPr>
        <w:tabs>
          <w:tab w:pos="1069" w:val="left" w:leader="none"/>
        </w:tabs>
        <w:spacing w:line="252" w:lineRule="exact" w:before="2" w:after="0"/>
        <w:ind w:left="1068" w:right="0" w:hanging="229"/>
        <w:jc w:val="left"/>
        <w:rPr>
          <w:sz w:val="22"/>
        </w:rPr>
      </w:pPr>
      <w:r>
        <w:rPr>
          <w:sz w:val="22"/>
        </w:rPr>
        <w:t>nuk respekton kohën e përcaktuar për transmetim, sipas kushteve të</w:t>
      </w:r>
      <w:r>
        <w:rPr>
          <w:spacing w:val="-12"/>
          <w:sz w:val="22"/>
        </w:rPr>
        <w:t> </w:t>
      </w:r>
      <w:r>
        <w:rPr>
          <w:sz w:val="22"/>
        </w:rPr>
        <w:t>licencës;</w:t>
      </w:r>
    </w:p>
    <w:p>
      <w:pPr>
        <w:pStyle w:val="ListParagraph"/>
        <w:numPr>
          <w:ilvl w:val="0"/>
          <w:numId w:val="240"/>
        </w:numPr>
        <w:tabs>
          <w:tab w:pos="1100" w:val="left" w:leader="none"/>
        </w:tabs>
        <w:spacing w:line="240" w:lineRule="auto" w:before="0" w:after="0"/>
        <w:ind w:left="120" w:right="116" w:firstLine="720"/>
        <w:jc w:val="left"/>
        <w:rPr>
          <w:sz w:val="22"/>
        </w:rPr>
      </w:pPr>
      <w:r>
        <w:rPr>
          <w:sz w:val="22"/>
        </w:rPr>
        <w:t>nuk respekton detyrimet e neneve 42, 43, 44 dhe 62 pika 12 të këtij ligji për transmetimin e reklamave;</w:t>
      </w:r>
    </w:p>
    <w:p>
      <w:pPr>
        <w:pStyle w:val="ListParagraph"/>
        <w:numPr>
          <w:ilvl w:val="0"/>
          <w:numId w:val="240"/>
        </w:numPr>
        <w:tabs>
          <w:tab w:pos="1069" w:val="left" w:leader="none"/>
        </w:tabs>
        <w:spacing w:line="252" w:lineRule="exact" w:before="0" w:after="0"/>
        <w:ind w:left="1068" w:right="0" w:hanging="229"/>
        <w:jc w:val="left"/>
        <w:rPr>
          <w:sz w:val="22"/>
        </w:rPr>
      </w:pPr>
      <w:r>
        <w:rPr>
          <w:sz w:val="22"/>
        </w:rPr>
        <w:t>nuk respekton detyrimet e nenit 45 të këtij ligji për</w:t>
      </w:r>
      <w:r>
        <w:rPr>
          <w:spacing w:val="-8"/>
          <w:sz w:val="22"/>
        </w:rPr>
        <w:t> </w:t>
      </w:r>
      <w:r>
        <w:rPr>
          <w:sz w:val="22"/>
        </w:rPr>
        <w:t>sponsorizimet;</w:t>
      </w:r>
    </w:p>
    <w:p>
      <w:pPr>
        <w:pStyle w:val="BodyText"/>
        <w:ind w:right="171"/>
      </w:pPr>
      <w:r>
        <w:rPr/>
        <w:t>ç) nuk respekton kushtet e licencës dhe/ose autorizimit për sa i përket programeve të prodhuara  në vend dhe veprave</w:t>
      </w:r>
      <w:r>
        <w:rPr>
          <w:spacing w:val="-1"/>
        </w:rPr>
        <w:t> </w:t>
      </w:r>
      <w:r>
        <w:rPr/>
        <w:t>europiane;</w:t>
      </w:r>
    </w:p>
    <w:p>
      <w:pPr>
        <w:pStyle w:val="ListParagraph"/>
        <w:numPr>
          <w:ilvl w:val="0"/>
          <w:numId w:val="240"/>
        </w:numPr>
        <w:tabs>
          <w:tab w:pos="1091" w:val="left" w:leader="none"/>
        </w:tabs>
        <w:spacing w:line="240" w:lineRule="auto" w:before="0" w:after="0"/>
        <w:ind w:left="120" w:right="115" w:firstLine="720"/>
        <w:jc w:val="left"/>
        <w:rPr>
          <w:sz w:val="22"/>
        </w:rPr>
      </w:pPr>
      <w:r>
        <w:rPr>
          <w:sz w:val="22"/>
        </w:rPr>
        <w:t>nuk njofton për ndryshimet që kanë ndodhur në të dhënat e paraqitura në kërkesën për licencë dhe/ose autorizim, brenda afatit prej 30 ditësh nga data e kryerjes së</w:t>
      </w:r>
      <w:r>
        <w:rPr>
          <w:spacing w:val="-17"/>
          <w:sz w:val="22"/>
        </w:rPr>
        <w:t> </w:t>
      </w:r>
      <w:r>
        <w:rPr>
          <w:sz w:val="22"/>
        </w:rPr>
        <w:t>ndryshimeve;</w:t>
      </w:r>
    </w:p>
    <w:p>
      <w:pPr>
        <w:pStyle w:val="BodyText"/>
        <w:ind w:right="117"/>
      </w:pPr>
      <w:r>
        <w:rPr/>
        <w:t>dh) ndalon hyrjen e inspektorëve në mjediset ku janë vendosur pajisjet audiovizive të të licencuarit dhe/ose të të autorizuarit ose nuk jepen të dhënat e kërkuara prej</w:t>
      </w:r>
      <w:r>
        <w:rPr>
          <w:spacing w:val="-23"/>
        </w:rPr>
        <w:t> </w:t>
      </w:r>
      <w:r>
        <w:rPr/>
        <w:t>tyre;</w:t>
      </w:r>
    </w:p>
    <w:p>
      <w:pPr>
        <w:pStyle w:val="ListParagraph"/>
        <w:numPr>
          <w:ilvl w:val="0"/>
          <w:numId w:val="240"/>
        </w:numPr>
        <w:tabs>
          <w:tab w:pos="1088" w:val="left" w:leader="none"/>
        </w:tabs>
        <w:spacing w:line="240" w:lineRule="auto" w:before="0" w:after="0"/>
        <w:ind w:left="120" w:right="113" w:firstLine="720"/>
        <w:jc w:val="left"/>
        <w:rPr>
          <w:sz w:val="22"/>
        </w:rPr>
      </w:pPr>
      <w:r>
        <w:rPr>
          <w:sz w:val="22"/>
        </w:rPr>
        <w:t>shkakton interferenca ndaj një subjekti tjetër, si rezultat i mosrespektimit të kushteve teknike në</w:t>
      </w:r>
      <w:r>
        <w:rPr>
          <w:spacing w:val="-1"/>
          <w:sz w:val="22"/>
        </w:rPr>
        <w:t> </w:t>
      </w:r>
      <w:r>
        <w:rPr>
          <w:sz w:val="22"/>
        </w:rPr>
        <w:t>transmetim.</w:t>
      </w:r>
    </w:p>
    <w:p>
      <w:pPr>
        <w:pStyle w:val="ListParagraph"/>
        <w:numPr>
          <w:ilvl w:val="0"/>
          <w:numId w:val="238"/>
        </w:numPr>
        <w:tabs>
          <w:tab w:pos="1062" w:val="left" w:leader="none"/>
        </w:tabs>
        <w:spacing w:line="252" w:lineRule="exact" w:before="0" w:after="0"/>
        <w:ind w:left="1061" w:right="0" w:hanging="222"/>
        <w:jc w:val="left"/>
        <w:rPr>
          <w:sz w:val="22"/>
        </w:rPr>
      </w:pPr>
      <w:r>
        <w:rPr>
          <w:sz w:val="22"/>
        </w:rPr>
        <w:t>Me gjobë nga 1 000 000 deri në 3 000 000 lekë për rastet</w:t>
      </w:r>
      <w:r>
        <w:rPr>
          <w:spacing w:val="-10"/>
          <w:sz w:val="22"/>
        </w:rPr>
        <w:t> </w:t>
      </w:r>
      <w:r>
        <w:rPr>
          <w:sz w:val="22"/>
        </w:rPr>
        <w:t>kur:</w:t>
      </w:r>
    </w:p>
    <w:p>
      <w:pPr>
        <w:pStyle w:val="ListParagraph"/>
        <w:numPr>
          <w:ilvl w:val="0"/>
          <w:numId w:val="241"/>
        </w:numPr>
        <w:tabs>
          <w:tab w:pos="1069" w:val="left" w:leader="none"/>
        </w:tabs>
        <w:spacing w:line="252" w:lineRule="exact" w:before="0" w:after="0"/>
        <w:ind w:left="1068" w:right="0" w:hanging="229"/>
        <w:jc w:val="left"/>
        <w:rPr>
          <w:sz w:val="22"/>
        </w:rPr>
      </w:pPr>
      <w:r>
        <w:rPr>
          <w:sz w:val="22"/>
        </w:rPr>
        <w:t>kryen transmetime në një frekuencë tjetër të</w:t>
      </w:r>
      <w:r>
        <w:rPr>
          <w:spacing w:val="-5"/>
          <w:sz w:val="22"/>
        </w:rPr>
        <w:t> </w:t>
      </w:r>
      <w:r>
        <w:rPr>
          <w:sz w:val="22"/>
        </w:rPr>
        <w:t>paautorizuar;</w:t>
      </w:r>
    </w:p>
    <w:p>
      <w:pPr>
        <w:pStyle w:val="ListParagraph"/>
        <w:numPr>
          <w:ilvl w:val="0"/>
          <w:numId w:val="241"/>
        </w:numPr>
        <w:tabs>
          <w:tab w:pos="1081" w:val="left" w:leader="none"/>
        </w:tabs>
        <w:spacing w:line="252" w:lineRule="exact" w:before="2" w:after="0"/>
        <w:ind w:left="1080" w:right="0" w:hanging="241"/>
        <w:jc w:val="left"/>
        <w:rPr>
          <w:sz w:val="22"/>
        </w:rPr>
      </w:pPr>
      <w:r>
        <w:rPr>
          <w:sz w:val="22"/>
        </w:rPr>
        <w:t>kryen transmetime me fuqi rrezatuese më të madhe se ato të</w:t>
      </w:r>
      <w:r>
        <w:rPr>
          <w:spacing w:val="-8"/>
          <w:sz w:val="22"/>
        </w:rPr>
        <w:t> </w:t>
      </w:r>
      <w:r>
        <w:rPr>
          <w:sz w:val="22"/>
        </w:rPr>
        <w:t>autorizuara;</w:t>
      </w:r>
    </w:p>
    <w:p>
      <w:pPr>
        <w:pStyle w:val="ListParagraph"/>
        <w:numPr>
          <w:ilvl w:val="0"/>
          <w:numId w:val="241"/>
        </w:numPr>
        <w:tabs>
          <w:tab w:pos="1069" w:val="left" w:leader="none"/>
        </w:tabs>
        <w:spacing w:line="252" w:lineRule="exact" w:before="0" w:after="0"/>
        <w:ind w:left="1068" w:right="0" w:hanging="229"/>
        <w:jc w:val="left"/>
        <w:rPr>
          <w:sz w:val="22"/>
        </w:rPr>
      </w:pPr>
      <w:r>
        <w:rPr>
          <w:sz w:val="22"/>
        </w:rPr>
        <w:t>transmeton nga vende të ndryshme nga ato të përcaktuara në</w:t>
      </w:r>
      <w:r>
        <w:rPr>
          <w:spacing w:val="-7"/>
          <w:sz w:val="22"/>
        </w:rPr>
        <w:t> </w:t>
      </w:r>
      <w:r>
        <w:rPr>
          <w:sz w:val="22"/>
        </w:rPr>
        <w:t>licencë;</w:t>
      </w:r>
    </w:p>
    <w:p>
      <w:pPr>
        <w:pStyle w:val="BodyText"/>
      </w:pPr>
      <w:r>
        <w:rPr/>
        <w:t>ç) transmeton shërbime audio dhe/ose audiovizive, sipas kërkesës, pa autorizimin e AMA-s, sipas përcaktimeve të nenit 75 të këtij ligji;</w:t>
      </w:r>
    </w:p>
    <w:p>
      <w:pPr>
        <w:pStyle w:val="ListParagraph"/>
        <w:numPr>
          <w:ilvl w:val="0"/>
          <w:numId w:val="241"/>
        </w:numPr>
        <w:tabs>
          <w:tab w:pos="1156" w:val="left" w:leader="none"/>
        </w:tabs>
        <w:spacing w:line="240" w:lineRule="auto" w:before="0" w:after="0"/>
        <w:ind w:left="120" w:right="116" w:firstLine="720"/>
        <w:jc w:val="both"/>
        <w:rPr>
          <w:sz w:val="22"/>
        </w:rPr>
      </w:pPr>
      <w:r>
        <w:rPr>
          <w:sz w:val="22"/>
        </w:rPr>
        <w:t>kryen aktivitet në ofrimin e shërbimeve audio dhe/ose audiovizive, sipas kërkesës, në kundërshtim me kërkesat e nenit 76 të këtij</w:t>
      </w:r>
      <w:r>
        <w:rPr>
          <w:spacing w:val="-5"/>
          <w:sz w:val="22"/>
        </w:rPr>
        <w:t> </w:t>
      </w:r>
      <w:r>
        <w:rPr>
          <w:sz w:val="22"/>
        </w:rPr>
        <w:t>ligji.</w:t>
      </w:r>
    </w:p>
    <w:p>
      <w:pPr>
        <w:pStyle w:val="ListParagraph"/>
        <w:numPr>
          <w:ilvl w:val="0"/>
          <w:numId w:val="238"/>
        </w:numPr>
        <w:tabs>
          <w:tab w:pos="1156" w:val="left" w:leader="none"/>
        </w:tabs>
        <w:spacing w:line="240" w:lineRule="auto" w:before="0" w:after="0"/>
        <w:ind w:left="120" w:right="109" w:firstLine="719"/>
        <w:jc w:val="both"/>
        <w:rPr>
          <w:sz w:val="22"/>
        </w:rPr>
      </w:pPr>
      <w:r>
        <w:rPr>
          <w:sz w:val="22"/>
        </w:rPr>
        <w:t>Me gjobë nga 1 000 000 deri në 5 000 000 lekë për rastet kur nuk respekton në transmetim kufijtë territorialë, të përcaktuar në kushtet e</w:t>
      </w:r>
      <w:r>
        <w:rPr>
          <w:spacing w:val="-5"/>
          <w:sz w:val="22"/>
        </w:rPr>
        <w:t> </w:t>
      </w:r>
      <w:r>
        <w:rPr>
          <w:sz w:val="22"/>
        </w:rPr>
        <w:t>licencës;</w:t>
      </w:r>
    </w:p>
    <w:p>
      <w:pPr>
        <w:pStyle w:val="ListParagraph"/>
        <w:numPr>
          <w:ilvl w:val="0"/>
          <w:numId w:val="238"/>
        </w:numPr>
        <w:tabs>
          <w:tab w:pos="1093" w:val="left" w:leader="none"/>
        </w:tabs>
        <w:spacing w:line="240" w:lineRule="auto" w:before="0" w:after="0"/>
        <w:ind w:left="120" w:right="115" w:firstLine="720"/>
        <w:jc w:val="both"/>
        <w:rPr>
          <w:sz w:val="22"/>
        </w:rPr>
      </w:pPr>
      <w:r>
        <w:rPr>
          <w:sz w:val="22"/>
        </w:rPr>
        <w:t>Me gjobë nga 5 000 000 deri në 10 000 000 lekë për rastet kur një person instalon pajisje televizive ose radioje, duke dalë në transmetim në efir me sinjal audio ose audioviziv pa autorizimin ose licencimin e</w:t>
      </w:r>
      <w:r>
        <w:rPr>
          <w:spacing w:val="-1"/>
          <w:sz w:val="22"/>
        </w:rPr>
        <w:t> </w:t>
      </w:r>
      <w:r>
        <w:rPr>
          <w:sz w:val="22"/>
        </w:rPr>
        <w:t>AMA-s.</w:t>
      </w:r>
    </w:p>
    <w:p>
      <w:pPr>
        <w:pStyle w:val="ListParagraph"/>
        <w:numPr>
          <w:ilvl w:val="0"/>
          <w:numId w:val="238"/>
        </w:numPr>
        <w:tabs>
          <w:tab w:pos="1067" w:val="left" w:leader="none"/>
        </w:tabs>
        <w:spacing w:line="240" w:lineRule="auto" w:before="0" w:after="0"/>
        <w:ind w:left="120" w:right="112" w:firstLine="720"/>
        <w:jc w:val="both"/>
        <w:rPr>
          <w:sz w:val="22"/>
        </w:rPr>
      </w:pPr>
      <w:r>
        <w:rPr>
          <w:sz w:val="22"/>
        </w:rPr>
        <w:t>Me gjobë në masën 300 000 lekë për rastin kur i licencuari dhe/ose i autorizuari nuk respekton të drejtën e përgjigjes, sipas nenit 53 të këtij</w:t>
      </w:r>
      <w:r>
        <w:rPr>
          <w:spacing w:val="-10"/>
          <w:sz w:val="22"/>
        </w:rPr>
        <w:t> </w:t>
      </w:r>
      <w:r>
        <w:rPr>
          <w:sz w:val="22"/>
        </w:rPr>
        <w:t>ligji.</w:t>
      </w:r>
    </w:p>
    <w:p>
      <w:pPr>
        <w:pStyle w:val="ListParagraph"/>
        <w:numPr>
          <w:ilvl w:val="0"/>
          <w:numId w:val="238"/>
        </w:numPr>
        <w:tabs>
          <w:tab w:pos="1069" w:val="left" w:leader="none"/>
        </w:tabs>
        <w:spacing w:line="240" w:lineRule="auto" w:before="0" w:after="0"/>
        <w:ind w:left="120" w:right="113" w:firstLine="720"/>
        <w:jc w:val="both"/>
        <w:rPr>
          <w:sz w:val="22"/>
        </w:rPr>
      </w:pPr>
      <w:r>
        <w:rPr>
          <w:sz w:val="22"/>
        </w:rPr>
        <w:t>Me gjobë nga 1 000 000 deri në 2 000 000 lekë kur nuk respekton detyrimet e parashikuara në nenin 32 pika 6 të këtij ligji. Përsëritja e shkeljes më shumë se 3 herë dënohet me uljen deri në 50 për  qind të afatit të licencës dhe/ose autorizimit. Në rast ripërsëritjeje, shkelja ndëshkohet me heqjen e licencës dhe/ose</w:t>
      </w:r>
      <w:r>
        <w:rPr>
          <w:spacing w:val="-1"/>
          <w:sz w:val="22"/>
        </w:rPr>
        <w:t> </w:t>
      </w:r>
      <w:r>
        <w:rPr>
          <w:sz w:val="22"/>
        </w:rPr>
        <w:t>autorizimit.</w:t>
      </w:r>
    </w:p>
    <w:p>
      <w:pPr>
        <w:pStyle w:val="ListParagraph"/>
        <w:numPr>
          <w:ilvl w:val="0"/>
          <w:numId w:val="238"/>
        </w:numPr>
        <w:tabs>
          <w:tab w:pos="1062" w:val="left" w:leader="none"/>
        </w:tabs>
        <w:spacing w:line="251" w:lineRule="exact" w:before="0" w:after="0"/>
        <w:ind w:left="1061" w:right="0" w:hanging="222"/>
        <w:jc w:val="both"/>
        <w:rPr>
          <w:sz w:val="22"/>
        </w:rPr>
      </w:pPr>
      <w:r>
        <w:rPr>
          <w:sz w:val="22"/>
        </w:rPr>
        <w:t>Me gjobë nga 100 000 deri në 2 000 000 lekë për rastet</w:t>
      </w:r>
      <w:r>
        <w:rPr>
          <w:spacing w:val="-8"/>
          <w:sz w:val="22"/>
        </w:rPr>
        <w:t> </w:t>
      </w:r>
      <w:r>
        <w:rPr>
          <w:sz w:val="22"/>
        </w:rPr>
        <w:t>kur:</w:t>
      </w:r>
    </w:p>
    <w:p>
      <w:pPr>
        <w:pStyle w:val="ListParagraph"/>
        <w:numPr>
          <w:ilvl w:val="0"/>
          <w:numId w:val="242"/>
        </w:numPr>
        <w:tabs>
          <w:tab w:pos="1091" w:val="left" w:leader="none"/>
        </w:tabs>
        <w:spacing w:line="240" w:lineRule="auto" w:before="1" w:after="0"/>
        <w:ind w:left="120" w:right="115" w:firstLine="720"/>
        <w:jc w:val="both"/>
        <w:rPr>
          <w:sz w:val="22"/>
        </w:rPr>
      </w:pPr>
      <w:r>
        <w:rPr>
          <w:sz w:val="22"/>
        </w:rPr>
        <w:t>prodhon, importon, shpërndan, shet, jep me qira ose posedon, për qëllime tregtare, pajisje të ndaluara;</w:t>
      </w:r>
    </w:p>
    <w:p>
      <w:pPr>
        <w:pStyle w:val="ListParagraph"/>
        <w:numPr>
          <w:ilvl w:val="0"/>
          <w:numId w:val="242"/>
        </w:numPr>
        <w:tabs>
          <w:tab w:pos="1081" w:val="left" w:leader="none"/>
        </w:tabs>
        <w:spacing w:line="252" w:lineRule="exact" w:before="0" w:after="0"/>
        <w:ind w:left="1080" w:right="0" w:hanging="241"/>
        <w:jc w:val="both"/>
        <w:rPr>
          <w:sz w:val="22"/>
        </w:rPr>
      </w:pPr>
      <w:r>
        <w:rPr>
          <w:sz w:val="22"/>
        </w:rPr>
        <w:t>instalon, mirëmban ose zëvendëson, për qëllime tregtare, pajisje të</w:t>
      </w:r>
      <w:r>
        <w:rPr>
          <w:spacing w:val="-7"/>
          <w:sz w:val="22"/>
        </w:rPr>
        <w:t> </w:t>
      </w:r>
      <w:r>
        <w:rPr>
          <w:sz w:val="22"/>
        </w:rPr>
        <w:t>ndaluara;</w:t>
      </w:r>
    </w:p>
    <w:p>
      <w:pPr>
        <w:pStyle w:val="ListParagraph"/>
        <w:numPr>
          <w:ilvl w:val="0"/>
          <w:numId w:val="242"/>
        </w:numPr>
        <w:tabs>
          <w:tab w:pos="1069" w:val="left" w:leader="none"/>
        </w:tabs>
        <w:spacing w:line="240" w:lineRule="auto" w:before="0" w:after="0"/>
        <w:ind w:left="840" w:right="2601" w:firstLine="0"/>
        <w:jc w:val="left"/>
        <w:rPr>
          <w:sz w:val="22"/>
        </w:rPr>
      </w:pPr>
      <w:r>
        <w:rPr>
          <w:sz w:val="22"/>
        </w:rPr>
        <w:t>përdor komunikime tregtare për promovimin e pajisjeve të ndalura; ç) nuk respekton kushtet e licencës sipas nenit 72 të këtij</w:t>
      </w:r>
      <w:r>
        <w:rPr>
          <w:spacing w:val="-12"/>
          <w:sz w:val="22"/>
        </w:rPr>
        <w:t> </w:t>
      </w:r>
      <w:r>
        <w:rPr>
          <w:sz w:val="22"/>
        </w:rPr>
        <w:t>ligji.</w:t>
      </w:r>
    </w:p>
    <w:p>
      <w:pPr>
        <w:pStyle w:val="ListParagraph"/>
        <w:numPr>
          <w:ilvl w:val="0"/>
          <w:numId w:val="238"/>
        </w:numPr>
        <w:tabs>
          <w:tab w:pos="1062" w:val="left" w:leader="none"/>
        </w:tabs>
        <w:spacing w:line="252" w:lineRule="exact" w:before="0" w:after="0"/>
        <w:ind w:left="1061" w:right="0" w:hanging="222"/>
        <w:jc w:val="left"/>
        <w:rPr>
          <w:sz w:val="22"/>
        </w:rPr>
      </w:pPr>
      <w:r>
        <w:rPr>
          <w:sz w:val="22"/>
        </w:rPr>
        <w:t>AMA vendos pezullimin e përkohshëm të licencës dhe/ose autorizimit në rast se</w:t>
      </w:r>
      <w:r>
        <w:rPr>
          <w:spacing w:val="-16"/>
          <w:sz w:val="22"/>
        </w:rPr>
        <w:t> </w:t>
      </w:r>
      <w:r>
        <w:rPr>
          <w:sz w:val="22"/>
        </w:rPr>
        <w:t>subjekti:</w:t>
      </w:r>
    </w:p>
    <w:p>
      <w:pPr>
        <w:pStyle w:val="ListParagraph"/>
        <w:numPr>
          <w:ilvl w:val="0"/>
          <w:numId w:val="243"/>
        </w:numPr>
        <w:tabs>
          <w:tab w:pos="1069" w:val="left" w:leader="none"/>
        </w:tabs>
        <w:spacing w:line="252" w:lineRule="exact" w:before="0" w:after="0"/>
        <w:ind w:left="1069" w:right="0" w:hanging="229"/>
        <w:jc w:val="left"/>
        <w:rPr>
          <w:sz w:val="22"/>
        </w:rPr>
      </w:pPr>
      <w:r>
        <w:rPr>
          <w:sz w:val="22"/>
        </w:rPr>
        <w:t>shkakton në mënyrë të përsëritur interferenca të</w:t>
      </w:r>
      <w:r>
        <w:rPr>
          <w:spacing w:val="-4"/>
          <w:sz w:val="22"/>
        </w:rPr>
        <w:t> </w:t>
      </w:r>
      <w:r>
        <w:rPr>
          <w:sz w:val="22"/>
        </w:rPr>
        <w:t>dëmshme;</w:t>
      </w:r>
    </w:p>
    <w:p>
      <w:pPr>
        <w:pStyle w:val="ListParagraph"/>
        <w:numPr>
          <w:ilvl w:val="0"/>
          <w:numId w:val="243"/>
        </w:numPr>
        <w:tabs>
          <w:tab w:pos="1125" w:val="left" w:leader="none"/>
        </w:tabs>
        <w:spacing w:line="240" w:lineRule="auto" w:before="2" w:after="0"/>
        <w:ind w:left="120" w:right="113" w:firstLine="720"/>
        <w:jc w:val="left"/>
        <w:rPr>
          <w:sz w:val="22"/>
        </w:rPr>
      </w:pPr>
      <w:r>
        <w:rPr>
          <w:sz w:val="22"/>
        </w:rPr>
        <w:t>nuk respekton detyrimin e parashikuar në nenin 63 të këtij ligji për shfrytëzimin e rrjetit numerik;</w:t>
      </w:r>
    </w:p>
    <w:p>
      <w:pPr>
        <w:pStyle w:val="ListParagraph"/>
        <w:numPr>
          <w:ilvl w:val="0"/>
          <w:numId w:val="238"/>
        </w:numPr>
        <w:tabs>
          <w:tab w:pos="1182" w:val="left" w:leader="none"/>
        </w:tabs>
        <w:spacing w:line="240" w:lineRule="auto" w:before="0" w:after="0"/>
        <w:ind w:left="120" w:right="115" w:firstLine="720"/>
        <w:jc w:val="left"/>
        <w:rPr>
          <w:sz w:val="22"/>
        </w:rPr>
      </w:pPr>
      <w:r>
        <w:rPr>
          <w:sz w:val="22"/>
        </w:rPr>
        <w:t>Gjoba vendoset nga inspektorët ose AMA, me nismën e tyre ose pas ankimit të subjekteve të interesuara. Ndëshkimi me gjobat e mësipërme është i vlefshëm edhe për</w:t>
      </w:r>
      <w:r>
        <w:rPr>
          <w:spacing w:val="-7"/>
          <w:sz w:val="22"/>
        </w:rPr>
        <w:t> </w:t>
      </w:r>
      <w:r>
        <w:rPr>
          <w:sz w:val="22"/>
        </w:rPr>
        <w:t>RTSH-në.</w:t>
      </w:r>
    </w:p>
    <w:p>
      <w:pPr>
        <w:pStyle w:val="ListParagraph"/>
        <w:numPr>
          <w:ilvl w:val="0"/>
          <w:numId w:val="238"/>
        </w:numPr>
        <w:tabs>
          <w:tab w:pos="1194" w:val="left" w:leader="none"/>
        </w:tabs>
        <w:spacing w:line="251" w:lineRule="exact" w:before="0" w:after="0"/>
        <w:ind w:left="1193" w:right="0" w:hanging="354"/>
        <w:jc w:val="left"/>
        <w:rPr>
          <w:sz w:val="22"/>
        </w:rPr>
      </w:pPr>
      <w:r>
        <w:rPr>
          <w:sz w:val="22"/>
        </w:rPr>
        <w:t>Kundër</w:t>
      </w:r>
      <w:r>
        <w:rPr>
          <w:spacing w:val="24"/>
          <w:sz w:val="22"/>
        </w:rPr>
        <w:t> </w:t>
      </w:r>
      <w:r>
        <w:rPr>
          <w:sz w:val="22"/>
        </w:rPr>
        <w:t>vendimit</w:t>
      </w:r>
      <w:r>
        <w:rPr>
          <w:spacing w:val="24"/>
          <w:sz w:val="22"/>
        </w:rPr>
        <w:t> </w:t>
      </w:r>
      <w:r>
        <w:rPr>
          <w:sz w:val="22"/>
        </w:rPr>
        <w:t>të</w:t>
      </w:r>
      <w:r>
        <w:rPr>
          <w:spacing w:val="21"/>
          <w:sz w:val="22"/>
        </w:rPr>
        <w:t> </w:t>
      </w:r>
      <w:r>
        <w:rPr>
          <w:sz w:val="22"/>
        </w:rPr>
        <w:t>dënimit</w:t>
      </w:r>
      <w:r>
        <w:rPr>
          <w:spacing w:val="24"/>
          <w:sz w:val="22"/>
        </w:rPr>
        <w:t> </w:t>
      </w:r>
      <w:r>
        <w:rPr>
          <w:sz w:val="22"/>
        </w:rPr>
        <w:t>me</w:t>
      </w:r>
      <w:r>
        <w:rPr>
          <w:spacing w:val="23"/>
          <w:sz w:val="22"/>
        </w:rPr>
        <w:t> </w:t>
      </w:r>
      <w:r>
        <w:rPr>
          <w:sz w:val="22"/>
        </w:rPr>
        <w:t>gjobë</w:t>
      </w:r>
      <w:r>
        <w:rPr>
          <w:spacing w:val="21"/>
          <w:sz w:val="22"/>
        </w:rPr>
        <w:t> </w:t>
      </w:r>
      <w:r>
        <w:rPr>
          <w:sz w:val="22"/>
        </w:rPr>
        <w:t>mund</w:t>
      </w:r>
      <w:r>
        <w:rPr>
          <w:spacing w:val="23"/>
          <w:sz w:val="22"/>
        </w:rPr>
        <w:t> </w:t>
      </w:r>
      <w:r>
        <w:rPr>
          <w:sz w:val="22"/>
        </w:rPr>
        <w:t>të</w:t>
      </w:r>
      <w:r>
        <w:rPr>
          <w:spacing w:val="21"/>
          <w:sz w:val="22"/>
        </w:rPr>
        <w:t> </w:t>
      </w:r>
      <w:r>
        <w:rPr>
          <w:sz w:val="22"/>
        </w:rPr>
        <w:t>bëhet</w:t>
      </w:r>
      <w:r>
        <w:rPr>
          <w:spacing w:val="21"/>
          <w:sz w:val="22"/>
        </w:rPr>
        <w:t> </w:t>
      </w:r>
      <w:r>
        <w:rPr>
          <w:sz w:val="22"/>
        </w:rPr>
        <w:t>ankim</w:t>
      </w:r>
      <w:r>
        <w:rPr>
          <w:spacing w:val="19"/>
          <w:sz w:val="22"/>
        </w:rPr>
        <w:t> </w:t>
      </w:r>
      <w:r>
        <w:rPr>
          <w:sz w:val="22"/>
        </w:rPr>
        <w:t>në</w:t>
      </w:r>
      <w:r>
        <w:rPr>
          <w:spacing w:val="23"/>
          <w:sz w:val="22"/>
        </w:rPr>
        <w:t> </w:t>
      </w:r>
      <w:r>
        <w:rPr>
          <w:sz w:val="22"/>
        </w:rPr>
        <w:t>AMA</w:t>
      </w:r>
      <w:r>
        <w:rPr>
          <w:spacing w:val="22"/>
          <w:sz w:val="22"/>
        </w:rPr>
        <w:t> </w:t>
      </w:r>
      <w:r>
        <w:rPr>
          <w:sz w:val="22"/>
        </w:rPr>
        <w:t>brenda</w:t>
      </w:r>
      <w:r>
        <w:rPr>
          <w:spacing w:val="23"/>
          <w:sz w:val="22"/>
        </w:rPr>
        <w:t> </w:t>
      </w:r>
      <w:r>
        <w:rPr>
          <w:sz w:val="22"/>
        </w:rPr>
        <w:t>30</w:t>
      </w:r>
      <w:r>
        <w:rPr>
          <w:spacing w:val="23"/>
          <w:sz w:val="22"/>
        </w:rPr>
        <w:t> </w:t>
      </w:r>
      <w:r>
        <w:rPr>
          <w:sz w:val="22"/>
        </w:rPr>
        <w:t>ditëve</w:t>
      </w:r>
      <w:r>
        <w:rPr>
          <w:spacing w:val="23"/>
          <w:sz w:val="22"/>
        </w:rPr>
        <w:t> </w:t>
      </w:r>
      <w:r>
        <w:rPr>
          <w:sz w:val="22"/>
        </w:rPr>
        <w:t>nga</w:t>
      </w:r>
    </w:p>
    <w:p>
      <w:pPr>
        <w:spacing w:after="0" w:line="251" w:lineRule="exact"/>
        <w:jc w:val="left"/>
        <w:rPr>
          <w:sz w:val="22"/>
        </w:rPr>
        <w:sectPr>
          <w:pgSz w:w="12240" w:h="15840"/>
          <w:pgMar w:top="1360" w:bottom="280" w:left="1320" w:right="1320"/>
        </w:sectPr>
      </w:pPr>
    </w:p>
    <w:p>
      <w:pPr>
        <w:pStyle w:val="BodyText"/>
        <w:spacing w:line="252" w:lineRule="exact" w:before="74"/>
        <w:ind w:firstLine="0"/>
      </w:pPr>
      <w:r>
        <w:rPr/>
        <w:t>data e marrjes dijeni. AMA merr vendim brenda 30 ditëve nga data e paraqitjes së ankimit.</w:t>
      </w:r>
    </w:p>
    <w:p>
      <w:pPr>
        <w:pStyle w:val="ListParagraph"/>
        <w:numPr>
          <w:ilvl w:val="0"/>
          <w:numId w:val="238"/>
        </w:numPr>
        <w:tabs>
          <w:tab w:pos="1186" w:val="left" w:leader="none"/>
        </w:tabs>
        <w:spacing w:line="240" w:lineRule="auto" w:before="0" w:after="0"/>
        <w:ind w:left="120" w:right="116" w:firstLine="720"/>
        <w:jc w:val="left"/>
        <w:rPr>
          <w:sz w:val="22"/>
        </w:rPr>
      </w:pPr>
      <w:r>
        <w:rPr>
          <w:sz w:val="22"/>
        </w:rPr>
        <w:t>Kundër vendimit të AMA-s mund të bëhet ankim në gjykatën e rrethit gjyqësor ku ka selinë organi administrativ.</w:t>
      </w:r>
    </w:p>
    <w:p>
      <w:pPr>
        <w:pStyle w:val="ListParagraph"/>
        <w:numPr>
          <w:ilvl w:val="0"/>
          <w:numId w:val="238"/>
        </w:numPr>
        <w:tabs>
          <w:tab w:pos="1203" w:val="left" w:leader="none"/>
        </w:tabs>
        <w:spacing w:line="240" w:lineRule="auto" w:before="0" w:after="0"/>
        <w:ind w:left="120" w:right="116" w:firstLine="720"/>
        <w:jc w:val="left"/>
        <w:rPr>
          <w:sz w:val="22"/>
        </w:rPr>
      </w:pPr>
      <w:r>
        <w:rPr>
          <w:sz w:val="22"/>
        </w:rPr>
        <w:t>Gjoba është titull ekzekutiv që ekzekutohet nga shërbimi përmbarimor dhe derdhet 80 për qind në Buxhetin e Shtetit dhe 20 për qind në buxhetin e</w:t>
      </w:r>
      <w:r>
        <w:rPr>
          <w:spacing w:val="-4"/>
          <w:sz w:val="22"/>
        </w:rPr>
        <w:t> </w:t>
      </w:r>
      <w:r>
        <w:rPr>
          <w:sz w:val="22"/>
        </w:rPr>
        <w:t>AMA-s.</w:t>
      </w:r>
    </w:p>
    <w:p>
      <w:pPr>
        <w:pStyle w:val="BodyText"/>
        <w:spacing w:before="10"/>
        <w:ind w:left="0" w:firstLine="0"/>
        <w:rPr>
          <w:sz w:val="21"/>
        </w:rPr>
      </w:pPr>
    </w:p>
    <w:p>
      <w:pPr>
        <w:pStyle w:val="BodyText"/>
        <w:ind w:left="3556" w:right="3536" w:firstLine="756"/>
      </w:pPr>
      <w:r>
        <w:rPr/>
        <w:t>KREU XV DISPOZITA KALIMTARE</w:t>
      </w:r>
    </w:p>
    <w:p>
      <w:pPr>
        <w:pStyle w:val="BodyText"/>
        <w:spacing w:before="2"/>
        <w:ind w:left="0" w:firstLine="0"/>
      </w:pPr>
    </w:p>
    <w:p>
      <w:pPr>
        <w:pStyle w:val="BodyText"/>
        <w:ind w:left="146" w:right="146" w:firstLine="0"/>
        <w:jc w:val="center"/>
      </w:pPr>
      <w:r>
        <w:rPr/>
        <w:t>Neni 134</w:t>
      </w:r>
    </w:p>
    <w:p>
      <w:pPr>
        <w:pStyle w:val="Heading1"/>
        <w:ind w:right="145"/>
      </w:pPr>
      <w:r>
        <w:rPr/>
        <w:t>Mandatet e anëtarëve të KKRT-së</w:t>
      </w:r>
    </w:p>
    <w:p>
      <w:pPr>
        <w:pStyle w:val="BodyText"/>
        <w:spacing w:before="7"/>
        <w:ind w:left="0" w:firstLine="0"/>
        <w:rPr>
          <w:b/>
          <w:sz w:val="21"/>
        </w:rPr>
      </w:pPr>
    </w:p>
    <w:p>
      <w:pPr>
        <w:pStyle w:val="BodyText"/>
        <w:ind w:left="119" w:right="114"/>
        <w:jc w:val="both"/>
      </w:pPr>
      <w:r>
        <w:rPr/>
        <w:t>Kryetari dhe anëtarët e KKRT-së, të zgjedhur sipas ligjit nr. 8410 datë 30.09.1998 “Për radion dhe televizionin publik e privat në Republikën e Shqipërisë”, të ndryshuar, vazhdojnë të qëndrojnë në detyrë edhe pas hyrjes në fuqi të këtij ligji, deri në përfundim të afatit të caktuar në mandatin e emërimit. Vendet vakante të AMA-s plotësohen sipas përcaktimeve të neneve 8 dhe 9 të këtij</w:t>
      </w:r>
      <w:r>
        <w:rPr>
          <w:spacing w:val="-7"/>
        </w:rPr>
        <w:t> </w:t>
      </w:r>
      <w:r>
        <w:rPr/>
        <w:t>ligji.</w:t>
      </w:r>
    </w:p>
    <w:p>
      <w:pPr>
        <w:pStyle w:val="BodyText"/>
        <w:spacing w:before="1"/>
        <w:ind w:left="146" w:right="146" w:firstLine="0"/>
        <w:jc w:val="center"/>
      </w:pPr>
      <w:r>
        <w:rPr/>
        <w:t>Neni 135</w:t>
      </w:r>
    </w:p>
    <w:p>
      <w:pPr>
        <w:pStyle w:val="Heading1"/>
        <w:spacing w:before="3"/>
      </w:pPr>
      <w:r>
        <w:rPr/>
        <w:t>Mandatet e anëtarëve të KDRTSH-së</w:t>
      </w:r>
    </w:p>
    <w:p>
      <w:pPr>
        <w:pStyle w:val="BodyText"/>
        <w:spacing w:before="7"/>
        <w:ind w:left="0" w:firstLine="0"/>
        <w:rPr>
          <w:b/>
          <w:sz w:val="21"/>
        </w:rPr>
      </w:pPr>
    </w:p>
    <w:p>
      <w:pPr>
        <w:pStyle w:val="BodyText"/>
        <w:ind w:left="119" w:right="114"/>
        <w:jc w:val="both"/>
      </w:pPr>
      <w:r>
        <w:rPr/>
        <w:t>Gjatë mandatit të parë, Kryetari, Zëvendëskryetari dhe dy anëtarë të KDRTSH-së, zgjidhen në funksion për një periudhë 5-vjeçare, 4 anëtarë për një periudhë 4-vjeçare dhe 3 anëtarë për një periudhë 3- vjeçare. Përcaktimi i mandatit të anëtarëve bëhet me short, sipas procedurave të përcaktuara në rregulloren e veprimtarisë së</w:t>
      </w:r>
      <w:r>
        <w:rPr>
          <w:spacing w:val="-1"/>
        </w:rPr>
        <w:t> </w:t>
      </w:r>
      <w:r>
        <w:rPr/>
        <w:t>institucionit.</w:t>
      </w:r>
    </w:p>
    <w:p>
      <w:pPr>
        <w:pStyle w:val="BodyText"/>
        <w:spacing w:before="184"/>
        <w:ind w:left="146" w:right="146" w:firstLine="0"/>
        <w:jc w:val="center"/>
      </w:pPr>
      <w:r>
        <w:rPr/>
        <w:t>Neni 136</w:t>
      </w:r>
    </w:p>
    <w:p>
      <w:pPr>
        <w:pStyle w:val="Heading1"/>
        <w:ind w:right="144"/>
      </w:pPr>
      <w:r>
        <w:rPr/>
        <w:t>Kalimi i plotë në transmetimet numerike</w:t>
      </w:r>
    </w:p>
    <w:p>
      <w:pPr>
        <w:pStyle w:val="BodyText"/>
        <w:spacing w:before="8"/>
        <w:ind w:left="0" w:firstLine="0"/>
        <w:rPr>
          <w:b/>
          <w:sz w:val="13"/>
        </w:rPr>
      </w:pPr>
    </w:p>
    <w:p>
      <w:pPr>
        <w:spacing w:after="0"/>
        <w:rPr>
          <w:sz w:val="13"/>
        </w:rPr>
        <w:sectPr>
          <w:pgSz w:w="12240" w:h="15840"/>
          <w:pgMar w:top="1360" w:bottom="280" w:left="1320" w:right="1320"/>
        </w:sectPr>
      </w:pPr>
    </w:p>
    <w:p>
      <w:pPr>
        <w:pStyle w:val="BodyText"/>
        <w:ind w:left="0" w:firstLine="0"/>
        <w:rPr>
          <w:b/>
          <w:sz w:val="30"/>
        </w:rPr>
      </w:pPr>
    </w:p>
    <w:p>
      <w:pPr>
        <w:pStyle w:val="BodyText"/>
        <w:spacing w:before="1"/>
        <w:ind w:left="119" w:firstLine="0"/>
      </w:pPr>
      <w:r>
        <w:rPr/>
        <w:t>2015.</w:t>
      </w:r>
    </w:p>
    <w:p>
      <w:pPr>
        <w:pStyle w:val="ListParagraph"/>
        <w:numPr>
          <w:ilvl w:val="0"/>
          <w:numId w:val="244"/>
        </w:numPr>
        <w:tabs>
          <w:tab w:pos="346" w:val="left" w:leader="none"/>
        </w:tabs>
        <w:spacing w:line="240" w:lineRule="auto" w:before="91" w:after="0"/>
        <w:ind w:left="345" w:right="0" w:hanging="227"/>
        <w:jc w:val="left"/>
        <w:rPr>
          <w:sz w:val="22"/>
        </w:rPr>
      </w:pPr>
      <w:r>
        <w:rPr>
          <w:spacing w:val="-2"/>
          <w:w w:val="100"/>
          <w:sz w:val="22"/>
        </w:rPr>
        <w:br w:type="column"/>
      </w:r>
      <w:r>
        <w:rPr>
          <w:sz w:val="22"/>
        </w:rPr>
        <w:t>Afati përfundimtar i kalimit të plotë në transmetimet numerike televizive është data 17 qershor</w:t>
      </w:r>
    </w:p>
    <w:p>
      <w:pPr>
        <w:pStyle w:val="BodyText"/>
        <w:ind w:left="0" w:firstLine="0"/>
      </w:pPr>
    </w:p>
    <w:p>
      <w:pPr>
        <w:pStyle w:val="ListParagraph"/>
        <w:numPr>
          <w:ilvl w:val="0"/>
          <w:numId w:val="244"/>
        </w:numPr>
        <w:tabs>
          <w:tab w:pos="349" w:val="left" w:leader="none"/>
        </w:tabs>
        <w:spacing w:line="240" w:lineRule="auto" w:before="1" w:after="0"/>
        <w:ind w:left="348" w:right="0" w:hanging="230"/>
        <w:jc w:val="left"/>
        <w:rPr>
          <w:sz w:val="22"/>
        </w:rPr>
      </w:pPr>
      <w:r>
        <w:rPr>
          <w:sz w:val="22"/>
        </w:rPr>
        <w:t>Mënyra e kalimit të plotë në transmetimet numerike, institucionet përkatëse, financimet, si</w:t>
      </w:r>
      <w:r>
        <w:rPr>
          <w:spacing w:val="51"/>
          <w:sz w:val="22"/>
        </w:rPr>
        <w:t> </w:t>
      </w:r>
      <w:r>
        <w:rPr>
          <w:sz w:val="22"/>
        </w:rPr>
        <w:t>dhe</w:t>
      </w:r>
    </w:p>
    <w:p>
      <w:pPr>
        <w:spacing w:after="0" w:line="240" w:lineRule="auto"/>
        <w:jc w:val="left"/>
        <w:rPr>
          <w:sz w:val="22"/>
        </w:rPr>
        <w:sectPr>
          <w:type w:val="continuous"/>
          <w:pgSz w:w="12240" w:h="15840"/>
          <w:pgMar w:top="1360" w:bottom="280" w:left="1320" w:right="1320"/>
          <w:cols w:num="2" w:equalWidth="0">
            <w:col w:w="657" w:space="63"/>
            <w:col w:w="8880"/>
          </w:cols>
        </w:sectPr>
      </w:pPr>
    </w:p>
    <w:p>
      <w:pPr>
        <w:pStyle w:val="BodyText"/>
        <w:ind w:left="119" w:right="377" w:firstLine="0"/>
      </w:pPr>
      <w:r>
        <w:rPr/>
        <w:t>çështjet e tjera, që lidhen me këtë proces, përcaktohen në strategjinë për kalimin nga transmetimet  analoge në ato numerike të miratuar nga Këshilli i</w:t>
      </w:r>
      <w:r>
        <w:rPr>
          <w:spacing w:val="-7"/>
        </w:rPr>
        <w:t> </w:t>
      </w:r>
      <w:r>
        <w:rPr/>
        <w:t>Ministrave.</w:t>
      </w:r>
    </w:p>
    <w:p>
      <w:pPr>
        <w:pStyle w:val="ListParagraph"/>
        <w:numPr>
          <w:ilvl w:val="0"/>
          <w:numId w:val="244"/>
        </w:numPr>
        <w:tabs>
          <w:tab w:pos="1069" w:val="left" w:leader="none"/>
        </w:tabs>
        <w:spacing w:line="240" w:lineRule="auto" w:before="0" w:after="0"/>
        <w:ind w:left="119" w:right="112" w:firstLine="720"/>
        <w:jc w:val="left"/>
        <w:rPr>
          <w:sz w:val="22"/>
        </w:rPr>
      </w:pPr>
      <w:r>
        <w:rPr>
          <w:sz w:val="22"/>
        </w:rPr>
        <w:t>Me hyrjen në fuqi të këtij ligji, ndalohet dhënia e licencave për transmetime televizive analoge tokësore.</w:t>
      </w:r>
    </w:p>
    <w:p>
      <w:pPr>
        <w:pStyle w:val="BodyText"/>
        <w:spacing w:before="69"/>
        <w:ind w:left="146" w:right="146" w:firstLine="0"/>
        <w:jc w:val="center"/>
      </w:pPr>
      <w:r>
        <w:rPr/>
        <w:t>Neni 137</w:t>
      </w:r>
    </w:p>
    <w:p>
      <w:pPr>
        <w:pStyle w:val="Heading1"/>
        <w:ind w:right="144"/>
      </w:pPr>
      <w:r>
        <w:rPr/>
        <w:t>Ndryshimi i statutit të RTSH-së</w:t>
      </w:r>
    </w:p>
    <w:p>
      <w:pPr>
        <w:pStyle w:val="BodyText"/>
        <w:spacing w:before="7"/>
        <w:ind w:left="0" w:firstLine="0"/>
        <w:rPr>
          <w:b/>
          <w:sz w:val="21"/>
        </w:rPr>
      </w:pPr>
    </w:p>
    <w:p>
      <w:pPr>
        <w:pStyle w:val="ListParagraph"/>
        <w:numPr>
          <w:ilvl w:val="0"/>
          <w:numId w:val="245"/>
        </w:numPr>
        <w:tabs>
          <w:tab w:pos="1073" w:val="left" w:leader="none"/>
        </w:tabs>
        <w:spacing w:line="240" w:lineRule="auto" w:before="0" w:after="0"/>
        <w:ind w:left="119" w:right="109" w:firstLine="720"/>
        <w:jc w:val="both"/>
        <w:rPr>
          <w:sz w:val="22"/>
        </w:rPr>
      </w:pPr>
      <w:r>
        <w:rPr>
          <w:sz w:val="22"/>
        </w:rPr>
        <w:t>KDRTSH-ja brenda 120 ditëve nga mbledhja e tij e parë, por jo më vonë se 6 muaj nga hyrja në fuqi e këtij ligji, miraton ndryshimet në statut, në përputhje me këtë ligj, dhe ia paraqet për miratim Kuvendit.</w:t>
      </w:r>
    </w:p>
    <w:p>
      <w:pPr>
        <w:pStyle w:val="ListParagraph"/>
        <w:numPr>
          <w:ilvl w:val="0"/>
          <w:numId w:val="245"/>
        </w:numPr>
        <w:tabs>
          <w:tab w:pos="1135" w:val="left" w:leader="none"/>
        </w:tabs>
        <w:spacing w:line="240" w:lineRule="auto" w:before="0" w:after="0"/>
        <w:ind w:left="119" w:right="116" w:firstLine="720"/>
        <w:jc w:val="both"/>
        <w:rPr>
          <w:sz w:val="22"/>
        </w:rPr>
      </w:pPr>
      <w:r>
        <w:rPr>
          <w:sz w:val="22"/>
        </w:rPr>
        <w:t>Në përgatitjen e ndryshimeve në statut, RTSH-ja këshillohet paraprakisht me AMA-n, Kuvendin dhe kryen një konsultim publik, sipas mënyrës së miratuar paraprakisht nga KDRTSH-ja për këtë</w:t>
      </w:r>
      <w:r>
        <w:rPr>
          <w:spacing w:val="-1"/>
          <w:sz w:val="22"/>
        </w:rPr>
        <w:t> </w:t>
      </w:r>
      <w:r>
        <w:rPr>
          <w:sz w:val="22"/>
        </w:rPr>
        <w:t>qëllim.</w:t>
      </w:r>
    </w:p>
    <w:p>
      <w:pPr>
        <w:pStyle w:val="BodyText"/>
        <w:spacing w:before="1"/>
        <w:ind w:left="146" w:right="146" w:firstLine="0"/>
        <w:jc w:val="center"/>
      </w:pPr>
      <w:r>
        <w:rPr/>
        <w:t>Neni 138</w:t>
      </w:r>
    </w:p>
    <w:p>
      <w:pPr>
        <w:pStyle w:val="Heading1"/>
        <w:ind w:right="145"/>
      </w:pPr>
      <w:r>
        <w:rPr/>
        <w:t>Vlefshmëria e licencave ekzistuese</w:t>
      </w:r>
    </w:p>
    <w:p>
      <w:pPr>
        <w:pStyle w:val="BodyText"/>
        <w:spacing w:before="7"/>
        <w:ind w:left="0" w:firstLine="0"/>
        <w:rPr>
          <w:b/>
          <w:sz w:val="21"/>
        </w:rPr>
      </w:pPr>
    </w:p>
    <w:p>
      <w:pPr>
        <w:pStyle w:val="ListParagraph"/>
        <w:numPr>
          <w:ilvl w:val="0"/>
          <w:numId w:val="246"/>
        </w:numPr>
        <w:tabs>
          <w:tab w:pos="1083" w:val="left" w:leader="none"/>
        </w:tabs>
        <w:spacing w:line="240" w:lineRule="auto" w:before="0" w:after="0"/>
        <w:ind w:left="119" w:right="114" w:firstLine="720"/>
        <w:jc w:val="both"/>
        <w:rPr>
          <w:sz w:val="22"/>
        </w:rPr>
      </w:pPr>
      <w:r>
        <w:rPr>
          <w:sz w:val="22"/>
        </w:rPr>
        <w:t>Licencat për transmetim radio FM, të dhëna sipas ligjit nr. 8410, datë 30.9.1998 “Për radion dhe televizionin publik e privat në Republikën e Shqipërisë”, të ndryshuar, mbeten në fuqi deri në përfundim të afatit të</w:t>
      </w:r>
      <w:r>
        <w:rPr>
          <w:spacing w:val="-4"/>
          <w:sz w:val="22"/>
        </w:rPr>
        <w:t> </w:t>
      </w:r>
      <w:r>
        <w:rPr>
          <w:sz w:val="22"/>
        </w:rPr>
        <w:t>tyre.</w:t>
      </w:r>
    </w:p>
    <w:p>
      <w:pPr>
        <w:pStyle w:val="ListParagraph"/>
        <w:numPr>
          <w:ilvl w:val="0"/>
          <w:numId w:val="246"/>
        </w:numPr>
        <w:tabs>
          <w:tab w:pos="1078" w:val="left" w:leader="none"/>
        </w:tabs>
        <w:spacing w:line="240" w:lineRule="auto" w:before="0" w:after="0"/>
        <w:ind w:left="119" w:right="114" w:firstLine="720"/>
        <w:jc w:val="both"/>
        <w:rPr>
          <w:sz w:val="22"/>
        </w:rPr>
      </w:pPr>
      <w:r>
        <w:rPr>
          <w:sz w:val="22"/>
        </w:rPr>
        <w:t>Licencat për transmetim të programeve televizive kabllore të dhëna sipas ligjit nr. 8410, datë 30.09.1998 “Për radion dhe televizionin publik e privat në Republikën e Shqipërisë”, të</w:t>
      </w:r>
      <w:r>
        <w:rPr>
          <w:spacing w:val="-6"/>
          <w:sz w:val="22"/>
        </w:rPr>
        <w:t> </w:t>
      </w:r>
      <w:r>
        <w:rPr>
          <w:sz w:val="22"/>
        </w:rPr>
        <w:t>ndryshuar,</w:t>
      </w:r>
    </w:p>
    <w:p>
      <w:pPr>
        <w:spacing w:after="0" w:line="240" w:lineRule="auto"/>
        <w:jc w:val="both"/>
        <w:rPr>
          <w:sz w:val="22"/>
        </w:rPr>
        <w:sectPr>
          <w:type w:val="continuous"/>
          <w:pgSz w:w="12240" w:h="15840"/>
          <w:pgMar w:top="1360" w:bottom="280" w:left="1320" w:right="1320"/>
        </w:sectPr>
      </w:pPr>
    </w:p>
    <w:p>
      <w:pPr>
        <w:pStyle w:val="BodyText"/>
        <w:spacing w:line="252" w:lineRule="exact" w:before="74"/>
        <w:ind w:firstLine="0"/>
        <w:jc w:val="both"/>
      </w:pPr>
      <w:r>
        <w:rPr/>
        <w:t>zëvendësohen me autorizimet e mëposhtme:</w:t>
      </w:r>
    </w:p>
    <w:p>
      <w:pPr>
        <w:pStyle w:val="ListParagraph"/>
        <w:numPr>
          <w:ilvl w:val="0"/>
          <w:numId w:val="247"/>
        </w:numPr>
        <w:tabs>
          <w:tab w:pos="1090" w:val="left" w:leader="none"/>
        </w:tabs>
        <w:spacing w:line="240" w:lineRule="auto" w:before="0" w:after="0"/>
        <w:ind w:left="119" w:right="116" w:firstLine="720"/>
        <w:jc w:val="both"/>
        <w:rPr>
          <w:sz w:val="22"/>
        </w:rPr>
      </w:pPr>
      <w:r>
        <w:rPr>
          <w:sz w:val="22"/>
        </w:rPr>
        <w:t>autorizimin për shërbimin e programeve audio dhe/ose shërbimin e programeve audiovizive lëshuar nga</w:t>
      </w:r>
      <w:r>
        <w:rPr>
          <w:spacing w:val="-3"/>
          <w:sz w:val="22"/>
        </w:rPr>
        <w:t> </w:t>
      </w:r>
      <w:r>
        <w:rPr>
          <w:sz w:val="22"/>
        </w:rPr>
        <w:t>AMA;</w:t>
      </w:r>
    </w:p>
    <w:p>
      <w:pPr>
        <w:pStyle w:val="ListParagraph"/>
        <w:numPr>
          <w:ilvl w:val="0"/>
          <w:numId w:val="247"/>
        </w:numPr>
        <w:tabs>
          <w:tab w:pos="1172" w:val="left" w:leader="none"/>
        </w:tabs>
        <w:spacing w:line="240" w:lineRule="auto" w:before="0" w:after="0"/>
        <w:ind w:left="119" w:right="118" w:firstLine="720"/>
        <w:jc w:val="both"/>
        <w:rPr>
          <w:sz w:val="22"/>
        </w:rPr>
      </w:pPr>
      <w:r>
        <w:rPr>
          <w:sz w:val="22"/>
        </w:rPr>
        <w:t>autorizimin e përgjithshëm, sipas përcaktimit të ligjit nr. 9918, datë 19.5.2008 “Për komunikimet elektronike në Republikën e Shqipërisë”, kundrejt njoftimit në AKEP-it. Zëvendësimet e mësipërme kryhen brenda 6 muajve nga data e hyrjes në fuqi të këtij</w:t>
      </w:r>
      <w:r>
        <w:rPr>
          <w:spacing w:val="48"/>
          <w:sz w:val="22"/>
        </w:rPr>
        <w:t> </w:t>
      </w:r>
      <w:r>
        <w:rPr>
          <w:sz w:val="22"/>
        </w:rPr>
        <w:t>ligji.</w:t>
      </w:r>
    </w:p>
    <w:p>
      <w:pPr>
        <w:pStyle w:val="ListParagraph"/>
        <w:numPr>
          <w:ilvl w:val="0"/>
          <w:numId w:val="246"/>
        </w:numPr>
        <w:tabs>
          <w:tab w:pos="1069" w:val="left" w:leader="none"/>
        </w:tabs>
        <w:spacing w:line="240" w:lineRule="auto" w:before="0" w:after="0"/>
        <w:ind w:left="120" w:right="113" w:firstLine="719"/>
        <w:jc w:val="both"/>
        <w:rPr>
          <w:sz w:val="22"/>
        </w:rPr>
      </w:pPr>
      <w:r>
        <w:rPr>
          <w:sz w:val="22"/>
        </w:rPr>
        <w:t>Licencat për transmetim të programeve televizive me satelit të dhëna sipas ligjit nr. 8410 datë 30.9.1998 “Për radion dhe televizionin publik e privat në Republikën e Shqipërisë”, të ndryshuar, zëvendësohen me autorizimet e mëposhtme:</w:t>
      </w:r>
    </w:p>
    <w:p>
      <w:pPr>
        <w:pStyle w:val="ListParagraph"/>
        <w:numPr>
          <w:ilvl w:val="0"/>
          <w:numId w:val="248"/>
        </w:numPr>
        <w:tabs>
          <w:tab w:pos="1167" w:val="left" w:leader="none"/>
        </w:tabs>
        <w:spacing w:line="240" w:lineRule="auto" w:before="0" w:after="0"/>
        <w:ind w:left="120" w:right="118" w:firstLine="720"/>
        <w:jc w:val="both"/>
        <w:rPr>
          <w:sz w:val="22"/>
        </w:rPr>
      </w:pPr>
      <w:r>
        <w:rPr>
          <w:sz w:val="22"/>
        </w:rPr>
        <w:t>me autorizimin për shërbimin e programeve audio dhe/ose shërbimin e programeve audiovizive, të lëshuar nga</w:t>
      </w:r>
      <w:r>
        <w:rPr>
          <w:spacing w:val="-2"/>
          <w:sz w:val="22"/>
        </w:rPr>
        <w:t> </w:t>
      </w:r>
      <w:r>
        <w:rPr>
          <w:sz w:val="22"/>
        </w:rPr>
        <w:t>AMA;</w:t>
      </w:r>
    </w:p>
    <w:p>
      <w:pPr>
        <w:pStyle w:val="ListParagraph"/>
        <w:numPr>
          <w:ilvl w:val="0"/>
          <w:numId w:val="248"/>
        </w:numPr>
        <w:tabs>
          <w:tab w:pos="1088" w:val="left" w:leader="none"/>
        </w:tabs>
        <w:spacing w:line="240" w:lineRule="auto" w:before="0" w:after="0"/>
        <w:ind w:left="119" w:right="117" w:firstLine="720"/>
        <w:jc w:val="both"/>
        <w:rPr>
          <w:sz w:val="22"/>
        </w:rPr>
      </w:pPr>
      <w:r>
        <w:rPr>
          <w:sz w:val="22"/>
        </w:rPr>
        <w:t>me autorizimin përkatës, sipas përcaktimit të ligjit nr. 9918, datë 19.5.2008 “Për komunikimet elektronike në Republikën e Shqipërisë”, kundrejt njoftimit të AKEP-it. Zëvendësimet e mësipërme kryhen brenda 6 muajve nga data e hyrjes në fuqi të këtij</w:t>
      </w:r>
      <w:r>
        <w:rPr>
          <w:spacing w:val="-4"/>
          <w:sz w:val="22"/>
        </w:rPr>
        <w:t> </w:t>
      </w:r>
      <w:r>
        <w:rPr>
          <w:sz w:val="22"/>
        </w:rPr>
        <w:t>ligji.</w:t>
      </w:r>
    </w:p>
    <w:p>
      <w:pPr>
        <w:pStyle w:val="ListParagraph"/>
        <w:numPr>
          <w:ilvl w:val="0"/>
          <w:numId w:val="246"/>
        </w:numPr>
        <w:tabs>
          <w:tab w:pos="1061" w:val="left" w:leader="none"/>
        </w:tabs>
        <w:spacing w:line="240" w:lineRule="auto" w:before="0" w:after="0"/>
        <w:ind w:left="119" w:right="114" w:firstLine="720"/>
        <w:jc w:val="both"/>
        <w:rPr>
          <w:sz w:val="22"/>
        </w:rPr>
      </w:pPr>
      <w:r>
        <w:rPr>
          <w:sz w:val="22"/>
        </w:rPr>
        <w:t>Licencat për transmetim televiziv, të dhëna sipas ligjit nr. 8410, date 30.9.1998 “Për radion dhe televizionin publik e privat në Republikën e Shqipërisë”, të ndryshuar, zëvendësohen me licenca për transmetime audiovizive, sipas përcaktimeve të këtij ligji. Zëvendësimi i licencave ekzistuese kryhet brenda 6 muajve nga data e hyrjes në fuqi të këtij ligji, me afat deri ne përfundimin e transmetimeve analoge.</w:t>
      </w:r>
    </w:p>
    <w:p>
      <w:pPr>
        <w:pStyle w:val="ListParagraph"/>
        <w:numPr>
          <w:ilvl w:val="0"/>
          <w:numId w:val="246"/>
        </w:numPr>
        <w:tabs>
          <w:tab w:pos="1109" w:val="left" w:leader="none"/>
        </w:tabs>
        <w:spacing w:line="240" w:lineRule="auto" w:before="0" w:after="0"/>
        <w:ind w:left="120" w:right="113" w:firstLine="719"/>
        <w:jc w:val="both"/>
        <w:rPr>
          <w:sz w:val="22"/>
        </w:rPr>
      </w:pPr>
      <w:r>
        <w:rPr>
          <w:sz w:val="22"/>
        </w:rPr>
        <w:t>Deri në përfundimin e transmetimeve analoge, transmetimet audiovizive analoge mund të mbështeten në rrjete numerike të ofruara nga zotëruesit e licencave për transmetime televizive numerike, me cilësinë e të licencuarit për shërbimin e programit</w:t>
      </w:r>
      <w:r>
        <w:rPr>
          <w:spacing w:val="-5"/>
          <w:sz w:val="22"/>
        </w:rPr>
        <w:t> </w:t>
      </w:r>
      <w:r>
        <w:rPr>
          <w:sz w:val="22"/>
        </w:rPr>
        <w:t>audioviziv.</w:t>
      </w:r>
    </w:p>
    <w:p>
      <w:pPr>
        <w:pStyle w:val="BodyText"/>
        <w:spacing w:before="9"/>
        <w:ind w:left="0" w:firstLine="0"/>
        <w:rPr>
          <w:sz w:val="21"/>
        </w:rPr>
      </w:pPr>
    </w:p>
    <w:p>
      <w:pPr>
        <w:pStyle w:val="BodyText"/>
        <w:ind w:left="146" w:right="143" w:firstLine="0"/>
        <w:jc w:val="center"/>
      </w:pPr>
      <w:r>
        <w:rPr/>
        <w:t>Neni  139</w:t>
      </w:r>
    </w:p>
    <w:p>
      <w:pPr>
        <w:pStyle w:val="Heading1"/>
        <w:spacing w:before="7"/>
        <w:ind w:left="1835" w:right="1834"/>
      </w:pPr>
      <w:r>
        <w:rPr/>
        <w:t>Licencimi i rrjeteve numerike dhe programeve që mbështeten në to në periudhën transitore</w:t>
      </w:r>
    </w:p>
    <w:p>
      <w:pPr>
        <w:pStyle w:val="BodyText"/>
        <w:spacing w:before="6"/>
        <w:ind w:left="0" w:firstLine="0"/>
        <w:rPr>
          <w:b/>
          <w:sz w:val="21"/>
        </w:rPr>
      </w:pPr>
    </w:p>
    <w:p>
      <w:pPr>
        <w:pStyle w:val="BodyText"/>
        <w:ind w:right="114"/>
        <w:jc w:val="both"/>
      </w:pPr>
      <w:r>
        <w:rPr/>
        <w:t>Pavarësisht nga sa përcaktohet në nenet 70 dhe 71 të këtij ligji, në përputhje me strategjinë për realizimin e kalimit nga transmetimet analoge në transmetimet numerike, të miratuar nga Këshilli i Ministrave, AMA kryen licencimin e rrjeteve numerike private dhe programet që mbështeten në to si më poshtë:</w:t>
      </w:r>
    </w:p>
    <w:p>
      <w:pPr>
        <w:pStyle w:val="ListParagraph"/>
        <w:numPr>
          <w:ilvl w:val="0"/>
          <w:numId w:val="249"/>
        </w:numPr>
        <w:tabs>
          <w:tab w:pos="1062" w:val="left" w:leader="none"/>
        </w:tabs>
        <w:spacing w:line="252" w:lineRule="exact" w:before="0" w:after="0"/>
        <w:ind w:left="1061" w:right="0" w:hanging="222"/>
        <w:jc w:val="both"/>
        <w:rPr>
          <w:sz w:val="22"/>
        </w:rPr>
      </w:pPr>
      <w:r>
        <w:rPr>
          <w:sz w:val="22"/>
        </w:rPr>
        <w:t>Licencat për rrjete kombëtare</w:t>
      </w:r>
      <w:r>
        <w:rPr>
          <w:spacing w:val="1"/>
          <w:sz w:val="22"/>
        </w:rPr>
        <w:t> </w:t>
      </w:r>
      <w:r>
        <w:rPr>
          <w:sz w:val="22"/>
        </w:rPr>
        <w:t>numerike:</w:t>
      </w:r>
    </w:p>
    <w:p>
      <w:pPr>
        <w:pStyle w:val="ListParagraph"/>
        <w:numPr>
          <w:ilvl w:val="0"/>
          <w:numId w:val="250"/>
        </w:numPr>
        <w:tabs>
          <w:tab w:pos="1100" w:val="left" w:leader="none"/>
        </w:tabs>
        <w:spacing w:line="240" w:lineRule="auto" w:before="0" w:after="0"/>
        <w:ind w:left="120" w:right="113" w:firstLine="720"/>
        <w:jc w:val="both"/>
        <w:rPr>
          <w:sz w:val="22"/>
        </w:rPr>
      </w:pPr>
      <w:r>
        <w:rPr>
          <w:sz w:val="22"/>
        </w:rPr>
        <w:t>AMA përcakton numrin e licencave të transmetimeve numerike private kombëtare, rajonale ose lokale dhe rregullat kriteret e licencimit, sipas përcaktimeve në strategjinë e kalimit në transmetimet numerike;</w:t>
      </w:r>
    </w:p>
    <w:p>
      <w:pPr>
        <w:pStyle w:val="ListParagraph"/>
        <w:numPr>
          <w:ilvl w:val="0"/>
          <w:numId w:val="250"/>
        </w:numPr>
        <w:tabs>
          <w:tab w:pos="1083" w:val="left" w:leader="none"/>
        </w:tabs>
        <w:spacing w:line="240" w:lineRule="auto" w:before="0" w:after="0"/>
        <w:ind w:left="119" w:right="113" w:firstLine="720"/>
        <w:jc w:val="both"/>
        <w:rPr>
          <w:sz w:val="22"/>
        </w:rPr>
      </w:pPr>
      <w:r>
        <w:rPr>
          <w:sz w:val="22"/>
        </w:rPr>
        <w:t>AMA, bazuar në zhvillimet e tregut të transmetimeve audiovizive, përcakton operatorët privatë historikë kombëtarë, si dhe operatorët ekzistues, me eksperiencë në transmetimet numerike, që ftohen të marrin pjesë në procedurën e përzgjedhjes, sipas </w:t>
      </w:r>
      <w:r>
        <w:rPr>
          <w:i/>
          <w:sz w:val="22"/>
        </w:rPr>
        <w:t>beauty contest</w:t>
      </w:r>
      <w:r>
        <w:rPr>
          <w:sz w:val="22"/>
        </w:rPr>
        <w:t>-it për rrjetet numerike kombëtare. AMA, brenda tre muajve nga hyrja në fuqi e këtij ligji, bën njoftimin publik dhe fton operatorët për të marrë pjesë në procesin e</w:t>
      </w:r>
      <w:r>
        <w:rPr>
          <w:spacing w:val="-1"/>
          <w:sz w:val="22"/>
        </w:rPr>
        <w:t> </w:t>
      </w:r>
      <w:r>
        <w:rPr>
          <w:sz w:val="22"/>
        </w:rPr>
        <w:t>përzgjedhjes;</w:t>
      </w:r>
    </w:p>
    <w:p>
      <w:pPr>
        <w:pStyle w:val="ListParagraph"/>
        <w:numPr>
          <w:ilvl w:val="0"/>
          <w:numId w:val="250"/>
        </w:numPr>
        <w:tabs>
          <w:tab w:pos="1090" w:val="left" w:leader="none"/>
        </w:tabs>
        <w:spacing w:line="240" w:lineRule="auto" w:before="0" w:after="0"/>
        <w:ind w:left="119" w:right="117" w:firstLine="720"/>
        <w:jc w:val="both"/>
        <w:rPr>
          <w:sz w:val="22"/>
        </w:rPr>
      </w:pPr>
      <w:r>
        <w:rPr>
          <w:sz w:val="22"/>
        </w:rPr>
        <w:t>aplikantët që marrin pjesë në procedurën e përzgjedhjes, sipas shkronjës b të pikës 1 të këtij neni, duhet të përmbushin kushtet e</w:t>
      </w:r>
      <w:r>
        <w:rPr>
          <w:spacing w:val="1"/>
          <w:sz w:val="22"/>
        </w:rPr>
        <w:t> </w:t>
      </w:r>
      <w:r>
        <w:rPr>
          <w:sz w:val="22"/>
        </w:rPr>
        <w:t>mëposhtme:</w:t>
      </w:r>
    </w:p>
    <w:p>
      <w:pPr>
        <w:pStyle w:val="ListParagraph"/>
        <w:numPr>
          <w:ilvl w:val="0"/>
          <w:numId w:val="251"/>
        </w:numPr>
        <w:tabs>
          <w:tab w:pos="1049" w:val="left" w:leader="none"/>
        </w:tabs>
        <w:spacing w:line="240" w:lineRule="auto" w:before="0" w:after="0"/>
        <w:ind w:left="119" w:right="116" w:firstLine="720"/>
        <w:jc w:val="both"/>
        <w:rPr>
          <w:sz w:val="22"/>
        </w:rPr>
      </w:pPr>
      <w:r>
        <w:rPr>
          <w:sz w:val="22"/>
        </w:rPr>
        <w:t>lirimin e frekuencave të zëna arbitrarisht, nëse operojnë në kushte të tilla, dhe të migrojnë </w:t>
      </w:r>
      <w:r>
        <w:rPr>
          <w:spacing w:val="-3"/>
          <w:sz w:val="22"/>
        </w:rPr>
        <w:t>në </w:t>
      </w:r>
      <w:r>
        <w:rPr>
          <w:sz w:val="22"/>
        </w:rPr>
        <w:t>frekuencat e përcaktuara në Planin Numerik (GE 06), sipas specifikimeve të AMA-s, brenda një kohe të përcaktuar në licencë;</w:t>
      </w:r>
    </w:p>
    <w:p>
      <w:pPr>
        <w:pStyle w:val="ListParagraph"/>
        <w:numPr>
          <w:ilvl w:val="0"/>
          <w:numId w:val="251"/>
        </w:numPr>
        <w:tabs>
          <w:tab w:pos="1119" w:val="left" w:leader="none"/>
        </w:tabs>
        <w:spacing w:line="240" w:lineRule="auto" w:before="0" w:after="0"/>
        <w:ind w:left="119" w:right="115" w:firstLine="720"/>
        <w:jc w:val="both"/>
        <w:rPr>
          <w:sz w:val="22"/>
        </w:rPr>
      </w:pPr>
      <w:r>
        <w:rPr>
          <w:sz w:val="22"/>
        </w:rPr>
        <w:t>secili operator licencohet për një rrjet kombëtar numerik DVB-T2 me standard kompresioni MPEG-4. Në licencë vendosen afate të përcaktuara kohore për kalimin në DVB-T2 dhe MPEG-4, por jo më shumë se tre vjet nga momenti i</w:t>
      </w:r>
      <w:r>
        <w:rPr>
          <w:spacing w:val="-4"/>
          <w:sz w:val="22"/>
        </w:rPr>
        <w:t> </w:t>
      </w:r>
      <w:r>
        <w:rPr>
          <w:sz w:val="22"/>
        </w:rPr>
        <w:t>licencimit;</w:t>
      </w:r>
    </w:p>
    <w:p>
      <w:pPr>
        <w:pStyle w:val="ListParagraph"/>
        <w:numPr>
          <w:ilvl w:val="0"/>
          <w:numId w:val="251"/>
        </w:numPr>
        <w:tabs>
          <w:tab w:pos="1167" w:val="left" w:leader="none"/>
        </w:tabs>
        <w:spacing w:line="240" w:lineRule="auto" w:before="0" w:after="0"/>
        <w:ind w:left="119" w:right="114" w:firstLine="720"/>
        <w:jc w:val="both"/>
        <w:rPr>
          <w:sz w:val="22"/>
        </w:rPr>
      </w:pPr>
      <w:r>
        <w:rPr>
          <w:sz w:val="22"/>
        </w:rPr>
        <w:t>mbështetjen e rrjeteve të operatorëve vendorë për programet, sipas përcaktimeve në nenin 63 të këtij ligji, si dhe për</w:t>
      </w:r>
      <w:r>
        <w:rPr>
          <w:spacing w:val="-7"/>
          <w:sz w:val="22"/>
        </w:rPr>
        <w:t> </w:t>
      </w:r>
      <w:r>
        <w:rPr>
          <w:sz w:val="22"/>
        </w:rPr>
        <w:t>bashkëpërdorimin;</w:t>
      </w:r>
    </w:p>
    <w:p>
      <w:pPr>
        <w:pStyle w:val="ListParagraph"/>
        <w:numPr>
          <w:ilvl w:val="0"/>
          <w:numId w:val="251"/>
        </w:numPr>
        <w:tabs>
          <w:tab w:pos="1140" w:val="left" w:leader="none"/>
        </w:tabs>
        <w:spacing w:line="251" w:lineRule="exact" w:before="0" w:after="0"/>
        <w:ind w:left="1139" w:right="0" w:hanging="301"/>
        <w:jc w:val="both"/>
        <w:rPr>
          <w:sz w:val="22"/>
        </w:rPr>
      </w:pPr>
      <w:r>
        <w:rPr>
          <w:sz w:val="22"/>
        </w:rPr>
        <w:t>sigurimin e aksesit të barabartë, mosdiskriminimin dhe</w:t>
      </w:r>
      <w:r>
        <w:rPr>
          <w:spacing w:val="-4"/>
          <w:sz w:val="22"/>
        </w:rPr>
        <w:t> </w:t>
      </w:r>
      <w:r>
        <w:rPr>
          <w:sz w:val="22"/>
        </w:rPr>
        <w:t>transparencën;</w:t>
      </w:r>
    </w:p>
    <w:p>
      <w:pPr>
        <w:spacing w:after="0" w:line="251" w:lineRule="exact"/>
        <w:jc w:val="both"/>
        <w:rPr>
          <w:sz w:val="22"/>
        </w:rPr>
        <w:sectPr>
          <w:pgSz w:w="12240" w:h="15840"/>
          <w:pgMar w:top="1360" w:bottom="280" w:left="1320" w:right="1320"/>
        </w:sectPr>
      </w:pPr>
    </w:p>
    <w:p>
      <w:pPr>
        <w:pStyle w:val="ListParagraph"/>
        <w:numPr>
          <w:ilvl w:val="0"/>
          <w:numId w:val="251"/>
        </w:numPr>
        <w:tabs>
          <w:tab w:pos="1114" w:val="left" w:leader="none"/>
        </w:tabs>
        <w:spacing w:line="240" w:lineRule="auto" w:before="74" w:after="0"/>
        <w:ind w:left="120" w:right="116" w:firstLine="720"/>
        <w:jc w:val="left"/>
        <w:rPr>
          <w:sz w:val="22"/>
        </w:rPr>
      </w:pPr>
      <w:r>
        <w:rPr>
          <w:sz w:val="22"/>
        </w:rPr>
        <w:t>standardizimin e sistemeve të aksesit të kufizuar për mbrojtjen nga programet me karakter dëmtues për të</w:t>
      </w:r>
      <w:r>
        <w:rPr>
          <w:spacing w:val="-2"/>
          <w:sz w:val="22"/>
        </w:rPr>
        <w:t> </w:t>
      </w:r>
      <w:r>
        <w:rPr>
          <w:sz w:val="22"/>
        </w:rPr>
        <w:t>miturit;</w:t>
      </w:r>
    </w:p>
    <w:p>
      <w:pPr>
        <w:pStyle w:val="ListParagraph"/>
        <w:numPr>
          <w:ilvl w:val="0"/>
          <w:numId w:val="251"/>
        </w:numPr>
        <w:tabs>
          <w:tab w:pos="1141" w:val="left" w:leader="none"/>
        </w:tabs>
        <w:spacing w:line="252" w:lineRule="exact" w:before="0" w:after="0"/>
        <w:ind w:left="1140" w:right="0" w:hanging="301"/>
        <w:jc w:val="left"/>
        <w:rPr>
          <w:sz w:val="22"/>
        </w:rPr>
      </w:pPr>
      <w:r>
        <w:rPr>
          <w:sz w:val="22"/>
        </w:rPr>
        <w:t>aplikimin e shërbimeve të reja dhe</w:t>
      </w:r>
      <w:r>
        <w:rPr>
          <w:spacing w:val="-3"/>
          <w:sz w:val="22"/>
        </w:rPr>
        <w:t> </w:t>
      </w:r>
      <w:r>
        <w:rPr>
          <w:sz w:val="22"/>
        </w:rPr>
        <w:t>interaktive.</w:t>
      </w:r>
    </w:p>
    <w:p>
      <w:pPr>
        <w:pStyle w:val="ListParagraph"/>
        <w:numPr>
          <w:ilvl w:val="0"/>
          <w:numId w:val="249"/>
        </w:numPr>
        <w:tabs>
          <w:tab w:pos="1061" w:val="left" w:leader="none"/>
        </w:tabs>
        <w:spacing w:line="252" w:lineRule="exact" w:before="0" w:after="0"/>
        <w:ind w:left="1060" w:right="0" w:hanging="221"/>
        <w:jc w:val="left"/>
        <w:rPr>
          <w:sz w:val="22"/>
        </w:rPr>
      </w:pPr>
      <w:r>
        <w:rPr>
          <w:sz w:val="22"/>
        </w:rPr>
        <w:t>I licencuari për rrjetet numerike i nënshtrohet të gjitha kërkesave të përcaktuara në këtë</w:t>
      </w:r>
      <w:r>
        <w:rPr>
          <w:spacing w:val="-18"/>
          <w:sz w:val="22"/>
        </w:rPr>
        <w:t> </w:t>
      </w:r>
      <w:r>
        <w:rPr>
          <w:sz w:val="22"/>
        </w:rPr>
        <w:t>ligj.</w:t>
      </w:r>
    </w:p>
    <w:p>
      <w:pPr>
        <w:pStyle w:val="ListParagraph"/>
        <w:numPr>
          <w:ilvl w:val="0"/>
          <w:numId w:val="249"/>
        </w:numPr>
        <w:tabs>
          <w:tab w:pos="1131" w:val="left" w:leader="none"/>
        </w:tabs>
        <w:spacing w:line="240" w:lineRule="auto" w:before="1" w:after="0"/>
        <w:ind w:left="120" w:right="117" w:firstLine="720"/>
        <w:jc w:val="left"/>
        <w:rPr>
          <w:sz w:val="22"/>
        </w:rPr>
      </w:pPr>
      <w:r>
        <w:rPr>
          <w:sz w:val="22"/>
        </w:rPr>
        <w:t>Programet analoge kombëtare ekzistuese vazhdojnë të transmetohen hapur edhe pasi të mbështeten në platformat</w:t>
      </w:r>
      <w:r>
        <w:rPr>
          <w:spacing w:val="-3"/>
          <w:sz w:val="22"/>
        </w:rPr>
        <w:t> </w:t>
      </w:r>
      <w:r>
        <w:rPr>
          <w:sz w:val="22"/>
        </w:rPr>
        <w:t>numerike.</w:t>
      </w:r>
    </w:p>
    <w:p>
      <w:pPr>
        <w:pStyle w:val="ListParagraph"/>
        <w:numPr>
          <w:ilvl w:val="0"/>
          <w:numId w:val="249"/>
        </w:numPr>
        <w:tabs>
          <w:tab w:pos="1061" w:val="left" w:leader="none"/>
        </w:tabs>
        <w:spacing w:line="251" w:lineRule="exact" w:before="0" w:after="0"/>
        <w:ind w:left="1060" w:right="0" w:hanging="221"/>
        <w:jc w:val="left"/>
        <w:rPr>
          <w:sz w:val="22"/>
        </w:rPr>
      </w:pPr>
      <w:r>
        <w:rPr>
          <w:sz w:val="22"/>
        </w:rPr>
        <w:t>Licencimi për rrjete lokale ose rajonale numerike bëhet sipas procedurës së</w:t>
      </w:r>
      <w:r>
        <w:rPr>
          <w:spacing w:val="-9"/>
          <w:sz w:val="22"/>
        </w:rPr>
        <w:t> </w:t>
      </w:r>
      <w:r>
        <w:rPr>
          <w:sz w:val="22"/>
        </w:rPr>
        <w:t>mëposhtme:</w:t>
      </w:r>
    </w:p>
    <w:p>
      <w:pPr>
        <w:pStyle w:val="ListParagraph"/>
        <w:numPr>
          <w:ilvl w:val="0"/>
          <w:numId w:val="252"/>
        </w:numPr>
        <w:tabs>
          <w:tab w:pos="1069" w:val="left" w:leader="none"/>
        </w:tabs>
        <w:spacing w:line="252" w:lineRule="exact" w:before="2" w:after="0"/>
        <w:ind w:left="1068" w:right="0" w:hanging="229"/>
        <w:jc w:val="left"/>
        <w:rPr>
          <w:sz w:val="22"/>
        </w:rPr>
      </w:pPr>
      <w:r>
        <w:rPr>
          <w:sz w:val="22"/>
        </w:rPr>
        <w:t>të gjithë operatorët vendorë analogë ekzistues kanë të</w:t>
      </w:r>
      <w:r>
        <w:rPr>
          <w:spacing w:val="-3"/>
          <w:sz w:val="22"/>
        </w:rPr>
        <w:t> </w:t>
      </w:r>
      <w:r>
        <w:rPr>
          <w:sz w:val="22"/>
        </w:rPr>
        <w:t>drejtë:</w:t>
      </w:r>
    </w:p>
    <w:p>
      <w:pPr>
        <w:pStyle w:val="ListParagraph"/>
        <w:numPr>
          <w:ilvl w:val="0"/>
          <w:numId w:val="253"/>
        </w:numPr>
        <w:tabs>
          <w:tab w:pos="1057" w:val="left" w:leader="none"/>
          <w:tab w:pos="7473" w:val="left" w:leader="none"/>
        </w:tabs>
        <w:spacing w:line="240" w:lineRule="auto" w:before="0" w:after="0"/>
        <w:ind w:left="120" w:right="112" w:firstLine="720"/>
        <w:jc w:val="left"/>
        <w:rPr>
          <w:sz w:val="22"/>
        </w:rPr>
      </w:pPr>
      <w:r>
        <w:rPr>
          <w:sz w:val="22"/>
        </w:rPr>
        <w:t>të</w:t>
      </w:r>
      <w:r>
        <w:rPr>
          <w:spacing w:val="25"/>
          <w:sz w:val="22"/>
        </w:rPr>
        <w:t> </w:t>
      </w:r>
      <w:r>
        <w:rPr>
          <w:sz w:val="22"/>
        </w:rPr>
        <w:t>kërkojnë</w:t>
      </w:r>
      <w:r>
        <w:rPr>
          <w:spacing w:val="26"/>
          <w:sz w:val="22"/>
        </w:rPr>
        <w:t> </w:t>
      </w:r>
      <w:r>
        <w:rPr>
          <w:sz w:val="22"/>
        </w:rPr>
        <w:t>mbështetjen</w:t>
      </w:r>
      <w:r>
        <w:rPr>
          <w:spacing w:val="20"/>
          <w:sz w:val="22"/>
        </w:rPr>
        <w:t> </w:t>
      </w:r>
      <w:r>
        <w:rPr>
          <w:sz w:val="22"/>
        </w:rPr>
        <w:t>e</w:t>
      </w:r>
      <w:r>
        <w:rPr>
          <w:spacing w:val="25"/>
          <w:sz w:val="22"/>
        </w:rPr>
        <w:t> </w:t>
      </w:r>
      <w:r>
        <w:rPr>
          <w:sz w:val="22"/>
        </w:rPr>
        <w:t>programeve</w:t>
      </w:r>
      <w:r>
        <w:rPr>
          <w:spacing w:val="26"/>
          <w:sz w:val="22"/>
        </w:rPr>
        <w:t> </w:t>
      </w:r>
      <w:r>
        <w:rPr>
          <w:sz w:val="22"/>
        </w:rPr>
        <w:t>të</w:t>
      </w:r>
      <w:r>
        <w:rPr>
          <w:spacing w:val="26"/>
          <w:sz w:val="22"/>
        </w:rPr>
        <w:t> </w:t>
      </w:r>
      <w:r>
        <w:rPr>
          <w:sz w:val="22"/>
        </w:rPr>
        <w:t>tyre</w:t>
      </w:r>
      <w:r>
        <w:rPr>
          <w:spacing w:val="25"/>
          <w:sz w:val="22"/>
        </w:rPr>
        <w:t> </w:t>
      </w:r>
      <w:r>
        <w:rPr>
          <w:sz w:val="22"/>
        </w:rPr>
        <w:t>në</w:t>
      </w:r>
      <w:r>
        <w:rPr>
          <w:spacing w:val="25"/>
          <w:sz w:val="22"/>
        </w:rPr>
        <w:t> </w:t>
      </w:r>
      <w:r>
        <w:rPr>
          <w:sz w:val="22"/>
        </w:rPr>
        <w:t>rrjetin</w:t>
      </w:r>
      <w:r>
        <w:rPr>
          <w:spacing w:val="25"/>
          <w:sz w:val="22"/>
        </w:rPr>
        <w:t> </w:t>
      </w:r>
      <w:r>
        <w:rPr>
          <w:sz w:val="22"/>
        </w:rPr>
        <w:t>numerik</w:t>
      </w:r>
      <w:r>
        <w:rPr>
          <w:spacing w:val="23"/>
          <w:sz w:val="22"/>
        </w:rPr>
        <w:t> </w:t>
      </w:r>
      <w:r>
        <w:rPr>
          <w:sz w:val="22"/>
        </w:rPr>
        <w:t>të</w:t>
        <w:tab/>
        <w:t>televizionit publik </w:t>
      </w:r>
      <w:r>
        <w:rPr>
          <w:spacing w:val="-4"/>
          <w:sz w:val="22"/>
        </w:rPr>
        <w:t>ose </w:t>
      </w:r>
      <w:r>
        <w:rPr>
          <w:sz w:val="22"/>
        </w:rPr>
        <w:t>rrjetet e tjera numerike, të licencuara sipas këtij</w:t>
      </w:r>
      <w:r>
        <w:rPr>
          <w:spacing w:val="-7"/>
          <w:sz w:val="22"/>
        </w:rPr>
        <w:t> </w:t>
      </w:r>
      <w:r>
        <w:rPr>
          <w:sz w:val="22"/>
        </w:rPr>
        <w:t>ligji;</w:t>
      </w:r>
    </w:p>
    <w:p>
      <w:pPr>
        <w:pStyle w:val="BodyText"/>
        <w:spacing w:before="10"/>
        <w:ind w:left="0" w:firstLine="0"/>
        <w:rPr>
          <w:sz w:val="21"/>
        </w:rPr>
      </w:pPr>
    </w:p>
    <w:p>
      <w:pPr>
        <w:pStyle w:val="ListParagraph"/>
        <w:numPr>
          <w:ilvl w:val="0"/>
          <w:numId w:val="253"/>
        </w:numPr>
        <w:tabs>
          <w:tab w:pos="1093" w:val="left" w:leader="none"/>
        </w:tabs>
        <w:spacing w:line="240" w:lineRule="auto" w:before="0" w:after="0"/>
        <w:ind w:left="120" w:right="113" w:firstLine="720"/>
        <w:jc w:val="both"/>
        <w:rPr>
          <w:sz w:val="22"/>
        </w:rPr>
      </w:pPr>
      <w:r>
        <w:rPr>
          <w:sz w:val="22"/>
        </w:rPr>
        <w:t>të aplikojnë bashkërisht për një licencë rrjeti numerik vendor brenda një zone të planifikuar për t’u mbuluar nga një rrjet SFN, sipas planit të frekuencave</w:t>
      </w:r>
      <w:r>
        <w:rPr>
          <w:spacing w:val="-3"/>
          <w:sz w:val="22"/>
        </w:rPr>
        <w:t> </w:t>
      </w:r>
      <w:r>
        <w:rPr>
          <w:sz w:val="22"/>
        </w:rPr>
        <w:t>numerike;</w:t>
      </w:r>
    </w:p>
    <w:p>
      <w:pPr>
        <w:pStyle w:val="ListParagraph"/>
        <w:numPr>
          <w:ilvl w:val="0"/>
          <w:numId w:val="253"/>
        </w:numPr>
        <w:tabs>
          <w:tab w:pos="1165" w:val="left" w:leader="none"/>
        </w:tabs>
        <w:spacing w:line="240" w:lineRule="auto" w:before="0" w:after="0"/>
        <w:ind w:left="120" w:right="115" w:firstLine="720"/>
        <w:jc w:val="both"/>
        <w:rPr>
          <w:sz w:val="22"/>
        </w:rPr>
      </w:pPr>
      <w:r>
        <w:rPr>
          <w:sz w:val="22"/>
        </w:rPr>
        <w:t>të marrin pjesë në garën e organizuar nga AMA për licencë për rrjetin numerik vendor, sipas përcaktimeve të këtij ligji;</w:t>
      </w:r>
    </w:p>
    <w:p>
      <w:pPr>
        <w:pStyle w:val="ListParagraph"/>
        <w:numPr>
          <w:ilvl w:val="0"/>
          <w:numId w:val="252"/>
        </w:numPr>
        <w:tabs>
          <w:tab w:pos="1086" w:val="left" w:leader="none"/>
        </w:tabs>
        <w:spacing w:line="240" w:lineRule="auto" w:before="1" w:after="0"/>
        <w:ind w:left="120" w:right="113" w:firstLine="719"/>
        <w:jc w:val="both"/>
        <w:rPr>
          <w:sz w:val="22"/>
        </w:rPr>
      </w:pPr>
      <w:r>
        <w:rPr>
          <w:sz w:val="22"/>
        </w:rPr>
        <w:t>brenda tre muajve nga hyrja në fuqi e këtij ligji, çdo operator analog njofton me shkrim AMA- n për mënyrën e mbështetjes së programeve të tij në rrjetet numerike, sipas përcaktimeve në shkronjën  “a” të pikës 4 të këtij</w:t>
      </w:r>
      <w:r>
        <w:rPr>
          <w:spacing w:val="-2"/>
          <w:sz w:val="22"/>
        </w:rPr>
        <w:t> </w:t>
      </w:r>
      <w:r>
        <w:rPr>
          <w:sz w:val="22"/>
        </w:rPr>
        <w:t>neni;</w:t>
      </w:r>
    </w:p>
    <w:p>
      <w:pPr>
        <w:pStyle w:val="ListParagraph"/>
        <w:numPr>
          <w:ilvl w:val="0"/>
          <w:numId w:val="252"/>
        </w:numPr>
        <w:tabs>
          <w:tab w:pos="1112" w:val="left" w:leader="none"/>
        </w:tabs>
        <w:spacing w:line="240" w:lineRule="auto" w:before="0" w:after="0"/>
        <w:ind w:left="120" w:right="114" w:firstLine="720"/>
        <w:jc w:val="both"/>
        <w:rPr>
          <w:sz w:val="22"/>
        </w:rPr>
      </w:pPr>
      <w:r>
        <w:rPr>
          <w:sz w:val="22"/>
        </w:rPr>
        <w:t>AMA fton, brenda tre muajve nga hyrja në fuqi e këtij ligji, të gjithë operatorët vendorë analogë ekzistues, që operojnë brenda një zone të planifikuar, për t’u mbuluar nga një rrjet SFN DVB-T2 me standard kompresioni MPEG-4, sipas planit të frekuencave numerike, të aplikojnë për të zotëruar bashkërisht një rrjet numerik vendor pa kaluar në procesin e konkurrimit, duke përcaktuar dhe afatin përfundimtar për paraqitjen e marrëveshjes së</w:t>
      </w:r>
      <w:r>
        <w:rPr>
          <w:spacing w:val="-8"/>
          <w:sz w:val="22"/>
        </w:rPr>
        <w:t> </w:t>
      </w:r>
      <w:r>
        <w:rPr>
          <w:sz w:val="22"/>
        </w:rPr>
        <w:t>përbashkët;</w:t>
      </w:r>
    </w:p>
    <w:p>
      <w:pPr>
        <w:pStyle w:val="BodyText"/>
        <w:ind w:right="113"/>
        <w:jc w:val="both"/>
      </w:pPr>
      <w:r>
        <w:rPr/>
        <w:t>ç) nëse marrëveshja për ndërtimin e përbashkët të rrjetit numerik nuk arrihet prej të paktën 70 për qind e operatorëve ekzistues analogë, sipas shkronjës “c” të pikës 4 të këtij neni, AMA shpall konkurrimin për licencimin e rrjetit numerik lokal në zonën përkatëse, sipas përcaktimeve të nenit 70 të këtij ligji;</w:t>
      </w:r>
    </w:p>
    <w:p>
      <w:pPr>
        <w:pStyle w:val="ListParagraph"/>
        <w:numPr>
          <w:ilvl w:val="0"/>
          <w:numId w:val="252"/>
        </w:numPr>
        <w:tabs>
          <w:tab w:pos="1124" w:val="left" w:leader="none"/>
        </w:tabs>
        <w:spacing w:line="240" w:lineRule="auto" w:before="0" w:after="0"/>
        <w:ind w:left="120" w:right="112" w:firstLine="720"/>
        <w:jc w:val="both"/>
        <w:rPr>
          <w:sz w:val="22"/>
        </w:rPr>
      </w:pPr>
      <w:r>
        <w:rPr>
          <w:sz w:val="22"/>
        </w:rPr>
        <w:t>AMA, në licencimin e rrjeteve numerike, siguron vazhdimësinë e operimit të operatorëve ekzistues analogë në zonat respektive të mbulimit, sipas të paktën një prej mënyrave të përcaktuara në pikën 4 shkronja “a” të këtij neni, si dhe lirimin e brezit të dividentit</w:t>
      </w:r>
      <w:r>
        <w:rPr>
          <w:spacing w:val="-4"/>
          <w:sz w:val="22"/>
        </w:rPr>
        <w:t> </w:t>
      </w:r>
      <w:r>
        <w:rPr>
          <w:sz w:val="22"/>
        </w:rPr>
        <w:t>digjital;</w:t>
      </w:r>
    </w:p>
    <w:p>
      <w:pPr>
        <w:pStyle w:val="BodyText"/>
        <w:ind w:right="114"/>
        <w:jc w:val="both"/>
      </w:pPr>
      <w:r>
        <w:rPr/>
        <w:t>dh) nëse zona ekzistuese e mbulimit të një operatori vendor ose rajonal analog i tejkalon përmasat e një zone të planifikuar për t’u mbuluar nga një rrjet SFN, ky operator ka të drejtë të  zotërojë, bashkërisht me operatorët e tjerë, jo më shumë se katër rrjete numerike vendore, me kusht që kjo të mos jetë në kundërshtim me kërkesat e nenit 63 të këtij</w:t>
      </w:r>
      <w:r>
        <w:rPr>
          <w:spacing w:val="-3"/>
        </w:rPr>
        <w:t> </w:t>
      </w:r>
      <w:r>
        <w:rPr/>
        <w:t>ligji.</w:t>
      </w:r>
    </w:p>
    <w:p>
      <w:pPr>
        <w:pStyle w:val="ListParagraph"/>
        <w:numPr>
          <w:ilvl w:val="0"/>
          <w:numId w:val="249"/>
        </w:numPr>
        <w:tabs>
          <w:tab w:pos="1150" w:val="left" w:leader="none"/>
        </w:tabs>
        <w:spacing w:line="240" w:lineRule="auto" w:before="0" w:after="0"/>
        <w:ind w:left="120" w:right="115" w:firstLine="720"/>
        <w:jc w:val="left"/>
        <w:rPr>
          <w:sz w:val="22"/>
        </w:rPr>
      </w:pPr>
      <w:r>
        <w:rPr>
          <w:sz w:val="22"/>
        </w:rPr>
        <w:t>Programet analoge vendore ekzistuese vazhdojnë të transmetohen hapur edhe pasi të mbështeten në platformat</w:t>
      </w:r>
      <w:r>
        <w:rPr>
          <w:spacing w:val="-3"/>
          <w:sz w:val="22"/>
        </w:rPr>
        <w:t> </w:t>
      </w:r>
      <w:r>
        <w:rPr>
          <w:sz w:val="22"/>
        </w:rPr>
        <w:t>numerike.</w:t>
      </w:r>
    </w:p>
    <w:p>
      <w:pPr>
        <w:pStyle w:val="ListParagraph"/>
        <w:numPr>
          <w:ilvl w:val="0"/>
          <w:numId w:val="249"/>
        </w:numPr>
        <w:tabs>
          <w:tab w:pos="1102" w:val="left" w:leader="none"/>
        </w:tabs>
        <w:spacing w:line="240" w:lineRule="auto" w:before="0" w:after="0"/>
        <w:ind w:left="120" w:right="112" w:firstLine="720"/>
        <w:jc w:val="left"/>
        <w:rPr>
          <w:sz w:val="22"/>
        </w:rPr>
      </w:pPr>
      <w:r>
        <w:rPr>
          <w:sz w:val="22"/>
        </w:rPr>
        <w:t>Licencat e rrjetit numerik jepen nga AMA në frekuencat e planit numerik të frekuencave, përveç frekuencave të dividentit</w:t>
      </w:r>
      <w:r>
        <w:rPr>
          <w:spacing w:val="-2"/>
          <w:sz w:val="22"/>
        </w:rPr>
        <w:t> </w:t>
      </w:r>
      <w:r>
        <w:rPr>
          <w:sz w:val="22"/>
        </w:rPr>
        <w:t>digjital.</w:t>
      </w:r>
    </w:p>
    <w:p>
      <w:pPr>
        <w:pStyle w:val="ListParagraph"/>
        <w:numPr>
          <w:ilvl w:val="0"/>
          <w:numId w:val="249"/>
        </w:numPr>
        <w:tabs>
          <w:tab w:pos="1083" w:val="left" w:leader="none"/>
        </w:tabs>
        <w:spacing w:line="242" w:lineRule="auto" w:before="0" w:after="0"/>
        <w:ind w:left="120" w:right="113" w:firstLine="720"/>
        <w:jc w:val="left"/>
        <w:rPr>
          <w:sz w:val="22"/>
        </w:rPr>
      </w:pPr>
      <w:r>
        <w:rPr>
          <w:sz w:val="22"/>
        </w:rPr>
        <w:t>Nëse frekuencat e planit numerik janë të zëna nga transmetime analoge ekzistuese, operatori analog ekzistues migron me shpenzimet e tij në frekuencat e tjera që përcaktohen nga</w:t>
      </w:r>
      <w:r>
        <w:rPr>
          <w:spacing w:val="-15"/>
          <w:sz w:val="22"/>
        </w:rPr>
        <w:t> </w:t>
      </w:r>
      <w:r>
        <w:rPr>
          <w:sz w:val="22"/>
        </w:rPr>
        <w:t>AMA.</w:t>
      </w:r>
    </w:p>
    <w:p>
      <w:pPr>
        <w:pStyle w:val="ListParagraph"/>
        <w:numPr>
          <w:ilvl w:val="0"/>
          <w:numId w:val="249"/>
        </w:numPr>
        <w:tabs>
          <w:tab w:pos="1064" w:val="left" w:leader="none"/>
        </w:tabs>
        <w:spacing w:line="242" w:lineRule="auto" w:before="0" w:after="0"/>
        <w:ind w:left="120" w:right="116" w:firstLine="720"/>
        <w:jc w:val="left"/>
        <w:rPr>
          <w:sz w:val="22"/>
        </w:rPr>
      </w:pPr>
      <w:r>
        <w:rPr>
          <w:sz w:val="22"/>
        </w:rPr>
        <w:t>Licencimi, sipas këtij neni, kryhet nga AMA për një periudhë tranzicioni deri në përfundimin e afatit për kalimin e plotë në transmetimet numerike, të përcaktuar në nenin 136 pika 1 të këtij</w:t>
      </w:r>
      <w:r>
        <w:rPr>
          <w:spacing w:val="-14"/>
          <w:sz w:val="22"/>
        </w:rPr>
        <w:t> </w:t>
      </w:r>
      <w:r>
        <w:rPr>
          <w:sz w:val="22"/>
        </w:rPr>
        <w:t>ligji.</w:t>
      </w:r>
    </w:p>
    <w:p>
      <w:pPr>
        <w:pStyle w:val="ListParagraph"/>
        <w:numPr>
          <w:ilvl w:val="0"/>
          <w:numId w:val="249"/>
        </w:numPr>
        <w:tabs>
          <w:tab w:pos="1093" w:val="left" w:leader="none"/>
        </w:tabs>
        <w:spacing w:line="242" w:lineRule="auto" w:before="0" w:after="0"/>
        <w:ind w:left="120" w:right="115" w:firstLine="720"/>
        <w:jc w:val="left"/>
        <w:rPr>
          <w:sz w:val="22"/>
        </w:rPr>
      </w:pPr>
      <w:r>
        <w:rPr>
          <w:sz w:val="22"/>
        </w:rPr>
        <w:t>Me përfundimin e afatit të tranzicionit, AMA kryen licencimin e rrjeteve numerike dhe/ose programeve që mbështeten në to, sipas procedurave të licencimit, të përcaktuara në këtë</w:t>
      </w:r>
      <w:r>
        <w:rPr>
          <w:spacing w:val="-17"/>
          <w:sz w:val="22"/>
        </w:rPr>
        <w:t> </w:t>
      </w:r>
      <w:r>
        <w:rPr>
          <w:sz w:val="22"/>
        </w:rPr>
        <w:t>ligj.</w:t>
      </w:r>
    </w:p>
    <w:p>
      <w:pPr>
        <w:pStyle w:val="BodyText"/>
        <w:spacing w:before="5"/>
        <w:ind w:left="0" w:firstLine="0"/>
        <w:rPr>
          <w:sz w:val="20"/>
        </w:rPr>
      </w:pPr>
    </w:p>
    <w:p>
      <w:pPr>
        <w:pStyle w:val="BodyText"/>
        <w:ind w:left="146" w:right="146" w:firstLine="0"/>
        <w:jc w:val="center"/>
      </w:pPr>
      <w:r>
        <w:rPr/>
        <w:t>Neni 140</w:t>
      </w:r>
    </w:p>
    <w:p>
      <w:pPr>
        <w:pStyle w:val="Heading1"/>
        <w:spacing w:before="6"/>
      </w:pPr>
      <w:r>
        <w:rPr/>
        <w:t>Afati maksimal për lirimin e frekuencave të zëna arbitrarisht</w:t>
      </w:r>
    </w:p>
    <w:p>
      <w:pPr>
        <w:pStyle w:val="BodyText"/>
        <w:spacing w:before="7"/>
        <w:ind w:left="0" w:firstLine="0"/>
        <w:rPr>
          <w:b/>
          <w:sz w:val="21"/>
        </w:rPr>
      </w:pPr>
    </w:p>
    <w:p>
      <w:pPr>
        <w:pStyle w:val="ListParagraph"/>
        <w:numPr>
          <w:ilvl w:val="0"/>
          <w:numId w:val="254"/>
        </w:numPr>
        <w:tabs>
          <w:tab w:pos="1110" w:val="left" w:leader="none"/>
        </w:tabs>
        <w:spacing w:line="240" w:lineRule="auto" w:before="1" w:after="0"/>
        <w:ind w:left="120" w:right="114" w:firstLine="720"/>
        <w:jc w:val="both"/>
        <w:rPr>
          <w:sz w:val="22"/>
        </w:rPr>
      </w:pPr>
      <w:r>
        <w:rPr>
          <w:sz w:val="22"/>
        </w:rPr>
        <w:t>Subjektet, që ushtrojnë veprimtari të palicencuar në transmetimet numerike audio dhe/ose audiovizive, janë të detyruara që, brenda 30 ditëve nga përfundimi i procedurës së licencimit, sipas nenit 139 të këtij ligji, por jo më vonë se 6 muaj nga hyrja në fuqi e këtij ligji, të ndërpresin</w:t>
      </w:r>
      <w:r>
        <w:rPr>
          <w:spacing w:val="-16"/>
          <w:sz w:val="22"/>
        </w:rPr>
        <w:t> </w:t>
      </w:r>
      <w:r>
        <w:rPr>
          <w:sz w:val="22"/>
        </w:rPr>
        <w:t>transmetimin.</w:t>
      </w:r>
    </w:p>
    <w:p>
      <w:pPr>
        <w:spacing w:after="0" w:line="240" w:lineRule="auto"/>
        <w:jc w:val="both"/>
        <w:rPr>
          <w:sz w:val="22"/>
        </w:rPr>
        <w:sectPr>
          <w:pgSz w:w="12240" w:h="15840"/>
          <w:pgMar w:top="1360" w:bottom="280" w:left="1320" w:right="1320"/>
        </w:sectPr>
      </w:pPr>
    </w:p>
    <w:p>
      <w:pPr>
        <w:pStyle w:val="ListParagraph"/>
        <w:numPr>
          <w:ilvl w:val="0"/>
          <w:numId w:val="254"/>
        </w:numPr>
        <w:tabs>
          <w:tab w:pos="1088" w:val="left" w:leader="none"/>
        </w:tabs>
        <w:spacing w:line="240" w:lineRule="auto" w:before="74" w:after="0"/>
        <w:ind w:left="120" w:right="116" w:firstLine="720"/>
        <w:jc w:val="left"/>
        <w:rPr>
          <w:sz w:val="22"/>
        </w:rPr>
      </w:pPr>
      <w:r>
        <w:rPr>
          <w:sz w:val="22"/>
        </w:rPr>
        <w:t>Në rast të mosrespektimit të pikës 1 të këtij neni, AMA zbaton procedurat e përcaktuara në nenin 80 të këtij ligji për bllokimin e pajisjeve dhe lirimin e frekuencave të zëna</w:t>
      </w:r>
      <w:r>
        <w:rPr>
          <w:spacing w:val="-14"/>
          <w:sz w:val="22"/>
        </w:rPr>
        <w:t> </w:t>
      </w:r>
      <w:r>
        <w:rPr>
          <w:sz w:val="22"/>
        </w:rPr>
        <w:t>arbitrarisht.</w:t>
      </w:r>
    </w:p>
    <w:p>
      <w:pPr>
        <w:pStyle w:val="BodyText"/>
        <w:ind w:left="0" w:firstLine="0"/>
        <w:rPr>
          <w:sz w:val="24"/>
        </w:rPr>
      </w:pPr>
    </w:p>
    <w:p>
      <w:pPr>
        <w:pStyle w:val="BodyText"/>
        <w:ind w:left="0" w:firstLine="0"/>
        <w:rPr>
          <w:sz w:val="24"/>
        </w:rPr>
      </w:pPr>
    </w:p>
    <w:p>
      <w:pPr>
        <w:pStyle w:val="BodyText"/>
        <w:spacing w:before="206"/>
        <w:ind w:left="146" w:right="146" w:firstLine="0"/>
        <w:jc w:val="center"/>
      </w:pPr>
      <w:r>
        <w:rPr/>
        <w:t>Neni 141</w:t>
      </w:r>
    </w:p>
    <w:p>
      <w:pPr>
        <w:pStyle w:val="BodyText"/>
        <w:ind w:left="0" w:firstLine="0"/>
      </w:pPr>
    </w:p>
    <w:p>
      <w:pPr>
        <w:pStyle w:val="BodyText"/>
        <w:spacing w:before="1"/>
        <w:ind w:left="119" w:right="116"/>
        <w:jc w:val="both"/>
      </w:pPr>
      <w:r>
        <w:rPr/>
        <w:t>Ngarkohet AMA të nxjerrë aktet nënligjore në zbatim të këtij ligji, brenda 6 muajve nga hyrja e tij në fuqi, me përjashtim të rasteve të përcaktuara ndryshe në këtë</w:t>
      </w:r>
      <w:r>
        <w:rPr>
          <w:spacing w:val="-11"/>
        </w:rPr>
        <w:t> </w:t>
      </w:r>
      <w:r>
        <w:rPr/>
        <w:t>ligj.</w:t>
      </w:r>
    </w:p>
    <w:p>
      <w:pPr>
        <w:pStyle w:val="BodyText"/>
        <w:spacing w:before="10"/>
        <w:ind w:left="0" w:firstLine="0"/>
        <w:rPr>
          <w:sz w:val="21"/>
        </w:rPr>
      </w:pPr>
    </w:p>
    <w:p>
      <w:pPr>
        <w:pStyle w:val="BodyText"/>
        <w:ind w:left="3638" w:right="3312" w:firstLine="638"/>
      </w:pPr>
      <w:r>
        <w:rPr/>
        <w:t>KREU XVI DISPOZITA TË FUNDIT</w:t>
      </w:r>
    </w:p>
    <w:p>
      <w:pPr>
        <w:pStyle w:val="BodyText"/>
        <w:ind w:left="0" w:firstLine="0"/>
      </w:pPr>
    </w:p>
    <w:p>
      <w:pPr>
        <w:pStyle w:val="BodyText"/>
        <w:ind w:left="146" w:right="146" w:firstLine="0"/>
        <w:jc w:val="center"/>
      </w:pPr>
      <w:r>
        <w:rPr/>
        <w:t>Neni 142</w:t>
      </w:r>
    </w:p>
    <w:p>
      <w:pPr>
        <w:pStyle w:val="Heading1"/>
        <w:spacing w:before="6"/>
        <w:ind w:right="147"/>
      </w:pPr>
      <w:r>
        <w:rPr/>
        <w:t>Shfuqizime</w:t>
      </w:r>
    </w:p>
    <w:p>
      <w:pPr>
        <w:pStyle w:val="BodyText"/>
        <w:spacing w:before="7"/>
        <w:ind w:left="0" w:firstLine="0"/>
        <w:rPr>
          <w:b/>
          <w:sz w:val="21"/>
        </w:rPr>
      </w:pPr>
    </w:p>
    <w:p>
      <w:pPr>
        <w:pStyle w:val="BodyText"/>
        <w:ind w:left="119" w:right="113"/>
        <w:jc w:val="both"/>
      </w:pPr>
      <w:r>
        <w:rPr/>
        <w:t>Ligji nr. 8410 datë 30.9.1998 “Për radion dhe televizionin publik e privat në Republikën e Shqipërisë”, i ndryshuar, dhe ligji nr. 9742 datë 28.5.2007 “Për transmetimet numerike në Republikën e Shqipërisë” shfuqizohen.</w:t>
      </w:r>
    </w:p>
    <w:p>
      <w:pPr>
        <w:pStyle w:val="BodyText"/>
        <w:spacing w:before="10"/>
        <w:ind w:left="0" w:firstLine="0"/>
        <w:rPr>
          <w:sz w:val="21"/>
        </w:rPr>
      </w:pPr>
    </w:p>
    <w:p>
      <w:pPr>
        <w:pStyle w:val="BodyText"/>
        <w:ind w:left="146" w:right="145" w:firstLine="0"/>
        <w:jc w:val="center"/>
      </w:pPr>
      <w:r>
        <w:rPr/>
        <w:t>DISPOZITA KALIMTARE ME LIGJIN, ME LIGJIN NR. 22/2016, DATË 10.3.2016</w:t>
      </w:r>
    </w:p>
    <w:p>
      <w:pPr>
        <w:pStyle w:val="BodyText"/>
        <w:spacing w:before="5"/>
        <w:ind w:left="0" w:firstLine="0"/>
      </w:pPr>
    </w:p>
    <w:p>
      <w:pPr>
        <w:pStyle w:val="Heading1"/>
        <w:spacing w:before="0"/>
        <w:ind w:right="147"/>
      </w:pPr>
      <w:r>
        <w:rPr/>
        <w:t>Dispozita kalimtare</w:t>
      </w:r>
    </w:p>
    <w:p>
      <w:pPr>
        <w:pStyle w:val="BodyText"/>
        <w:spacing w:before="7"/>
        <w:ind w:left="0" w:firstLine="0"/>
        <w:rPr>
          <w:b/>
          <w:sz w:val="21"/>
        </w:rPr>
      </w:pPr>
    </w:p>
    <w:p>
      <w:pPr>
        <w:pStyle w:val="BodyText"/>
        <w:ind w:left="119" w:right="116"/>
        <w:jc w:val="both"/>
      </w:pPr>
      <w:r>
        <w:rPr/>
        <w:t>Dispozitat e statutit të RTSH-së për zgjedhjen e Drejtorit të Përgjithshëm të RTSH-së, që bien në kundërshtim me këtë ligj, shfuqizohen.</w:t>
      </w:r>
    </w:p>
    <w:p>
      <w:pPr>
        <w:pStyle w:val="BodyText"/>
        <w:spacing w:before="11"/>
        <w:ind w:left="0" w:firstLine="0"/>
        <w:rPr>
          <w:sz w:val="21"/>
        </w:rPr>
      </w:pPr>
    </w:p>
    <w:p>
      <w:pPr>
        <w:pStyle w:val="BodyText"/>
        <w:ind w:left="146" w:right="146" w:firstLine="0"/>
        <w:jc w:val="center"/>
      </w:pPr>
      <w:r>
        <w:rPr/>
        <w:t>Neni 143</w:t>
      </w:r>
    </w:p>
    <w:p>
      <w:pPr>
        <w:pStyle w:val="Heading1"/>
        <w:ind w:right="147"/>
      </w:pPr>
      <w:r>
        <w:rPr/>
        <w:t>Hyrja në fuqi</w:t>
      </w:r>
    </w:p>
    <w:p>
      <w:pPr>
        <w:pStyle w:val="BodyText"/>
        <w:spacing w:before="7"/>
        <w:ind w:left="0" w:firstLine="0"/>
        <w:rPr>
          <w:b/>
          <w:sz w:val="21"/>
        </w:rPr>
      </w:pPr>
    </w:p>
    <w:p>
      <w:pPr>
        <w:pStyle w:val="BodyText"/>
        <w:spacing w:line="480" w:lineRule="auto"/>
        <w:ind w:left="839" w:right="3559" w:firstLine="0"/>
      </w:pPr>
      <w:r>
        <w:rPr/>
        <w:t>Ky ligj hyn në fuqi 15 ditë pas botimit në Fletoren Zyrtare. Miratuar në datën 4.3.2013</w:t>
      </w:r>
    </w:p>
    <w:p>
      <w:pPr>
        <w:spacing w:before="7"/>
        <w:ind w:left="120" w:right="0" w:firstLine="0"/>
        <w:jc w:val="left"/>
        <w:rPr>
          <w:b/>
          <w:sz w:val="23"/>
        </w:rPr>
      </w:pPr>
      <w:r>
        <w:rPr>
          <w:b/>
          <w:sz w:val="23"/>
        </w:rPr>
        <w:t>Shpallur me dekretin nr. 8061, datë 15.3.2013 të Presidentit të Republikës së Shqipërisë, Bujar Nishani</w:t>
      </w:r>
    </w:p>
    <w:sectPr>
      <w:pgSz w:w="12240" w:h="15840"/>
      <w:pgMar w:top="1360" w:bottom="280" w:left="1320" w:right="13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Tahoma">
    <w:altName w:val="Tahoma"/>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53">
    <w:multiLevelType w:val="hybridMultilevel"/>
    <w:lvl w:ilvl="0">
      <w:start w:val="1"/>
      <w:numFmt w:val="decimal"/>
      <w:lvlText w:val="%1."/>
      <w:lvlJc w:val="left"/>
      <w:pPr>
        <w:ind w:left="120" w:hanging="269"/>
        <w:jc w:val="left"/>
      </w:pPr>
      <w:rPr>
        <w:rFonts w:hint="default" w:ascii="Times New Roman" w:hAnsi="Times New Roman" w:eastAsia="Times New Roman" w:cs="Times New Roman"/>
        <w:w w:val="100"/>
        <w:sz w:val="22"/>
        <w:szCs w:val="22"/>
      </w:rPr>
    </w:lvl>
    <w:lvl w:ilvl="1">
      <w:start w:val="0"/>
      <w:numFmt w:val="bullet"/>
      <w:lvlText w:val="•"/>
      <w:lvlJc w:val="left"/>
      <w:pPr>
        <w:ind w:left="1068" w:hanging="269"/>
      </w:pPr>
      <w:rPr>
        <w:rFonts w:hint="default"/>
      </w:rPr>
    </w:lvl>
    <w:lvl w:ilvl="2">
      <w:start w:val="0"/>
      <w:numFmt w:val="bullet"/>
      <w:lvlText w:val="•"/>
      <w:lvlJc w:val="left"/>
      <w:pPr>
        <w:ind w:left="2016" w:hanging="269"/>
      </w:pPr>
      <w:rPr>
        <w:rFonts w:hint="default"/>
      </w:rPr>
    </w:lvl>
    <w:lvl w:ilvl="3">
      <w:start w:val="0"/>
      <w:numFmt w:val="bullet"/>
      <w:lvlText w:val="•"/>
      <w:lvlJc w:val="left"/>
      <w:pPr>
        <w:ind w:left="2964" w:hanging="269"/>
      </w:pPr>
      <w:rPr>
        <w:rFonts w:hint="default"/>
      </w:rPr>
    </w:lvl>
    <w:lvl w:ilvl="4">
      <w:start w:val="0"/>
      <w:numFmt w:val="bullet"/>
      <w:lvlText w:val="•"/>
      <w:lvlJc w:val="left"/>
      <w:pPr>
        <w:ind w:left="3912" w:hanging="269"/>
      </w:pPr>
      <w:rPr>
        <w:rFonts w:hint="default"/>
      </w:rPr>
    </w:lvl>
    <w:lvl w:ilvl="5">
      <w:start w:val="0"/>
      <w:numFmt w:val="bullet"/>
      <w:lvlText w:val="•"/>
      <w:lvlJc w:val="left"/>
      <w:pPr>
        <w:ind w:left="4860" w:hanging="269"/>
      </w:pPr>
      <w:rPr>
        <w:rFonts w:hint="default"/>
      </w:rPr>
    </w:lvl>
    <w:lvl w:ilvl="6">
      <w:start w:val="0"/>
      <w:numFmt w:val="bullet"/>
      <w:lvlText w:val="•"/>
      <w:lvlJc w:val="left"/>
      <w:pPr>
        <w:ind w:left="5808" w:hanging="269"/>
      </w:pPr>
      <w:rPr>
        <w:rFonts w:hint="default"/>
      </w:rPr>
    </w:lvl>
    <w:lvl w:ilvl="7">
      <w:start w:val="0"/>
      <w:numFmt w:val="bullet"/>
      <w:lvlText w:val="•"/>
      <w:lvlJc w:val="left"/>
      <w:pPr>
        <w:ind w:left="6756" w:hanging="269"/>
      </w:pPr>
      <w:rPr>
        <w:rFonts w:hint="default"/>
      </w:rPr>
    </w:lvl>
    <w:lvl w:ilvl="8">
      <w:start w:val="0"/>
      <w:numFmt w:val="bullet"/>
      <w:lvlText w:val="•"/>
      <w:lvlJc w:val="left"/>
      <w:pPr>
        <w:ind w:left="7704" w:hanging="269"/>
      </w:pPr>
      <w:rPr>
        <w:rFonts w:hint="default"/>
      </w:rPr>
    </w:lvl>
  </w:abstractNum>
  <w:abstractNum w:abstractNumId="252">
    <w:multiLevelType w:val="hybridMultilevel"/>
    <w:lvl w:ilvl="0">
      <w:start w:val="1"/>
      <w:numFmt w:val="lowerRoman"/>
      <w:lvlText w:val="%1)"/>
      <w:lvlJc w:val="left"/>
      <w:pPr>
        <w:ind w:left="120" w:hanging="217"/>
        <w:jc w:val="left"/>
      </w:pPr>
      <w:rPr>
        <w:rFonts w:hint="default" w:ascii="Times New Roman" w:hAnsi="Times New Roman" w:eastAsia="Times New Roman" w:cs="Times New Roman"/>
        <w:spacing w:val="0"/>
        <w:w w:val="100"/>
        <w:sz w:val="22"/>
        <w:szCs w:val="22"/>
      </w:rPr>
    </w:lvl>
    <w:lvl w:ilvl="1">
      <w:start w:val="0"/>
      <w:numFmt w:val="bullet"/>
      <w:lvlText w:val="•"/>
      <w:lvlJc w:val="left"/>
      <w:pPr>
        <w:ind w:left="1068" w:hanging="217"/>
      </w:pPr>
      <w:rPr>
        <w:rFonts w:hint="default"/>
      </w:rPr>
    </w:lvl>
    <w:lvl w:ilvl="2">
      <w:start w:val="0"/>
      <w:numFmt w:val="bullet"/>
      <w:lvlText w:val="•"/>
      <w:lvlJc w:val="left"/>
      <w:pPr>
        <w:ind w:left="2016" w:hanging="217"/>
      </w:pPr>
      <w:rPr>
        <w:rFonts w:hint="default"/>
      </w:rPr>
    </w:lvl>
    <w:lvl w:ilvl="3">
      <w:start w:val="0"/>
      <w:numFmt w:val="bullet"/>
      <w:lvlText w:val="•"/>
      <w:lvlJc w:val="left"/>
      <w:pPr>
        <w:ind w:left="2964" w:hanging="217"/>
      </w:pPr>
      <w:rPr>
        <w:rFonts w:hint="default"/>
      </w:rPr>
    </w:lvl>
    <w:lvl w:ilvl="4">
      <w:start w:val="0"/>
      <w:numFmt w:val="bullet"/>
      <w:lvlText w:val="•"/>
      <w:lvlJc w:val="left"/>
      <w:pPr>
        <w:ind w:left="3912" w:hanging="217"/>
      </w:pPr>
      <w:rPr>
        <w:rFonts w:hint="default"/>
      </w:rPr>
    </w:lvl>
    <w:lvl w:ilvl="5">
      <w:start w:val="0"/>
      <w:numFmt w:val="bullet"/>
      <w:lvlText w:val="•"/>
      <w:lvlJc w:val="left"/>
      <w:pPr>
        <w:ind w:left="4860" w:hanging="217"/>
      </w:pPr>
      <w:rPr>
        <w:rFonts w:hint="default"/>
      </w:rPr>
    </w:lvl>
    <w:lvl w:ilvl="6">
      <w:start w:val="0"/>
      <w:numFmt w:val="bullet"/>
      <w:lvlText w:val="•"/>
      <w:lvlJc w:val="left"/>
      <w:pPr>
        <w:ind w:left="5808" w:hanging="217"/>
      </w:pPr>
      <w:rPr>
        <w:rFonts w:hint="default"/>
      </w:rPr>
    </w:lvl>
    <w:lvl w:ilvl="7">
      <w:start w:val="0"/>
      <w:numFmt w:val="bullet"/>
      <w:lvlText w:val="•"/>
      <w:lvlJc w:val="left"/>
      <w:pPr>
        <w:ind w:left="6756" w:hanging="217"/>
      </w:pPr>
      <w:rPr>
        <w:rFonts w:hint="default"/>
      </w:rPr>
    </w:lvl>
    <w:lvl w:ilvl="8">
      <w:start w:val="0"/>
      <w:numFmt w:val="bullet"/>
      <w:lvlText w:val="•"/>
      <w:lvlJc w:val="left"/>
      <w:pPr>
        <w:ind w:left="7704" w:hanging="217"/>
      </w:pPr>
      <w:rPr>
        <w:rFonts w:hint="default"/>
      </w:rPr>
    </w:lvl>
  </w:abstractNum>
  <w:abstractNum w:abstractNumId="251">
    <w:multiLevelType w:val="hybridMultilevel"/>
    <w:lvl w:ilvl="0">
      <w:start w:val="1"/>
      <w:numFmt w:val="lowerLetter"/>
      <w:lvlText w:val="%1)"/>
      <w:lvlJc w:val="left"/>
      <w:pPr>
        <w:ind w:left="1068" w:hanging="229"/>
        <w:jc w:val="left"/>
      </w:pPr>
      <w:rPr>
        <w:rFonts w:hint="default" w:ascii="Times New Roman" w:hAnsi="Times New Roman" w:eastAsia="Times New Roman" w:cs="Times New Roman"/>
        <w:w w:val="100"/>
        <w:sz w:val="22"/>
        <w:szCs w:val="22"/>
      </w:rPr>
    </w:lvl>
    <w:lvl w:ilvl="1">
      <w:start w:val="0"/>
      <w:numFmt w:val="bullet"/>
      <w:lvlText w:val="•"/>
      <w:lvlJc w:val="left"/>
      <w:pPr>
        <w:ind w:left="1914" w:hanging="229"/>
      </w:pPr>
      <w:rPr>
        <w:rFonts w:hint="default"/>
      </w:rPr>
    </w:lvl>
    <w:lvl w:ilvl="2">
      <w:start w:val="0"/>
      <w:numFmt w:val="bullet"/>
      <w:lvlText w:val="•"/>
      <w:lvlJc w:val="left"/>
      <w:pPr>
        <w:ind w:left="2768" w:hanging="229"/>
      </w:pPr>
      <w:rPr>
        <w:rFonts w:hint="default"/>
      </w:rPr>
    </w:lvl>
    <w:lvl w:ilvl="3">
      <w:start w:val="0"/>
      <w:numFmt w:val="bullet"/>
      <w:lvlText w:val="•"/>
      <w:lvlJc w:val="left"/>
      <w:pPr>
        <w:ind w:left="3622" w:hanging="229"/>
      </w:pPr>
      <w:rPr>
        <w:rFonts w:hint="default"/>
      </w:rPr>
    </w:lvl>
    <w:lvl w:ilvl="4">
      <w:start w:val="0"/>
      <w:numFmt w:val="bullet"/>
      <w:lvlText w:val="•"/>
      <w:lvlJc w:val="left"/>
      <w:pPr>
        <w:ind w:left="4476" w:hanging="229"/>
      </w:pPr>
      <w:rPr>
        <w:rFonts w:hint="default"/>
      </w:rPr>
    </w:lvl>
    <w:lvl w:ilvl="5">
      <w:start w:val="0"/>
      <w:numFmt w:val="bullet"/>
      <w:lvlText w:val="•"/>
      <w:lvlJc w:val="left"/>
      <w:pPr>
        <w:ind w:left="5330" w:hanging="229"/>
      </w:pPr>
      <w:rPr>
        <w:rFonts w:hint="default"/>
      </w:rPr>
    </w:lvl>
    <w:lvl w:ilvl="6">
      <w:start w:val="0"/>
      <w:numFmt w:val="bullet"/>
      <w:lvlText w:val="•"/>
      <w:lvlJc w:val="left"/>
      <w:pPr>
        <w:ind w:left="6184" w:hanging="229"/>
      </w:pPr>
      <w:rPr>
        <w:rFonts w:hint="default"/>
      </w:rPr>
    </w:lvl>
    <w:lvl w:ilvl="7">
      <w:start w:val="0"/>
      <w:numFmt w:val="bullet"/>
      <w:lvlText w:val="•"/>
      <w:lvlJc w:val="left"/>
      <w:pPr>
        <w:ind w:left="7038" w:hanging="229"/>
      </w:pPr>
      <w:rPr>
        <w:rFonts w:hint="default"/>
      </w:rPr>
    </w:lvl>
    <w:lvl w:ilvl="8">
      <w:start w:val="0"/>
      <w:numFmt w:val="bullet"/>
      <w:lvlText w:val="•"/>
      <w:lvlJc w:val="left"/>
      <w:pPr>
        <w:ind w:left="7892" w:hanging="229"/>
      </w:pPr>
      <w:rPr>
        <w:rFonts w:hint="default"/>
      </w:rPr>
    </w:lvl>
  </w:abstractNum>
  <w:abstractNum w:abstractNumId="250">
    <w:multiLevelType w:val="hybridMultilevel"/>
    <w:lvl w:ilvl="0">
      <w:start w:val="1"/>
      <w:numFmt w:val="lowerRoman"/>
      <w:lvlText w:val="%1)"/>
      <w:lvlJc w:val="left"/>
      <w:pPr>
        <w:ind w:left="120" w:hanging="209"/>
        <w:jc w:val="left"/>
      </w:pPr>
      <w:rPr>
        <w:rFonts w:hint="default" w:ascii="Times New Roman" w:hAnsi="Times New Roman" w:eastAsia="Times New Roman" w:cs="Times New Roman"/>
        <w:spacing w:val="0"/>
        <w:w w:val="100"/>
        <w:sz w:val="22"/>
        <w:szCs w:val="22"/>
      </w:rPr>
    </w:lvl>
    <w:lvl w:ilvl="1">
      <w:start w:val="0"/>
      <w:numFmt w:val="bullet"/>
      <w:lvlText w:val="•"/>
      <w:lvlJc w:val="left"/>
      <w:pPr>
        <w:ind w:left="1068" w:hanging="209"/>
      </w:pPr>
      <w:rPr>
        <w:rFonts w:hint="default"/>
      </w:rPr>
    </w:lvl>
    <w:lvl w:ilvl="2">
      <w:start w:val="0"/>
      <w:numFmt w:val="bullet"/>
      <w:lvlText w:val="•"/>
      <w:lvlJc w:val="left"/>
      <w:pPr>
        <w:ind w:left="2016" w:hanging="209"/>
      </w:pPr>
      <w:rPr>
        <w:rFonts w:hint="default"/>
      </w:rPr>
    </w:lvl>
    <w:lvl w:ilvl="3">
      <w:start w:val="0"/>
      <w:numFmt w:val="bullet"/>
      <w:lvlText w:val="•"/>
      <w:lvlJc w:val="left"/>
      <w:pPr>
        <w:ind w:left="2964" w:hanging="209"/>
      </w:pPr>
      <w:rPr>
        <w:rFonts w:hint="default"/>
      </w:rPr>
    </w:lvl>
    <w:lvl w:ilvl="4">
      <w:start w:val="0"/>
      <w:numFmt w:val="bullet"/>
      <w:lvlText w:val="•"/>
      <w:lvlJc w:val="left"/>
      <w:pPr>
        <w:ind w:left="3912" w:hanging="209"/>
      </w:pPr>
      <w:rPr>
        <w:rFonts w:hint="default"/>
      </w:rPr>
    </w:lvl>
    <w:lvl w:ilvl="5">
      <w:start w:val="0"/>
      <w:numFmt w:val="bullet"/>
      <w:lvlText w:val="•"/>
      <w:lvlJc w:val="left"/>
      <w:pPr>
        <w:ind w:left="4860" w:hanging="209"/>
      </w:pPr>
      <w:rPr>
        <w:rFonts w:hint="default"/>
      </w:rPr>
    </w:lvl>
    <w:lvl w:ilvl="6">
      <w:start w:val="0"/>
      <w:numFmt w:val="bullet"/>
      <w:lvlText w:val="•"/>
      <w:lvlJc w:val="left"/>
      <w:pPr>
        <w:ind w:left="5808" w:hanging="209"/>
      </w:pPr>
      <w:rPr>
        <w:rFonts w:hint="default"/>
      </w:rPr>
    </w:lvl>
    <w:lvl w:ilvl="7">
      <w:start w:val="0"/>
      <w:numFmt w:val="bullet"/>
      <w:lvlText w:val="•"/>
      <w:lvlJc w:val="left"/>
      <w:pPr>
        <w:ind w:left="6756" w:hanging="209"/>
      </w:pPr>
      <w:rPr>
        <w:rFonts w:hint="default"/>
      </w:rPr>
    </w:lvl>
    <w:lvl w:ilvl="8">
      <w:start w:val="0"/>
      <w:numFmt w:val="bullet"/>
      <w:lvlText w:val="•"/>
      <w:lvlJc w:val="left"/>
      <w:pPr>
        <w:ind w:left="7704" w:hanging="209"/>
      </w:pPr>
      <w:rPr>
        <w:rFonts w:hint="default"/>
      </w:rPr>
    </w:lvl>
  </w:abstractNum>
  <w:abstractNum w:abstractNumId="249">
    <w:multiLevelType w:val="hybridMultilevel"/>
    <w:lvl w:ilvl="0">
      <w:start w:val="1"/>
      <w:numFmt w:val="lowerLetter"/>
      <w:lvlText w:val="%1)"/>
      <w:lvlJc w:val="left"/>
      <w:pPr>
        <w:ind w:left="120" w:hanging="260"/>
        <w:jc w:val="left"/>
      </w:pPr>
      <w:rPr>
        <w:rFonts w:hint="default" w:ascii="Times New Roman" w:hAnsi="Times New Roman" w:eastAsia="Times New Roman" w:cs="Times New Roman"/>
        <w:w w:val="100"/>
        <w:sz w:val="22"/>
        <w:szCs w:val="22"/>
      </w:rPr>
    </w:lvl>
    <w:lvl w:ilvl="1">
      <w:start w:val="0"/>
      <w:numFmt w:val="bullet"/>
      <w:lvlText w:val="•"/>
      <w:lvlJc w:val="left"/>
      <w:pPr>
        <w:ind w:left="1068" w:hanging="260"/>
      </w:pPr>
      <w:rPr>
        <w:rFonts w:hint="default"/>
      </w:rPr>
    </w:lvl>
    <w:lvl w:ilvl="2">
      <w:start w:val="0"/>
      <w:numFmt w:val="bullet"/>
      <w:lvlText w:val="•"/>
      <w:lvlJc w:val="left"/>
      <w:pPr>
        <w:ind w:left="2016" w:hanging="260"/>
      </w:pPr>
      <w:rPr>
        <w:rFonts w:hint="default"/>
      </w:rPr>
    </w:lvl>
    <w:lvl w:ilvl="3">
      <w:start w:val="0"/>
      <w:numFmt w:val="bullet"/>
      <w:lvlText w:val="•"/>
      <w:lvlJc w:val="left"/>
      <w:pPr>
        <w:ind w:left="2964" w:hanging="260"/>
      </w:pPr>
      <w:rPr>
        <w:rFonts w:hint="default"/>
      </w:rPr>
    </w:lvl>
    <w:lvl w:ilvl="4">
      <w:start w:val="0"/>
      <w:numFmt w:val="bullet"/>
      <w:lvlText w:val="•"/>
      <w:lvlJc w:val="left"/>
      <w:pPr>
        <w:ind w:left="3912" w:hanging="260"/>
      </w:pPr>
      <w:rPr>
        <w:rFonts w:hint="default"/>
      </w:rPr>
    </w:lvl>
    <w:lvl w:ilvl="5">
      <w:start w:val="0"/>
      <w:numFmt w:val="bullet"/>
      <w:lvlText w:val="•"/>
      <w:lvlJc w:val="left"/>
      <w:pPr>
        <w:ind w:left="4860" w:hanging="260"/>
      </w:pPr>
      <w:rPr>
        <w:rFonts w:hint="default"/>
      </w:rPr>
    </w:lvl>
    <w:lvl w:ilvl="6">
      <w:start w:val="0"/>
      <w:numFmt w:val="bullet"/>
      <w:lvlText w:val="•"/>
      <w:lvlJc w:val="left"/>
      <w:pPr>
        <w:ind w:left="5808" w:hanging="260"/>
      </w:pPr>
      <w:rPr>
        <w:rFonts w:hint="default"/>
      </w:rPr>
    </w:lvl>
    <w:lvl w:ilvl="7">
      <w:start w:val="0"/>
      <w:numFmt w:val="bullet"/>
      <w:lvlText w:val="•"/>
      <w:lvlJc w:val="left"/>
      <w:pPr>
        <w:ind w:left="6756" w:hanging="260"/>
      </w:pPr>
      <w:rPr>
        <w:rFonts w:hint="default"/>
      </w:rPr>
    </w:lvl>
    <w:lvl w:ilvl="8">
      <w:start w:val="0"/>
      <w:numFmt w:val="bullet"/>
      <w:lvlText w:val="•"/>
      <w:lvlJc w:val="left"/>
      <w:pPr>
        <w:ind w:left="7704" w:hanging="260"/>
      </w:pPr>
      <w:rPr>
        <w:rFonts w:hint="default"/>
      </w:rPr>
    </w:lvl>
  </w:abstractNum>
  <w:abstractNum w:abstractNumId="248">
    <w:multiLevelType w:val="hybridMultilevel"/>
    <w:lvl w:ilvl="0">
      <w:start w:val="1"/>
      <w:numFmt w:val="decimal"/>
      <w:lvlText w:val="%1."/>
      <w:lvlJc w:val="left"/>
      <w:pPr>
        <w:ind w:left="1061" w:hanging="221"/>
        <w:jc w:val="left"/>
      </w:pPr>
      <w:rPr>
        <w:rFonts w:hint="default" w:ascii="Times New Roman" w:hAnsi="Times New Roman" w:eastAsia="Times New Roman" w:cs="Times New Roman"/>
        <w:w w:val="100"/>
        <w:sz w:val="22"/>
        <w:szCs w:val="22"/>
      </w:rPr>
    </w:lvl>
    <w:lvl w:ilvl="1">
      <w:start w:val="0"/>
      <w:numFmt w:val="bullet"/>
      <w:lvlText w:val="•"/>
      <w:lvlJc w:val="left"/>
      <w:pPr>
        <w:ind w:left="1914" w:hanging="221"/>
      </w:pPr>
      <w:rPr>
        <w:rFonts w:hint="default"/>
      </w:rPr>
    </w:lvl>
    <w:lvl w:ilvl="2">
      <w:start w:val="0"/>
      <w:numFmt w:val="bullet"/>
      <w:lvlText w:val="•"/>
      <w:lvlJc w:val="left"/>
      <w:pPr>
        <w:ind w:left="2768" w:hanging="221"/>
      </w:pPr>
      <w:rPr>
        <w:rFonts w:hint="default"/>
      </w:rPr>
    </w:lvl>
    <w:lvl w:ilvl="3">
      <w:start w:val="0"/>
      <w:numFmt w:val="bullet"/>
      <w:lvlText w:val="•"/>
      <w:lvlJc w:val="left"/>
      <w:pPr>
        <w:ind w:left="3622" w:hanging="221"/>
      </w:pPr>
      <w:rPr>
        <w:rFonts w:hint="default"/>
      </w:rPr>
    </w:lvl>
    <w:lvl w:ilvl="4">
      <w:start w:val="0"/>
      <w:numFmt w:val="bullet"/>
      <w:lvlText w:val="•"/>
      <w:lvlJc w:val="left"/>
      <w:pPr>
        <w:ind w:left="4476" w:hanging="221"/>
      </w:pPr>
      <w:rPr>
        <w:rFonts w:hint="default"/>
      </w:rPr>
    </w:lvl>
    <w:lvl w:ilvl="5">
      <w:start w:val="0"/>
      <w:numFmt w:val="bullet"/>
      <w:lvlText w:val="•"/>
      <w:lvlJc w:val="left"/>
      <w:pPr>
        <w:ind w:left="5330" w:hanging="221"/>
      </w:pPr>
      <w:rPr>
        <w:rFonts w:hint="default"/>
      </w:rPr>
    </w:lvl>
    <w:lvl w:ilvl="6">
      <w:start w:val="0"/>
      <w:numFmt w:val="bullet"/>
      <w:lvlText w:val="•"/>
      <w:lvlJc w:val="left"/>
      <w:pPr>
        <w:ind w:left="6184" w:hanging="221"/>
      </w:pPr>
      <w:rPr>
        <w:rFonts w:hint="default"/>
      </w:rPr>
    </w:lvl>
    <w:lvl w:ilvl="7">
      <w:start w:val="0"/>
      <w:numFmt w:val="bullet"/>
      <w:lvlText w:val="•"/>
      <w:lvlJc w:val="left"/>
      <w:pPr>
        <w:ind w:left="7038" w:hanging="221"/>
      </w:pPr>
      <w:rPr>
        <w:rFonts w:hint="default"/>
      </w:rPr>
    </w:lvl>
    <w:lvl w:ilvl="8">
      <w:start w:val="0"/>
      <w:numFmt w:val="bullet"/>
      <w:lvlText w:val="•"/>
      <w:lvlJc w:val="left"/>
      <w:pPr>
        <w:ind w:left="7892" w:hanging="221"/>
      </w:pPr>
      <w:rPr>
        <w:rFonts w:hint="default"/>
      </w:rPr>
    </w:lvl>
  </w:abstractNum>
  <w:abstractNum w:abstractNumId="247">
    <w:multiLevelType w:val="hybridMultilevel"/>
    <w:lvl w:ilvl="0">
      <w:start w:val="1"/>
      <w:numFmt w:val="lowerLetter"/>
      <w:lvlText w:val="%1)"/>
      <w:lvlJc w:val="left"/>
      <w:pPr>
        <w:ind w:left="120" w:hanging="327"/>
        <w:jc w:val="left"/>
      </w:pPr>
      <w:rPr>
        <w:rFonts w:hint="default" w:ascii="Times New Roman" w:hAnsi="Times New Roman" w:eastAsia="Times New Roman" w:cs="Times New Roman"/>
        <w:w w:val="100"/>
        <w:sz w:val="22"/>
        <w:szCs w:val="22"/>
      </w:rPr>
    </w:lvl>
    <w:lvl w:ilvl="1">
      <w:start w:val="0"/>
      <w:numFmt w:val="bullet"/>
      <w:lvlText w:val="•"/>
      <w:lvlJc w:val="left"/>
      <w:pPr>
        <w:ind w:left="1068" w:hanging="327"/>
      </w:pPr>
      <w:rPr>
        <w:rFonts w:hint="default"/>
      </w:rPr>
    </w:lvl>
    <w:lvl w:ilvl="2">
      <w:start w:val="0"/>
      <w:numFmt w:val="bullet"/>
      <w:lvlText w:val="•"/>
      <w:lvlJc w:val="left"/>
      <w:pPr>
        <w:ind w:left="2016" w:hanging="327"/>
      </w:pPr>
      <w:rPr>
        <w:rFonts w:hint="default"/>
      </w:rPr>
    </w:lvl>
    <w:lvl w:ilvl="3">
      <w:start w:val="0"/>
      <w:numFmt w:val="bullet"/>
      <w:lvlText w:val="•"/>
      <w:lvlJc w:val="left"/>
      <w:pPr>
        <w:ind w:left="2964" w:hanging="327"/>
      </w:pPr>
      <w:rPr>
        <w:rFonts w:hint="default"/>
      </w:rPr>
    </w:lvl>
    <w:lvl w:ilvl="4">
      <w:start w:val="0"/>
      <w:numFmt w:val="bullet"/>
      <w:lvlText w:val="•"/>
      <w:lvlJc w:val="left"/>
      <w:pPr>
        <w:ind w:left="3912" w:hanging="327"/>
      </w:pPr>
      <w:rPr>
        <w:rFonts w:hint="default"/>
      </w:rPr>
    </w:lvl>
    <w:lvl w:ilvl="5">
      <w:start w:val="0"/>
      <w:numFmt w:val="bullet"/>
      <w:lvlText w:val="•"/>
      <w:lvlJc w:val="left"/>
      <w:pPr>
        <w:ind w:left="4860" w:hanging="327"/>
      </w:pPr>
      <w:rPr>
        <w:rFonts w:hint="default"/>
      </w:rPr>
    </w:lvl>
    <w:lvl w:ilvl="6">
      <w:start w:val="0"/>
      <w:numFmt w:val="bullet"/>
      <w:lvlText w:val="•"/>
      <w:lvlJc w:val="left"/>
      <w:pPr>
        <w:ind w:left="5808" w:hanging="327"/>
      </w:pPr>
      <w:rPr>
        <w:rFonts w:hint="default"/>
      </w:rPr>
    </w:lvl>
    <w:lvl w:ilvl="7">
      <w:start w:val="0"/>
      <w:numFmt w:val="bullet"/>
      <w:lvlText w:val="•"/>
      <w:lvlJc w:val="left"/>
      <w:pPr>
        <w:ind w:left="6756" w:hanging="327"/>
      </w:pPr>
      <w:rPr>
        <w:rFonts w:hint="default"/>
      </w:rPr>
    </w:lvl>
    <w:lvl w:ilvl="8">
      <w:start w:val="0"/>
      <w:numFmt w:val="bullet"/>
      <w:lvlText w:val="•"/>
      <w:lvlJc w:val="left"/>
      <w:pPr>
        <w:ind w:left="7704" w:hanging="327"/>
      </w:pPr>
      <w:rPr>
        <w:rFonts w:hint="default"/>
      </w:rPr>
    </w:lvl>
  </w:abstractNum>
  <w:abstractNum w:abstractNumId="246">
    <w:multiLevelType w:val="hybridMultilevel"/>
    <w:lvl w:ilvl="0">
      <w:start w:val="1"/>
      <w:numFmt w:val="lowerLetter"/>
      <w:lvlText w:val="%1)"/>
      <w:lvlJc w:val="left"/>
      <w:pPr>
        <w:ind w:left="120" w:hanging="250"/>
        <w:jc w:val="left"/>
      </w:pPr>
      <w:rPr>
        <w:rFonts w:hint="default" w:ascii="Times New Roman" w:hAnsi="Times New Roman" w:eastAsia="Times New Roman" w:cs="Times New Roman"/>
        <w:w w:val="100"/>
        <w:sz w:val="22"/>
        <w:szCs w:val="22"/>
      </w:rPr>
    </w:lvl>
    <w:lvl w:ilvl="1">
      <w:start w:val="0"/>
      <w:numFmt w:val="bullet"/>
      <w:lvlText w:val="•"/>
      <w:lvlJc w:val="left"/>
      <w:pPr>
        <w:ind w:left="1068" w:hanging="250"/>
      </w:pPr>
      <w:rPr>
        <w:rFonts w:hint="default"/>
      </w:rPr>
    </w:lvl>
    <w:lvl w:ilvl="2">
      <w:start w:val="0"/>
      <w:numFmt w:val="bullet"/>
      <w:lvlText w:val="•"/>
      <w:lvlJc w:val="left"/>
      <w:pPr>
        <w:ind w:left="2016" w:hanging="250"/>
      </w:pPr>
      <w:rPr>
        <w:rFonts w:hint="default"/>
      </w:rPr>
    </w:lvl>
    <w:lvl w:ilvl="3">
      <w:start w:val="0"/>
      <w:numFmt w:val="bullet"/>
      <w:lvlText w:val="•"/>
      <w:lvlJc w:val="left"/>
      <w:pPr>
        <w:ind w:left="2964" w:hanging="250"/>
      </w:pPr>
      <w:rPr>
        <w:rFonts w:hint="default"/>
      </w:rPr>
    </w:lvl>
    <w:lvl w:ilvl="4">
      <w:start w:val="0"/>
      <w:numFmt w:val="bullet"/>
      <w:lvlText w:val="•"/>
      <w:lvlJc w:val="left"/>
      <w:pPr>
        <w:ind w:left="3912" w:hanging="250"/>
      </w:pPr>
      <w:rPr>
        <w:rFonts w:hint="default"/>
      </w:rPr>
    </w:lvl>
    <w:lvl w:ilvl="5">
      <w:start w:val="0"/>
      <w:numFmt w:val="bullet"/>
      <w:lvlText w:val="•"/>
      <w:lvlJc w:val="left"/>
      <w:pPr>
        <w:ind w:left="4860" w:hanging="250"/>
      </w:pPr>
      <w:rPr>
        <w:rFonts w:hint="default"/>
      </w:rPr>
    </w:lvl>
    <w:lvl w:ilvl="6">
      <w:start w:val="0"/>
      <w:numFmt w:val="bullet"/>
      <w:lvlText w:val="•"/>
      <w:lvlJc w:val="left"/>
      <w:pPr>
        <w:ind w:left="5808" w:hanging="250"/>
      </w:pPr>
      <w:rPr>
        <w:rFonts w:hint="default"/>
      </w:rPr>
    </w:lvl>
    <w:lvl w:ilvl="7">
      <w:start w:val="0"/>
      <w:numFmt w:val="bullet"/>
      <w:lvlText w:val="•"/>
      <w:lvlJc w:val="left"/>
      <w:pPr>
        <w:ind w:left="6756" w:hanging="250"/>
      </w:pPr>
      <w:rPr>
        <w:rFonts w:hint="default"/>
      </w:rPr>
    </w:lvl>
    <w:lvl w:ilvl="8">
      <w:start w:val="0"/>
      <w:numFmt w:val="bullet"/>
      <w:lvlText w:val="•"/>
      <w:lvlJc w:val="left"/>
      <w:pPr>
        <w:ind w:left="7704" w:hanging="250"/>
      </w:pPr>
      <w:rPr>
        <w:rFonts w:hint="default"/>
      </w:rPr>
    </w:lvl>
  </w:abstractNum>
  <w:abstractNum w:abstractNumId="245">
    <w:multiLevelType w:val="hybridMultilevel"/>
    <w:lvl w:ilvl="0">
      <w:start w:val="1"/>
      <w:numFmt w:val="decimal"/>
      <w:lvlText w:val="%1."/>
      <w:lvlJc w:val="left"/>
      <w:pPr>
        <w:ind w:left="119" w:hanging="243"/>
        <w:jc w:val="left"/>
      </w:pPr>
      <w:rPr>
        <w:rFonts w:hint="default" w:ascii="Times New Roman" w:hAnsi="Times New Roman" w:eastAsia="Times New Roman" w:cs="Times New Roman"/>
        <w:w w:val="100"/>
        <w:sz w:val="22"/>
        <w:szCs w:val="22"/>
      </w:rPr>
    </w:lvl>
    <w:lvl w:ilvl="1">
      <w:start w:val="0"/>
      <w:numFmt w:val="bullet"/>
      <w:lvlText w:val="•"/>
      <w:lvlJc w:val="left"/>
      <w:pPr>
        <w:ind w:left="1068" w:hanging="243"/>
      </w:pPr>
      <w:rPr>
        <w:rFonts w:hint="default"/>
      </w:rPr>
    </w:lvl>
    <w:lvl w:ilvl="2">
      <w:start w:val="0"/>
      <w:numFmt w:val="bullet"/>
      <w:lvlText w:val="•"/>
      <w:lvlJc w:val="left"/>
      <w:pPr>
        <w:ind w:left="2016" w:hanging="243"/>
      </w:pPr>
      <w:rPr>
        <w:rFonts w:hint="default"/>
      </w:rPr>
    </w:lvl>
    <w:lvl w:ilvl="3">
      <w:start w:val="0"/>
      <w:numFmt w:val="bullet"/>
      <w:lvlText w:val="•"/>
      <w:lvlJc w:val="left"/>
      <w:pPr>
        <w:ind w:left="2964" w:hanging="243"/>
      </w:pPr>
      <w:rPr>
        <w:rFonts w:hint="default"/>
      </w:rPr>
    </w:lvl>
    <w:lvl w:ilvl="4">
      <w:start w:val="0"/>
      <w:numFmt w:val="bullet"/>
      <w:lvlText w:val="•"/>
      <w:lvlJc w:val="left"/>
      <w:pPr>
        <w:ind w:left="3912" w:hanging="243"/>
      </w:pPr>
      <w:rPr>
        <w:rFonts w:hint="default"/>
      </w:rPr>
    </w:lvl>
    <w:lvl w:ilvl="5">
      <w:start w:val="0"/>
      <w:numFmt w:val="bullet"/>
      <w:lvlText w:val="•"/>
      <w:lvlJc w:val="left"/>
      <w:pPr>
        <w:ind w:left="4860" w:hanging="243"/>
      </w:pPr>
      <w:rPr>
        <w:rFonts w:hint="default"/>
      </w:rPr>
    </w:lvl>
    <w:lvl w:ilvl="6">
      <w:start w:val="0"/>
      <w:numFmt w:val="bullet"/>
      <w:lvlText w:val="•"/>
      <w:lvlJc w:val="left"/>
      <w:pPr>
        <w:ind w:left="5808" w:hanging="243"/>
      </w:pPr>
      <w:rPr>
        <w:rFonts w:hint="default"/>
      </w:rPr>
    </w:lvl>
    <w:lvl w:ilvl="7">
      <w:start w:val="0"/>
      <w:numFmt w:val="bullet"/>
      <w:lvlText w:val="•"/>
      <w:lvlJc w:val="left"/>
      <w:pPr>
        <w:ind w:left="6756" w:hanging="243"/>
      </w:pPr>
      <w:rPr>
        <w:rFonts w:hint="default"/>
      </w:rPr>
    </w:lvl>
    <w:lvl w:ilvl="8">
      <w:start w:val="0"/>
      <w:numFmt w:val="bullet"/>
      <w:lvlText w:val="•"/>
      <w:lvlJc w:val="left"/>
      <w:pPr>
        <w:ind w:left="7704" w:hanging="243"/>
      </w:pPr>
      <w:rPr>
        <w:rFonts w:hint="default"/>
      </w:rPr>
    </w:lvl>
  </w:abstractNum>
  <w:abstractNum w:abstractNumId="244">
    <w:multiLevelType w:val="hybridMultilevel"/>
    <w:lvl w:ilvl="0">
      <w:start w:val="1"/>
      <w:numFmt w:val="decimal"/>
      <w:lvlText w:val="%1."/>
      <w:lvlJc w:val="left"/>
      <w:pPr>
        <w:ind w:left="119" w:hanging="233"/>
        <w:jc w:val="left"/>
      </w:pPr>
      <w:rPr>
        <w:rFonts w:hint="default" w:ascii="Times New Roman" w:hAnsi="Times New Roman" w:eastAsia="Times New Roman" w:cs="Times New Roman"/>
        <w:w w:val="100"/>
        <w:sz w:val="22"/>
        <w:szCs w:val="22"/>
      </w:rPr>
    </w:lvl>
    <w:lvl w:ilvl="1">
      <w:start w:val="0"/>
      <w:numFmt w:val="bullet"/>
      <w:lvlText w:val="•"/>
      <w:lvlJc w:val="left"/>
      <w:pPr>
        <w:ind w:left="1068" w:hanging="233"/>
      </w:pPr>
      <w:rPr>
        <w:rFonts w:hint="default"/>
      </w:rPr>
    </w:lvl>
    <w:lvl w:ilvl="2">
      <w:start w:val="0"/>
      <w:numFmt w:val="bullet"/>
      <w:lvlText w:val="•"/>
      <w:lvlJc w:val="left"/>
      <w:pPr>
        <w:ind w:left="2016" w:hanging="233"/>
      </w:pPr>
      <w:rPr>
        <w:rFonts w:hint="default"/>
      </w:rPr>
    </w:lvl>
    <w:lvl w:ilvl="3">
      <w:start w:val="0"/>
      <w:numFmt w:val="bullet"/>
      <w:lvlText w:val="•"/>
      <w:lvlJc w:val="left"/>
      <w:pPr>
        <w:ind w:left="2964" w:hanging="233"/>
      </w:pPr>
      <w:rPr>
        <w:rFonts w:hint="default"/>
      </w:rPr>
    </w:lvl>
    <w:lvl w:ilvl="4">
      <w:start w:val="0"/>
      <w:numFmt w:val="bullet"/>
      <w:lvlText w:val="•"/>
      <w:lvlJc w:val="left"/>
      <w:pPr>
        <w:ind w:left="3912" w:hanging="233"/>
      </w:pPr>
      <w:rPr>
        <w:rFonts w:hint="default"/>
      </w:rPr>
    </w:lvl>
    <w:lvl w:ilvl="5">
      <w:start w:val="0"/>
      <w:numFmt w:val="bullet"/>
      <w:lvlText w:val="•"/>
      <w:lvlJc w:val="left"/>
      <w:pPr>
        <w:ind w:left="4860" w:hanging="233"/>
      </w:pPr>
      <w:rPr>
        <w:rFonts w:hint="default"/>
      </w:rPr>
    </w:lvl>
    <w:lvl w:ilvl="6">
      <w:start w:val="0"/>
      <w:numFmt w:val="bullet"/>
      <w:lvlText w:val="•"/>
      <w:lvlJc w:val="left"/>
      <w:pPr>
        <w:ind w:left="5808" w:hanging="233"/>
      </w:pPr>
      <w:rPr>
        <w:rFonts w:hint="default"/>
      </w:rPr>
    </w:lvl>
    <w:lvl w:ilvl="7">
      <w:start w:val="0"/>
      <w:numFmt w:val="bullet"/>
      <w:lvlText w:val="•"/>
      <w:lvlJc w:val="left"/>
      <w:pPr>
        <w:ind w:left="6756" w:hanging="233"/>
      </w:pPr>
      <w:rPr>
        <w:rFonts w:hint="default"/>
      </w:rPr>
    </w:lvl>
    <w:lvl w:ilvl="8">
      <w:start w:val="0"/>
      <w:numFmt w:val="bullet"/>
      <w:lvlText w:val="•"/>
      <w:lvlJc w:val="left"/>
      <w:pPr>
        <w:ind w:left="7704" w:hanging="233"/>
      </w:pPr>
      <w:rPr>
        <w:rFonts w:hint="default"/>
      </w:rPr>
    </w:lvl>
  </w:abstractNum>
  <w:abstractNum w:abstractNumId="243">
    <w:multiLevelType w:val="hybridMultilevel"/>
    <w:lvl w:ilvl="0">
      <w:start w:val="1"/>
      <w:numFmt w:val="decimal"/>
      <w:lvlText w:val="%1."/>
      <w:lvlJc w:val="left"/>
      <w:pPr>
        <w:ind w:left="345" w:hanging="226"/>
        <w:jc w:val="right"/>
      </w:pPr>
      <w:rPr>
        <w:rFonts w:hint="default" w:ascii="Times New Roman" w:hAnsi="Times New Roman" w:eastAsia="Times New Roman" w:cs="Times New Roman"/>
        <w:w w:val="100"/>
        <w:sz w:val="22"/>
        <w:szCs w:val="22"/>
      </w:rPr>
    </w:lvl>
    <w:lvl w:ilvl="1">
      <w:start w:val="0"/>
      <w:numFmt w:val="bullet"/>
      <w:lvlText w:val="•"/>
      <w:lvlJc w:val="left"/>
      <w:pPr>
        <w:ind w:left="1194" w:hanging="226"/>
      </w:pPr>
      <w:rPr>
        <w:rFonts w:hint="default"/>
      </w:rPr>
    </w:lvl>
    <w:lvl w:ilvl="2">
      <w:start w:val="0"/>
      <w:numFmt w:val="bullet"/>
      <w:lvlText w:val="•"/>
      <w:lvlJc w:val="left"/>
      <w:pPr>
        <w:ind w:left="2048" w:hanging="226"/>
      </w:pPr>
      <w:rPr>
        <w:rFonts w:hint="default"/>
      </w:rPr>
    </w:lvl>
    <w:lvl w:ilvl="3">
      <w:start w:val="0"/>
      <w:numFmt w:val="bullet"/>
      <w:lvlText w:val="•"/>
      <w:lvlJc w:val="left"/>
      <w:pPr>
        <w:ind w:left="2902" w:hanging="226"/>
      </w:pPr>
      <w:rPr>
        <w:rFonts w:hint="default"/>
      </w:rPr>
    </w:lvl>
    <w:lvl w:ilvl="4">
      <w:start w:val="0"/>
      <w:numFmt w:val="bullet"/>
      <w:lvlText w:val="•"/>
      <w:lvlJc w:val="left"/>
      <w:pPr>
        <w:ind w:left="3755" w:hanging="226"/>
      </w:pPr>
      <w:rPr>
        <w:rFonts w:hint="default"/>
      </w:rPr>
    </w:lvl>
    <w:lvl w:ilvl="5">
      <w:start w:val="0"/>
      <w:numFmt w:val="bullet"/>
      <w:lvlText w:val="•"/>
      <w:lvlJc w:val="left"/>
      <w:pPr>
        <w:ind w:left="4609" w:hanging="226"/>
      </w:pPr>
      <w:rPr>
        <w:rFonts w:hint="default"/>
      </w:rPr>
    </w:lvl>
    <w:lvl w:ilvl="6">
      <w:start w:val="0"/>
      <w:numFmt w:val="bullet"/>
      <w:lvlText w:val="•"/>
      <w:lvlJc w:val="left"/>
      <w:pPr>
        <w:ind w:left="5463" w:hanging="226"/>
      </w:pPr>
      <w:rPr>
        <w:rFonts w:hint="default"/>
      </w:rPr>
    </w:lvl>
    <w:lvl w:ilvl="7">
      <w:start w:val="0"/>
      <w:numFmt w:val="bullet"/>
      <w:lvlText w:val="•"/>
      <w:lvlJc w:val="left"/>
      <w:pPr>
        <w:ind w:left="6317" w:hanging="226"/>
      </w:pPr>
      <w:rPr>
        <w:rFonts w:hint="default"/>
      </w:rPr>
    </w:lvl>
    <w:lvl w:ilvl="8">
      <w:start w:val="0"/>
      <w:numFmt w:val="bullet"/>
      <w:lvlText w:val="•"/>
      <w:lvlJc w:val="left"/>
      <w:pPr>
        <w:ind w:left="7171" w:hanging="226"/>
      </w:pPr>
      <w:rPr>
        <w:rFonts w:hint="default"/>
      </w:rPr>
    </w:lvl>
  </w:abstractNum>
  <w:abstractNum w:abstractNumId="242">
    <w:multiLevelType w:val="hybridMultilevel"/>
    <w:lvl w:ilvl="0">
      <w:start w:val="1"/>
      <w:numFmt w:val="lowerLetter"/>
      <w:lvlText w:val="%1)"/>
      <w:lvlJc w:val="left"/>
      <w:pPr>
        <w:ind w:left="1069" w:hanging="229"/>
        <w:jc w:val="left"/>
      </w:pPr>
      <w:rPr>
        <w:rFonts w:hint="default" w:ascii="Times New Roman" w:hAnsi="Times New Roman" w:eastAsia="Times New Roman" w:cs="Times New Roman"/>
        <w:w w:val="100"/>
        <w:sz w:val="22"/>
        <w:szCs w:val="22"/>
      </w:rPr>
    </w:lvl>
    <w:lvl w:ilvl="1">
      <w:start w:val="0"/>
      <w:numFmt w:val="bullet"/>
      <w:lvlText w:val="•"/>
      <w:lvlJc w:val="left"/>
      <w:pPr>
        <w:ind w:left="1914" w:hanging="229"/>
      </w:pPr>
      <w:rPr>
        <w:rFonts w:hint="default"/>
      </w:rPr>
    </w:lvl>
    <w:lvl w:ilvl="2">
      <w:start w:val="0"/>
      <w:numFmt w:val="bullet"/>
      <w:lvlText w:val="•"/>
      <w:lvlJc w:val="left"/>
      <w:pPr>
        <w:ind w:left="2768" w:hanging="229"/>
      </w:pPr>
      <w:rPr>
        <w:rFonts w:hint="default"/>
      </w:rPr>
    </w:lvl>
    <w:lvl w:ilvl="3">
      <w:start w:val="0"/>
      <w:numFmt w:val="bullet"/>
      <w:lvlText w:val="•"/>
      <w:lvlJc w:val="left"/>
      <w:pPr>
        <w:ind w:left="3622" w:hanging="229"/>
      </w:pPr>
      <w:rPr>
        <w:rFonts w:hint="default"/>
      </w:rPr>
    </w:lvl>
    <w:lvl w:ilvl="4">
      <w:start w:val="0"/>
      <w:numFmt w:val="bullet"/>
      <w:lvlText w:val="•"/>
      <w:lvlJc w:val="left"/>
      <w:pPr>
        <w:ind w:left="4476" w:hanging="229"/>
      </w:pPr>
      <w:rPr>
        <w:rFonts w:hint="default"/>
      </w:rPr>
    </w:lvl>
    <w:lvl w:ilvl="5">
      <w:start w:val="0"/>
      <w:numFmt w:val="bullet"/>
      <w:lvlText w:val="•"/>
      <w:lvlJc w:val="left"/>
      <w:pPr>
        <w:ind w:left="5330" w:hanging="229"/>
      </w:pPr>
      <w:rPr>
        <w:rFonts w:hint="default"/>
      </w:rPr>
    </w:lvl>
    <w:lvl w:ilvl="6">
      <w:start w:val="0"/>
      <w:numFmt w:val="bullet"/>
      <w:lvlText w:val="•"/>
      <w:lvlJc w:val="left"/>
      <w:pPr>
        <w:ind w:left="6184" w:hanging="229"/>
      </w:pPr>
      <w:rPr>
        <w:rFonts w:hint="default"/>
      </w:rPr>
    </w:lvl>
    <w:lvl w:ilvl="7">
      <w:start w:val="0"/>
      <w:numFmt w:val="bullet"/>
      <w:lvlText w:val="•"/>
      <w:lvlJc w:val="left"/>
      <w:pPr>
        <w:ind w:left="7038" w:hanging="229"/>
      </w:pPr>
      <w:rPr>
        <w:rFonts w:hint="default"/>
      </w:rPr>
    </w:lvl>
    <w:lvl w:ilvl="8">
      <w:start w:val="0"/>
      <w:numFmt w:val="bullet"/>
      <w:lvlText w:val="•"/>
      <w:lvlJc w:val="left"/>
      <w:pPr>
        <w:ind w:left="7892" w:hanging="229"/>
      </w:pPr>
      <w:rPr>
        <w:rFonts w:hint="default"/>
      </w:rPr>
    </w:lvl>
  </w:abstractNum>
  <w:abstractNum w:abstractNumId="241">
    <w:multiLevelType w:val="hybridMultilevel"/>
    <w:lvl w:ilvl="0">
      <w:start w:val="1"/>
      <w:numFmt w:val="lowerLetter"/>
      <w:lvlText w:val="%1)"/>
      <w:lvlJc w:val="left"/>
      <w:pPr>
        <w:ind w:left="120" w:hanging="250"/>
        <w:jc w:val="left"/>
      </w:pPr>
      <w:rPr>
        <w:rFonts w:hint="default" w:ascii="Times New Roman" w:hAnsi="Times New Roman" w:eastAsia="Times New Roman" w:cs="Times New Roman"/>
        <w:w w:val="100"/>
        <w:sz w:val="22"/>
        <w:szCs w:val="22"/>
      </w:rPr>
    </w:lvl>
    <w:lvl w:ilvl="1">
      <w:start w:val="0"/>
      <w:numFmt w:val="bullet"/>
      <w:lvlText w:val="•"/>
      <w:lvlJc w:val="left"/>
      <w:pPr>
        <w:ind w:left="1068" w:hanging="250"/>
      </w:pPr>
      <w:rPr>
        <w:rFonts w:hint="default"/>
      </w:rPr>
    </w:lvl>
    <w:lvl w:ilvl="2">
      <w:start w:val="0"/>
      <w:numFmt w:val="bullet"/>
      <w:lvlText w:val="•"/>
      <w:lvlJc w:val="left"/>
      <w:pPr>
        <w:ind w:left="2016" w:hanging="250"/>
      </w:pPr>
      <w:rPr>
        <w:rFonts w:hint="default"/>
      </w:rPr>
    </w:lvl>
    <w:lvl w:ilvl="3">
      <w:start w:val="0"/>
      <w:numFmt w:val="bullet"/>
      <w:lvlText w:val="•"/>
      <w:lvlJc w:val="left"/>
      <w:pPr>
        <w:ind w:left="2964" w:hanging="250"/>
      </w:pPr>
      <w:rPr>
        <w:rFonts w:hint="default"/>
      </w:rPr>
    </w:lvl>
    <w:lvl w:ilvl="4">
      <w:start w:val="0"/>
      <w:numFmt w:val="bullet"/>
      <w:lvlText w:val="•"/>
      <w:lvlJc w:val="left"/>
      <w:pPr>
        <w:ind w:left="3912" w:hanging="250"/>
      </w:pPr>
      <w:rPr>
        <w:rFonts w:hint="default"/>
      </w:rPr>
    </w:lvl>
    <w:lvl w:ilvl="5">
      <w:start w:val="0"/>
      <w:numFmt w:val="bullet"/>
      <w:lvlText w:val="•"/>
      <w:lvlJc w:val="left"/>
      <w:pPr>
        <w:ind w:left="4860" w:hanging="250"/>
      </w:pPr>
      <w:rPr>
        <w:rFonts w:hint="default"/>
      </w:rPr>
    </w:lvl>
    <w:lvl w:ilvl="6">
      <w:start w:val="0"/>
      <w:numFmt w:val="bullet"/>
      <w:lvlText w:val="•"/>
      <w:lvlJc w:val="left"/>
      <w:pPr>
        <w:ind w:left="5808" w:hanging="250"/>
      </w:pPr>
      <w:rPr>
        <w:rFonts w:hint="default"/>
      </w:rPr>
    </w:lvl>
    <w:lvl w:ilvl="7">
      <w:start w:val="0"/>
      <w:numFmt w:val="bullet"/>
      <w:lvlText w:val="•"/>
      <w:lvlJc w:val="left"/>
      <w:pPr>
        <w:ind w:left="6756" w:hanging="250"/>
      </w:pPr>
      <w:rPr>
        <w:rFonts w:hint="default"/>
      </w:rPr>
    </w:lvl>
    <w:lvl w:ilvl="8">
      <w:start w:val="0"/>
      <w:numFmt w:val="bullet"/>
      <w:lvlText w:val="•"/>
      <w:lvlJc w:val="left"/>
      <w:pPr>
        <w:ind w:left="7704" w:hanging="250"/>
      </w:pPr>
      <w:rPr>
        <w:rFonts w:hint="default"/>
      </w:rPr>
    </w:lvl>
  </w:abstractNum>
  <w:abstractNum w:abstractNumId="240">
    <w:multiLevelType w:val="hybridMultilevel"/>
    <w:lvl w:ilvl="0">
      <w:start w:val="1"/>
      <w:numFmt w:val="lowerLetter"/>
      <w:lvlText w:val="%1)"/>
      <w:lvlJc w:val="left"/>
      <w:pPr>
        <w:ind w:left="1068" w:hanging="229"/>
        <w:jc w:val="left"/>
      </w:pPr>
      <w:rPr>
        <w:rFonts w:hint="default" w:ascii="Times New Roman" w:hAnsi="Times New Roman" w:eastAsia="Times New Roman" w:cs="Times New Roman"/>
        <w:w w:val="100"/>
        <w:sz w:val="22"/>
        <w:szCs w:val="22"/>
      </w:rPr>
    </w:lvl>
    <w:lvl w:ilvl="1">
      <w:start w:val="0"/>
      <w:numFmt w:val="bullet"/>
      <w:lvlText w:val="•"/>
      <w:lvlJc w:val="left"/>
      <w:pPr>
        <w:ind w:left="1914" w:hanging="229"/>
      </w:pPr>
      <w:rPr>
        <w:rFonts w:hint="default"/>
      </w:rPr>
    </w:lvl>
    <w:lvl w:ilvl="2">
      <w:start w:val="0"/>
      <w:numFmt w:val="bullet"/>
      <w:lvlText w:val="•"/>
      <w:lvlJc w:val="left"/>
      <w:pPr>
        <w:ind w:left="2768" w:hanging="229"/>
      </w:pPr>
      <w:rPr>
        <w:rFonts w:hint="default"/>
      </w:rPr>
    </w:lvl>
    <w:lvl w:ilvl="3">
      <w:start w:val="0"/>
      <w:numFmt w:val="bullet"/>
      <w:lvlText w:val="•"/>
      <w:lvlJc w:val="left"/>
      <w:pPr>
        <w:ind w:left="3622" w:hanging="229"/>
      </w:pPr>
      <w:rPr>
        <w:rFonts w:hint="default"/>
      </w:rPr>
    </w:lvl>
    <w:lvl w:ilvl="4">
      <w:start w:val="0"/>
      <w:numFmt w:val="bullet"/>
      <w:lvlText w:val="•"/>
      <w:lvlJc w:val="left"/>
      <w:pPr>
        <w:ind w:left="4476" w:hanging="229"/>
      </w:pPr>
      <w:rPr>
        <w:rFonts w:hint="default"/>
      </w:rPr>
    </w:lvl>
    <w:lvl w:ilvl="5">
      <w:start w:val="0"/>
      <w:numFmt w:val="bullet"/>
      <w:lvlText w:val="•"/>
      <w:lvlJc w:val="left"/>
      <w:pPr>
        <w:ind w:left="5330" w:hanging="229"/>
      </w:pPr>
      <w:rPr>
        <w:rFonts w:hint="default"/>
      </w:rPr>
    </w:lvl>
    <w:lvl w:ilvl="6">
      <w:start w:val="0"/>
      <w:numFmt w:val="bullet"/>
      <w:lvlText w:val="•"/>
      <w:lvlJc w:val="left"/>
      <w:pPr>
        <w:ind w:left="6184" w:hanging="229"/>
      </w:pPr>
      <w:rPr>
        <w:rFonts w:hint="default"/>
      </w:rPr>
    </w:lvl>
    <w:lvl w:ilvl="7">
      <w:start w:val="0"/>
      <w:numFmt w:val="bullet"/>
      <w:lvlText w:val="•"/>
      <w:lvlJc w:val="left"/>
      <w:pPr>
        <w:ind w:left="7038" w:hanging="229"/>
      </w:pPr>
      <w:rPr>
        <w:rFonts w:hint="default"/>
      </w:rPr>
    </w:lvl>
    <w:lvl w:ilvl="8">
      <w:start w:val="0"/>
      <w:numFmt w:val="bullet"/>
      <w:lvlText w:val="•"/>
      <w:lvlJc w:val="left"/>
      <w:pPr>
        <w:ind w:left="7892" w:hanging="229"/>
      </w:pPr>
      <w:rPr>
        <w:rFonts w:hint="default"/>
      </w:rPr>
    </w:lvl>
  </w:abstractNum>
  <w:abstractNum w:abstractNumId="239">
    <w:multiLevelType w:val="hybridMultilevel"/>
    <w:lvl w:ilvl="0">
      <w:start w:val="1"/>
      <w:numFmt w:val="lowerLetter"/>
      <w:lvlText w:val="%1)"/>
      <w:lvlJc w:val="left"/>
      <w:pPr>
        <w:ind w:left="1068" w:hanging="229"/>
        <w:jc w:val="left"/>
      </w:pPr>
      <w:rPr>
        <w:rFonts w:hint="default" w:ascii="Times New Roman" w:hAnsi="Times New Roman" w:eastAsia="Times New Roman" w:cs="Times New Roman"/>
        <w:w w:val="100"/>
        <w:sz w:val="22"/>
        <w:szCs w:val="22"/>
      </w:rPr>
    </w:lvl>
    <w:lvl w:ilvl="1">
      <w:start w:val="0"/>
      <w:numFmt w:val="bullet"/>
      <w:lvlText w:val="•"/>
      <w:lvlJc w:val="left"/>
      <w:pPr>
        <w:ind w:left="1914" w:hanging="229"/>
      </w:pPr>
      <w:rPr>
        <w:rFonts w:hint="default"/>
      </w:rPr>
    </w:lvl>
    <w:lvl w:ilvl="2">
      <w:start w:val="0"/>
      <w:numFmt w:val="bullet"/>
      <w:lvlText w:val="•"/>
      <w:lvlJc w:val="left"/>
      <w:pPr>
        <w:ind w:left="2768" w:hanging="229"/>
      </w:pPr>
      <w:rPr>
        <w:rFonts w:hint="default"/>
      </w:rPr>
    </w:lvl>
    <w:lvl w:ilvl="3">
      <w:start w:val="0"/>
      <w:numFmt w:val="bullet"/>
      <w:lvlText w:val="•"/>
      <w:lvlJc w:val="left"/>
      <w:pPr>
        <w:ind w:left="3622" w:hanging="229"/>
      </w:pPr>
      <w:rPr>
        <w:rFonts w:hint="default"/>
      </w:rPr>
    </w:lvl>
    <w:lvl w:ilvl="4">
      <w:start w:val="0"/>
      <w:numFmt w:val="bullet"/>
      <w:lvlText w:val="•"/>
      <w:lvlJc w:val="left"/>
      <w:pPr>
        <w:ind w:left="4476" w:hanging="229"/>
      </w:pPr>
      <w:rPr>
        <w:rFonts w:hint="default"/>
      </w:rPr>
    </w:lvl>
    <w:lvl w:ilvl="5">
      <w:start w:val="0"/>
      <w:numFmt w:val="bullet"/>
      <w:lvlText w:val="•"/>
      <w:lvlJc w:val="left"/>
      <w:pPr>
        <w:ind w:left="5330" w:hanging="229"/>
      </w:pPr>
      <w:rPr>
        <w:rFonts w:hint="default"/>
      </w:rPr>
    </w:lvl>
    <w:lvl w:ilvl="6">
      <w:start w:val="0"/>
      <w:numFmt w:val="bullet"/>
      <w:lvlText w:val="•"/>
      <w:lvlJc w:val="left"/>
      <w:pPr>
        <w:ind w:left="6184" w:hanging="229"/>
      </w:pPr>
      <w:rPr>
        <w:rFonts w:hint="default"/>
      </w:rPr>
    </w:lvl>
    <w:lvl w:ilvl="7">
      <w:start w:val="0"/>
      <w:numFmt w:val="bullet"/>
      <w:lvlText w:val="•"/>
      <w:lvlJc w:val="left"/>
      <w:pPr>
        <w:ind w:left="7038" w:hanging="229"/>
      </w:pPr>
      <w:rPr>
        <w:rFonts w:hint="default"/>
      </w:rPr>
    </w:lvl>
    <w:lvl w:ilvl="8">
      <w:start w:val="0"/>
      <w:numFmt w:val="bullet"/>
      <w:lvlText w:val="•"/>
      <w:lvlJc w:val="left"/>
      <w:pPr>
        <w:ind w:left="7892" w:hanging="229"/>
      </w:pPr>
      <w:rPr>
        <w:rFonts w:hint="default"/>
      </w:rPr>
    </w:lvl>
  </w:abstractNum>
  <w:abstractNum w:abstractNumId="238">
    <w:multiLevelType w:val="hybridMultilevel"/>
    <w:lvl w:ilvl="0">
      <w:start w:val="1"/>
      <w:numFmt w:val="lowerLetter"/>
      <w:lvlText w:val="%1)"/>
      <w:lvlJc w:val="left"/>
      <w:pPr>
        <w:ind w:left="1068" w:hanging="229"/>
        <w:jc w:val="left"/>
      </w:pPr>
      <w:rPr>
        <w:rFonts w:hint="default" w:ascii="Times New Roman" w:hAnsi="Times New Roman" w:eastAsia="Times New Roman" w:cs="Times New Roman"/>
        <w:w w:val="100"/>
        <w:sz w:val="22"/>
        <w:szCs w:val="22"/>
      </w:rPr>
    </w:lvl>
    <w:lvl w:ilvl="1">
      <w:start w:val="0"/>
      <w:numFmt w:val="bullet"/>
      <w:lvlText w:val="•"/>
      <w:lvlJc w:val="left"/>
      <w:pPr>
        <w:ind w:left="1914" w:hanging="229"/>
      </w:pPr>
      <w:rPr>
        <w:rFonts w:hint="default"/>
      </w:rPr>
    </w:lvl>
    <w:lvl w:ilvl="2">
      <w:start w:val="0"/>
      <w:numFmt w:val="bullet"/>
      <w:lvlText w:val="•"/>
      <w:lvlJc w:val="left"/>
      <w:pPr>
        <w:ind w:left="2768" w:hanging="229"/>
      </w:pPr>
      <w:rPr>
        <w:rFonts w:hint="default"/>
      </w:rPr>
    </w:lvl>
    <w:lvl w:ilvl="3">
      <w:start w:val="0"/>
      <w:numFmt w:val="bullet"/>
      <w:lvlText w:val="•"/>
      <w:lvlJc w:val="left"/>
      <w:pPr>
        <w:ind w:left="3622" w:hanging="229"/>
      </w:pPr>
      <w:rPr>
        <w:rFonts w:hint="default"/>
      </w:rPr>
    </w:lvl>
    <w:lvl w:ilvl="4">
      <w:start w:val="0"/>
      <w:numFmt w:val="bullet"/>
      <w:lvlText w:val="•"/>
      <w:lvlJc w:val="left"/>
      <w:pPr>
        <w:ind w:left="4476" w:hanging="229"/>
      </w:pPr>
      <w:rPr>
        <w:rFonts w:hint="default"/>
      </w:rPr>
    </w:lvl>
    <w:lvl w:ilvl="5">
      <w:start w:val="0"/>
      <w:numFmt w:val="bullet"/>
      <w:lvlText w:val="•"/>
      <w:lvlJc w:val="left"/>
      <w:pPr>
        <w:ind w:left="5330" w:hanging="229"/>
      </w:pPr>
      <w:rPr>
        <w:rFonts w:hint="default"/>
      </w:rPr>
    </w:lvl>
    <w:lvl w:ilvl="6">
      <w:start w:val="0"/>
      <w:numFmt w:val="bullet"/>
      <w:lvlText w:val="•"/>
      <w:lvlJc w:val="left"/>
      <w:pPr>
        <w:ind w:left="6184" w:hanging="229"/>
      </w:pPr>
      <w:rPr>
        <w:rFonts w:hint="default"/>
      </w:rPr>
    </w:lvl>
    <w:lvl w:ilvl="7">
      <w:start w:val="0"/>
      <w:numFmt w:val="bullet"/>
      <w:lvlText w:val="•"/>
      <w:lvlJc w:val="left"/>
      <w:pPr>
        <w:ind w:left="7038" w:hanging="229"/>
      </w:pPr>
      <w:rPr>
        <w:rFonts w:hint="default"/>
      </w:rPr>
    </w:lvl>
    <w:lvl w:ilvl="8">
      <w:start w:val="0"/>
      <w:numFmt w:val="bullet"/>
      <w:lvlText w:val="•"/>
      <w:lvlJc w:val="left"/>
      <w:pPr>
        <w:ind w:left="7892" w:hanging="229"/>
      </w:pPr>
      <w:rPr>
        <w:rFonts w:hint="default"/>
      </w:rPr>
    </w:lvl>
  </w:abstractNum>
  <w:abstractNum w:abstractNumId="237">
    <w:multiLevelType w:val="hybridMultilevel"/>
    <w:lvl w:ilvl="0">
      <w:start w:val="1"/>
      <w:numFmt w:val="decimal"/>
      <w:lvlText w:val="%1."/>
      <w:lvlJc w:val="left"/>
      <w:pPr>
        <w:ind w:left="1060" w:hanging="221"/>
        <w:jc w:val="left"/>
      </w:pPr>
      <w:rPr>
        <w:rFonts w:hint="default" w:ascii="Times New Roman" w:hAnsi="Times New Roman" w:eastAsia="Times New Roman" w:cs="Times New Roman"/>
        <w:w w:val="100"/>
        <w:sz w:val="22"/>
        <w:szCs w:val="22"/>
      </w:rPr>
    </w:lvl>
    <w:lvl w:ilvl="1">
      <w:start w:val="0"/>
      <w:numFmt w:val="bullet"/>
      <w:lvlText w:val="•"/>
      <w:lvlJc w:val="left"/>
      <w:pPr>
        <w:ind w:left="1914" w:hanging="221"/>
      </w:pPr>
      <w:rPr>
        <w:rFonts w:hint="default"/>
      </w:rPr>
    </w:lvl>
    <w:lvl w:ilvl="2">
      <w:start w:val="0"/>
      <w:numFmt w:val="bullet"/>
      <w:lvlText w:val="•"/>
      <w:lvlJc w:val="left"/>
      <w:pPr>
        <w:ind w:left="2768" w:hanging="221"/>
      </w:pPr>
      <w:rPr>
        <w:rFonts w:hint="default"/>
      </w:rPr>
    </w:lvl>
    <w:lvl w:ilvl="3">
      <w:start w:val="0"/>
      <w:numFmt w:val="bullet"/>
      <w:lvlText w:val="•"/>
      <w:lvlJc w:val="left"/>
      <w:pPr>
        <w:ind w:left="3622" w:hanging="221"/>
      </w:pPr>
      <w:rPr>
        <w:rFonts w:hint="default"/>
      </w:rPr>
    </w:lvl>
    <w:lvl w:ilvl="4">
      <w:start w:val="0"/>
      <w:numFmt w:val="bullet"/>
      <w:lvlText w:val="•"/>
      <w:lvlJc w:val="left"/>
      <w:pPr>
        <w:ind w:left="4476" w:hanging="221"/>
      </w:pPr>
      <w:rPr>
        <w:rFonts w:hint="default"/>
      </w:rPr>
    </w:lvl>
    <w:lvl w:ilvl="5">
      <w:start w:val="0"/>
      <w:numFmt w:val="bullet"/>
      <w:lvlText w:val="•"/>
      <w:lvlJc w:val="left"/>
      <w:pPr>
        <w:ind w:left="5330" w:hanging="221"/>
      </w:pPr>
      <w:rPr>
        <w:rFonts w:hint="default"/>
      </w:rPr>
    </w:lvl>
    <w:lvl w:ilvl="6">
      <w:start w:val="0"/>
      <w:numFmt w:val="bullet"/>
      <w:lvlText w:val="•"/>
      <w:lvlJc w:val="left"/>
      <w:pPr>
        <w:ind w:left="6184" w:hanging="221"/>
      </w:pPr>
      <w:rPr>
        <w:rFonts w:hint="default"/>
      </w:rPr>
    </w:lvl>
    <w:lvl w:ilvl="7">
      <w:start w:val="0"/>
      <w:numFmt w:val="bullet"/>
      <w:lvlText w:val="•"/>
      <w:lvlJc w:val="left"/>
      <w:pPr>
        <w:ind w:left="7038" w:hanging="221"/>
      </w:pPr>
      <w:rPr>
        <w:rFonts w:hint="default"/>
      </w:rPr>
    </w:lvl>
    <w:lvl w:ilvl="8">
      <w:start w:val="0"/>
      <w:numFmt w:val="bullet"/>
      <w:lvlText w:val="•"/>
      <w:lvlJc w:val="left"/>
      <w:pPr>
        <w:ind w:left="7892" w:hanging="221"/>
      </w:pPr>
      <w:rPr>
        <w:rFonts w:hint="default"/>
      </w:rPr>
    </w:lvl>
  </w:abstractNum>
  <w:abstractNum w:abstractNumId="236">
    <w:multiLevelType w:val="hybridMultilevel"/>
    <w:lvl w:ilvl="0">
      <w:start w:val="1"/>
      <w:numFmt w:val="lowerLetter"/>
      <w:lvlText w:val="%1)"/>
      <w:lvlJc w:val="left"/>
      <w:pPr>
        <w:ind w:left="1068" w:hanging="229"/>
        <w:jc w:val="left"/>
      </w:pPr>
      <w:rPr>
        <w:rFonts w:hint="default" w:ascii="Times New Roman" w:hAnsi="Times New Roman" w:eastAsia="Times New Roman" w:cs="Times New Roman"/>
        <w:w w:val="100"/>
        <w:sz w:val="22"/>
        <w:szCs w:val="22"/>
      </w:rPr>
    </w:lvl>
    <w:lvl w:ilvl="1">
      <w:start w:val="0"/>
      <w:numFmt w:val="bullet"/>
      <w:lvlText w:val="•"/>
      <w:lvlJc w:val="left"/>
      <w:pPr>
        <w:ind w:left="1914" w:hanging="229"/>
      </w:pPr>
      <w:rPr>
        <w:rFonts w:hint="default"/>
      </w:rPr>
    </w:lvl>
    <w:lvl w:ilvl="2">
      <w:start w:val="0"/>
      <w:numFmt w:val="bullet"/>
      <w:lvlText w:val="•"/>
      <w:lvlJc w:val="left"/>
      <w:pPr>
        <w:ind w:left="2768" w:hanging="229"/>
      </w:pPr>
      <w:rPr>
        <w:rFonts w:hint="default"/>
      </w:rPr>
    </w:lvl>
    <w:lvl w:ilvl="3">
      <w:start w:val="0"/>
      <w:numFmt w:val="bullet"/>
      <w:lvlText w:val="•"/>
      <w:lvlJc w:val="left"/>
      <w:pPr>
        <w:ind w:left="3622" w:hanging="229"/>
      </w:pPr>
      <w:rPr>
        <w:rFonts w:hint="default"/>
      </w:rPr>
    </w:lvl>
    <w:lvl w:ilvl="4">
      <w:start w:val="0"/>
      <w:numFmt w:val="bullet"/>
      <w:lvlText w:val="•"/>
      <w:lvlJc w:val="left"/>
      <w:pPr>
        <w:ind w:left="4476" w:hanging="229"/>
      </w:pPr>
      <w:rPr>
        <w:rFonts w:hint="default"/>
      </w:rPr>
    </w:lvl>
    <w:lvl w:ilvl="5">
      <w:start w:val="0"/>
      <w:numFmt w:val="bullet"/>
      <w:lvlText w:val="•"/>
      <w:lvlJc w:val="left"/>
      <w:pPr>
        <w:ind w:left="5330" w:hanging="229"/>
      </w:pPr>
      <w:rPr>
        <w:rFonts w:hint="default"/>
      </w:rPr>
    </w:lvl>
    <w:lvl w:ilvl="6">
      <w:start w:val="0"/>
      <w:numFmt w:val="bullet"/>
      <w:lvlText w:val="•"/>
      <w:lvlJc w:val="left"/>
      <w:pPr>
        <w:ind w:left="6184" w:hanging="229"/>
      </w:pPr>
      <w:rPr>
        <w:rFonts w:hint="default"/>
      </w:rPr>
    </w:lvl>
    <w:lvl w:ilvl="7">
      <w:start w:val="0"/>
      <w:numFmt w:val="bullet"/>
      <w:lvlText w:val="•"/>
      <w:lvlJc w:val="left"/>
      <w:pPr>
        <w:ind w:left="7038" w:hanging="229"/>
      </w:pPr>
      <w:rPr>
        <w:rFonts w:hint="default"/>
      </w:rPr>
    </w:lvl>
    <w:lvl w:ilvl="8">
      <w:start w:val="0"/>
      <w:numFmt w:val="bullet"/>
      <w:lvlText w:val="•"/>
      <w:lvlJc w:val="left"/>
      <w:pPr>
        <w:ind w:left="7892" w:hanging="229"/>
      </w:pPr>
      <w:rPr>
        <w:rFonts w:hint="default"/>
      </w:rPr>
    </w:lvl>
  </w:abstractNum>
  <w:abstractNum w:abstractNumId="235">
    <w:multiLevelType w:val="hybridMultilevel"/>
    <w:lvl w:ilvl="0">
      <w:start w:val="1"/>
      <w:numFmt w:val="decimal"/>
      <w:lvlText w:val="%1."/>
      <w:lvlJc w:val="left"/>
      <w:pPr>
        <w:ind w:left="1061" w:hanging="221"/>
        <w:jc w:val="left"/>
      </w:pPr>
      <w:rPr>
        <w:rFonts w:hint="default" w:ascii="Times New Roman" w:hAnsi="Times New Roman" w:eastAsia="Times New Roman" w:cs="Times New Roman"/>
        <w:w w:val="100"/>
        <w:sz w:val="22"/>
        <w:szCs w:val="22"/>
      </w:rPr>
    </w:lvl>
    <w:lvl w:ilvl="1">
      <w:start w:val="0"/>
      <w:numFmt w:val="bullet"/>
      <w:lvlText w:val="•"/>
      <w:lvlJc w:val="left"/>
      <w:pPr>
        <w:ind w:left="1914" w:hanging="221"/>
      </w:pPr>
      <w:rPr>
        <w:rFonts w:hint="default"/>
      </w:rPr>
    </w:lvl>
    <w:lvl w:ilvl="2">
      <w:start w:val="0"/>
      <w:numFmt w:val="bullet"/>
      <w:lvlText w:val="•"/>
      <w:lvlJc w:val="left"/>
      <w:pPr>
        <w:ind w:left="2768" w:hanging="221"/>
      </w:pPr>
      <w:rPr>
        <w:rFonts w:hint="default"/>
      </w:rPr>
    </w:lvl>
    <w:lvl w:ilvl="3">
      <w:start w:val="0"/>
      <w:numFmt w:val="bullet"/>
      <w:lvlText w:val="•"/>
      <w:lvlJc w:val="left"/>
      <w:pPr>
        <w:ind w:left="3622" w:hanging="221"/>
      </w:pPr>
      <w:rPr>
        <w:rFonts w:hint="default"/>
      </w:rPr>
    </w:lvl>
    <w:lvl w:ilvl="4">
      <w:start w:val="0"/>
      <w:numFmt w:val="bullet"/>
      <w:lvlText w:val="•"/>
      <w:lvlJc w:val="left"/>
      <w:pPr>
        <w:ind w:left="4476" w:hanging="221"/>
      </w:pPr>
      <w:rPr>
        <w:rFonts w:hint="default"/>
      </w:rPr>
    </w:lvl>
    <w:lvl w:ilvl="5">
      <w:start w:val="0"/>
      <w:numFmt w:val="bullet"/>
      <w:lvlText w:val="•"/>
      <w:lvlJc w:val="left"/>
      <w:pPr>
        <w:ind w:left="5330" w:hanging="221"/>
      </w:pPr>
      <w:rPr>
        <w:rFonts w:hint="default"/>
      </w:rPr>
    </w:lvl>
    <w:lvl w:ilvl="6">
      <w:start w:val="0"/>
      <w:numFmt w:val="bullet"/>
      <w:lvlText w:val="•"/>
      <w:lvlJc w:val="left"/>
      <w:pPr>
        <w:ind w:left="6184" w:hanging="221"/>
      </w:pPr>
      <w:rPr>
        <w:rFonts w:hint="default"/>
      </w:rPr>
    </w:lvl>
    <w:lvl w:ilvl="7">
      <w:start w:val="0"/>
      <w:numFmt w:val="bullet"/>
      <w:lvlText w:val="•"/>
      <w:lvlJc w:val="left"/>
      <w:pPr>
        <w:ind w:left="7038" w:hanging="221"/>
      </w:pPr>
      <w:rPr>
        <w:rFonts w:hint="default"/>
      </w:rPr>
    </w:lvl>
    <w:lvl w:ilvl="8">
      <w:start w:val="0"/>
      <w:numFmt w:val="bullet"/>
      <w:lvlText w:val="•"/>
      <w:lvlJc w:val="left"/>
      <w:pPr>
        <w:ind w:left="7892" w:hanging="221"/>
      </w:pPr>
      <w:rPr>
        <w:rFonts w:hint="default"/>
      </w:rPr>
    </w:lvl>
  </w:abstractNum>
  <w:abstractNum w:abstractNumId="234">
    <w:multiLevelType w:val="hybridMultilevel"/>
    <w:lvl w:ilvl="0">
      <w:start w:val="1"/>
      <w:numFmt w:val="lowerLetter"/>
      <w:lvlText w:val="%1)"/>
      <w:lvlJc w:val="left"/>
      <w:pPr>
        <w:ind w:left="1068" w:hanging="229"/>
        <w:jc w:val="left"/>
      </w:pPr>
      <w:rPr>
        <w:rFonts w:hint="default" w:ascii="Times New Roman" w:hAnsi="Times New Roman" w:eastAsia="Times New Roman" w:cs="Times New Roman"/>
        <w:w w:val="100"/>
        <w:sz w:val="22"/>
        <w:szCs w:val="22"/>
      </w:rPr>
    </w:lvl>
    <w:lvl w:ilvl="1">
      <w:start w:val="0"/>
      <w:numFmt w:val="bullet"/>
      <w:lvlText w:val="•"/>
      <w:lvlJc w:val="left"/>
      <w:pPr>
        <w:ind w:left="1914" w:hanging="229"/>
      </w:pPr>
      <w:rPr>
        <w:rFonts w:hint="default"/>
      </w:rPr>
    </w:lvl>
    <w:lvl w:ilvl="2">
      <w:start w:val="0"/>
      <w:numFmt w:val="bullet"/>
      <w:lvlText w:val="•"/>
      <w:lvlJc w:val="left"/>
      <w:pPr>
        <w:ind w:left="2768" w:hanging="229"/>
      </w:pPr>
      <w:rPr>
        <w:rFonts w:hint="default"/>
      </w:rPr>
    </w:lvl>
    <w:lvl w:ilvl="3">
      <w:start w:val="0"/>
      <w:numFmt w:val="bullet"/>
      <w:lvlText w:val="•"/>
      <w:lvlJc w:val="left"/>
      <w:pPr>
        <w:ind w:left="3622" w:hanging="229"/>
      </w:pPr>
      <w:rPr>
        <w:rFonts w:hint="default"/>
      </w:rPr>
    </w:lvl>
    <w:lvl w:ilvl="4">
      <w:start w:val="0"/>
      <w:numFmt w:val="bullet"/>
      <w:lvlText w:val="•"/>
      <w:lvlJc w:val="left"/>
      <w:pPr>
        <w:ind w:left="4476" w:hanging="229"/>
      </w:pPr>
      <w:rPr>
        <w:rFonts w:hint="default"/>
      </w:rPr>
    </w:lvl>
    <w:lvl w:ilvl="5">
      <w:start w:val="0"/>
      <w:numFmt w:val="bullet"/>
      <w:lvlText w:val="•"/>
      <w:lvlJc w:val="left"/>
      <w:pPr>
        <w:ind w:left="5330" w:hanging="229"/>
      </w:pPr>
      <w:rPr>
        <w:rFonts w:hint="default"/>
      </w:rPr>
    </w:lvl>
    <w:lvl w:ilvl="6">
      <w:start w:val="0"/>
      <w:numFmt w:val="bullet"/>
      <w:lvlText w:val="•"/>
      <w:lvlJc w:val="left"/>
      <w:pPr>
        <w:ind w:left="6184" w:hanging="229"/>
      </w:pPr>
      <w:rPr>
        <w:rFonts w:hint="default"/>
      </w:rPr>
    </w:lvl>
    <w:lvl w:ilvl="7">
      <w:start w:val="0"/>
      <w:numFmt w:val="bullet"/>
      <w:lvlText w:val="•"/>
      <w:lvlJc w:val="left"/>
      <w:pPr>
        <w:ind w:left="7038" w:hanging="229"/>
      </w:pPr>
      <w:rPr>
        <w:rFonts w:hint="default"/>
      </w:rPr>
    </w:lvl>
    <w:lvl w:ilvl="8">
      <w:start w:val="0"/>
      <w:numFmt w:val="bullet"/>
      <w:lvlText w:val="•"/>
      <w:lvlJc w:val="left"/>
      <w:pPr>
        <w:ind w:left="7892" w:hanging="229"/>
      </w:pPr>
      <w:rPr>
        <w:rFonts w:hint="default"/>
      </w:rPr>
    </w:lvl>
  </w:abstractNum>
  <w:abstractNum w:abstractNumId="233">
    <w:multiLevelType w:val="hybridMultilevel"/>
    <w:lvl w:ilvl="0">
      <w:start w:val="1"/>
      <w:numFmt w:val="decimal"/>
      <w:lvlText w:val="%1."/>
      <w:lvlJc w:val="left"/>
      <w:pPr>
        <w:ind w:left="119" w:hanging="233"/>
        <w:jc w:val="left"/>
      </w:pPr>
      <w:rPr>
        <w:rFonts w:hint="default" w:ascii="Times New Roman" w:hAnsi="Times New Roman" w:eastAsia="Times New Roman" w:cs="Times New Roman"/>
        <w:w w:val="100"/>
        <w:sz w:val="22"/>
        <w:szCs w:val="22"/>
      </w:rPr>
    </w:lvl>
    <w:lvl w:ilvl="1">
      <w:start w:val="0"/>
      <w:numFmt w:val="bullet"/>
      <w:lvlText w:val="•"/>
      <w:lvlJc w:val="left"/>
      <w:pPr>
        <w:ind w:left="1068" w:hanging="233"/>
      </w:pPr>
      <w:rPr>
        <w:rFonts w:hint="default"/>
      </w:rPr>
    </w:lvl>
    <w:lvl w:ilvl="2">
      <w:start w:val="0"/>
      <w:numFmt w:val="bullet"/>
      <w:lvlText w:val="•"/>
      <w:lvlJc w:val="left"/>
      <w:pPr>
        <w:ind w:left="2016" w:hanging="233"/>
      </w:pPr>
      <w:rPr>
        <w:rFonts w:hint="default"/>
      </w:rPr>
    </w:lvl>
    <w:lvl w:ilvl="3">
      <w:start w:val="0"/>
      <w:numFmt w:val="bullet"/>
      <w:lvlText w:val="•"/>
      <w:lvlJc w:val="left"/>
      <w:pPr>
        <w:ind w:left="2964" w:hanging="233"/>
      </w:pPr>
      <w:rPr>
        <w:rFonts w:hint="default"/>
      </w:rPr>
    </w:lvl>
    <w:lvl w:ilvl="4">
      <w:start w:val="0"/>
      <w:numFmt w:val="bullet"/>
      <w:lvlText w:val="•"/>
      <w:lvlJc w:val="left"/>
      <w:pPr>
        <w:ind w:left="3912" w:hanging="233"/>
      </w:pPr>
      <w:rPr>
        <w:rFonts w:hint="default"/>
      </w:rPr>
    </w:lvl>
    <w:lvl w:ilvl="5">
      <w:start w:val="0"/>
      <w:numFmt w:val="bullet"/>
      <w:lvlText w:val="•"/>
      <w:lvlJc w:val="left"/>
      <w:pPr>
        <w:ind w:left="4860" w:hanging="233"/>
      </w:pPr>
      <w:rPr>
        <w:rFonts w:hint="default"/>
      </w:rPr>
    </w:lvl>
    <w:lvl w:ilvl="6">
      <w:start w:val="0"/>
      <w:numFmt w:val="bullet"/>
      <w:lvlText w:val="•"/>
      <w:lvlJc w:val="left"/>
      <w:pPr>
        <w:ind w:left="5808" w:hanging="233"/>
      </w:pPr>
      <w:rPr>
        <w:rFonts w:hint="default"/>
      </w:rPr>
    </w:lvl>
    <w:lvl w:ilvl="7">
      <w:start w:val="0"/>
      <w:numFmt w:val="bullet"/>
      <w:lvlText w:val="•"/>
      <w:lvlJc w:val="left"/>
      <w:pPr>
        <w:ind w:left="6756" w:hanging="233"/>
      </w:pPr>
      <w:rPr>
        <w:rFonts w:hint="default"/>
      </w:rPr>
    </w:lvl>
    <w:lvl w:ilvl="8">
      <w:start w:val="0"/>
      <w:numFmt w:val="bullet"/>
      <w:lvlText w:val="•"/>
      <w:lvlJc w:val="left"/>
      <w:pPr>
        <w:ind w:left="7704" w:hanging="233"/>
      </w:pPr>
      <w:rPr>
        <w:rFonts w:hint="default"/>
      </w:rPr>
    </w:lvl>
  </w:abstractNum>
  <w:abstractNum w:abstractNumId="232">
    <w:multiLevelType w:val="hybridMultilevel"/>
    <w:lvl w:ilvl="0">
      <w:start w:val="1"/>
      <w:numFmt w:val="decimal"/>
      <w:lvlText w:val="%1."/>
      <w:lvlJc w:val="left"/>
      <w:pPr>
        <w:ind w:left="120" w:hanging="252"/>
        <w:jc w:val="left"/>
      </w:pPr>
      <w:rPr>
        <w:rFonts w:hint="default" w:ascii="Times New Roman" w:hAnsi="Times New Roman" w:eastAsia="Times New Roman" w:cs="Times New Roman"/>
        <w:w w:val="100"/>
        <w:sz w:val="22"/>
        <w:szCs w:val="22"/>
      </w:rPr>
    </w:lvl>
    <w:lvl w:ilvl="1">
      <w:start w:val="0"/>
      <w:numFmt w:val="bullet"/>
      <w:lvlText w:val="•"/>
      <w:lvlJc w:val="left"/>
      <w:pPr>
        <w:ind w:left="1068" w:hanging="252"/>
      </w:pPr>
      <w:rPr>
        <w:rFonts w:hint="default"/>
      </w:rPr>
    </w:lvl>
    <w:lvl w:ilvl="2">
      <w:start w:val="0"/>
      <w:numFmt w:val="bullet"/>
      <w:lvlText w:val="•"/>
      <w:lvlJc w:val="left"/>
      <w:pPr>
        <w:ind w:left="2016" w:hanging="252"/>
      </w:pPr>
      <w:rPr>
        <w:rFonts w:hint="default"/>
      </w:rPr>
    </w:lvl>
    <w:lvl w:ilvl="3">
      <w:start w:val="0"/>
      <w:numFmt w:val="bullet"/>
      <w:lvlText w:val="•"/>
      <w:lvlJc w:val="left"/>
      <w:pPr>
        <w:ind w:left="2964" w:hanging="252"/>
      </w:pPr>
      <w:rPr>
        <w:rFonts w:hint="default"/>
      </w:rPr>
    </w:lvl>
    <w:lvl w:ilvl="4">
      <w:start w:val="0"/>
      <w:numFmt w:val="bullet"/>
      <w:lvlText w:val="•"/>
      <w:lvlJc w:val="left"/>
      <w:pPr>
        <w:ind w:left="3912" w:hanging="252"/>
      </w:pPr>
      <w:rPr>
        <w:rFonts w:hint="default"/>
      </w:rPr>
    </w:lvl>
    <w:lvl w:ilvl="5">
      <w:start w:val="0"/>
      <w:numFmt w:val="bullet"/>
      <w:lvlText w:val="•"/>
      <w:lvlJc w:val="left"/>
      <w:pPr>
        <w:ind w:left="4860" w:hanging="252"/>
      </w:pPr>
      <w:rPr>
        <w:rFonts w:hint="default"/>
      </w:rPr>
    </w:lvl>
    <w:lvl w:ilvl="6">
      <w:start w:val="0"/>
      <w:numFmt w:val="bullet"/>
      <w:lvlText w:val="•"/>
      <w:lvlJc w:val="left"/>
      <w:pPr>
        <w:ind w:left="5808" w:hanging="252"/>
      </w:pPr>
      <w:rPr>
        <w:rFonts w:hint="default"/>
      </w:rPr>
    </w:lvl>
    <w:lvl w:ilvl="7">
      <w:start w:val="0"/>
      <w:numFmt w:val="bullet"/>
      <w:lvlText w:val="•"/>
      <w:lvlJc w:val="left"/>
      <w:pPr>
        <w:ind w:left="6756" w:hanging="252"/>
      </w:pPr>
      <w:rPr>
        <w:rFonts w:hint="default"/>
      </w:rPr>
    </w:lvl>
    <w:lvl w:ilvl="8">
      <w:start w:val="0"/>
      <w:numFmt w:val="bullet"/>
      <w:lvlText w:val="•"/>
      <w:lvlJc w:val="left"/>
      <w:pPr>
        <w:ind w:left="7704" w:hanging="252"/>
      </w:pPr>
      <w:rPr>
        <w:rFonts w:hint="default"/>
      </w:rPr>
    </w:lvl>
  </w:abstractNum>
  <w:abstractNum w:abstractNumId="231">
    <w:multiLevelType w:val="hybridMultilevel"/>
    <w:lvl w:ilvl="0">
      <w:start w:val="1"/>
      <w:numFmt w:val="decimal"/>
      <w:lvlText w:val="%1."/>
      <w:lvlJc w:val="left"/>
      <w:pPr>
        <w:ind w:left="120" w:hanging="229"/>
        <w:jc w:val="left"/>
      </w:pPr>
      <w:rPr>
        <w:rFonts w:hint="default" w:ascii="Times New Roman" w:hAnsi="Times New Roman" w:eastAsia="Times New Roman" w:cs="Times New Roman"/>
        <w:w w:val="100"/>
        <w:sz w:val="22"/>
        <w:szCs w:val="22"/>
      </w:rPr>
    </w:lvl>
    <w:lvl w:ilvl="1">
      <w:start w:val="0"/>
      <w:numFmt w:val="bullet"/>
      <w:lvlText w:val="•"/>
      <w:lvlJc w:val="left"/>
      <w:pPr>
        <w:ind w:left="1068" w:hanging="229"/>
      </w:pPr>
      <w:rPr>
        <w:rFonts w:hint="default"/>
      </w:rPr>
    </w:lvl>
    <w:lvl w:ilvl="2">
      <w:start w:val="0"/>
      <w:numFmt w:val="bullet"/>
      <w:lvlText w:val="•"/>
      <w:lvlJc w:val="left"/>
      <w:pPr>
        <w:ind w:left="2016" w:hanging="229"/>
      </w:pPr>
      <w:rPr>
        <w:rFonts w:hint="default"/>
      </w:rPr>
    </w:lvl>
    <w:lvl w:ilvl="3">
      <w:start w:val="0"/>
      <w:numFmt w:val="bullet"/>
      <w:lvlText w:val="•"/>
      <w:lvlJc w:val="left"/>
      <w:pPr>
        <w:ind w:left="2964" w:hanging="229"/>
      </w:pPr>
      <w:rPr>
        <w:rFonts w:hint="default"/>
      </w:rPr>
    </w:lvl>
    <w:lvl w:ilvl="4">
      <w:start w:val="0"/>
      <w:numFmt w:val="bullet"/>
      <w:lvlText w:val="•"/>
      <w:lvlJc w:val="left"/>
      <w:pPr>
        <w:ind w:left="3912" w:hanging="229"/>
      </w:pPr>
      <w:rPr>
        <w:rFonts w:hint="default"/>
      </w:rPr>
    </w:lvl>
    <w:lvl w:ilvl="5">
      <w:start w:val="0"/>
      <w:numFmt w:val="bullet"/>
      <w:lvlText w:val="•"/>
      <w:lvlJc w:val="left"/>
      <w:pPr>
        <w:ind w:left="4860" w:hanging="229"/>
      </w:pPr>
      <w:rPr>
        <w:rFonts w:hint="default"/>
      </w:rPr>
    </w:lvl>
    <w:lvl w:ilvl="6">
      <w:start w:val="0"/>
      <w:numFmt w:val="bullet"/>
      <w:lvlText w:val="•"/>
      <w:lvlJc w:val="left"/>
      <w:pPr>
        <w:ind w:left="5808" w:hanging="229"/>
      </w:pPr>
      <w:rPr>
        <w:rFonts w:hint="default"/>
      </w:rPr>
    </w:lvl>
    <w:lvl w:ilvl="7">
      <w:start w:val="0"/>
      <w:numFmt w:val="bullet"/>
      <w:lvlText w:val="•"/>
      <w:lvlJc w:val="left"/>
      <w:pPr>
        <w:ind w:left="6756" w:hanging="229"/>
      </w:pPr>
      <w:rPr>
        <w:rFonts w:hint="default"/>
      </w:rPr>
    </w:lvl>
    <w:lvl w:ilvl="8">
      <w:start w:val="0"/>
      <w:numFmt w:val="bullet"/>
      <w:lvlText w:val="•"/>
      <w:lvlJc w:val="left"/>
      <w:pPr>
        <w:ind w:left="7704" w:hanging="229"/>
      </w:pPr>
      <w:rPr>
        <w:rFonts w:hint="default"/>
      </w:rPr>
    </w:lvl>
  </w:abstractNum>
  <w:abstractNum w:abstractNumId="230">
    <w:multiLevelType w:val="hybridMultilevel"/>
    <w:lvl w:ilvl="0">
      <w:start w:val="1"/>
      <w:numFmt w:val="lowerLetter"/>
      <w:lvlText w:val="%1)"/>
      <w:lvlJc w:val="left"/>
      <w:pPr>
        <w:ind w:left="120" w:hanging="231"/>
        <w:jc w:val="left"/>
      </w:pPr>
      <w:rPr>
        <w:rFonts w:hint="default" w:ascii="Times New Roman" w:hAnsi="Times New Roman" w:eastAsia="Times New Roman" w:cs="Times New Roman"/>
        <w:w w:val="100"/>
        <w:sz w:val="22"/>
        <w:szCs w:val="22"/>
      </w:rPr>
    </w:lvl>
    <w:lvl w:ilvl="1">
      <w:start w:val="0"/>
      <w:numFmt w:val="bullet"/>
      <w:lvlText w:val="•"/>
      <w:lvlJc w:val="left"/>
      <w:pPr>
        <w:ind w:left="1068" w:hanging="231"/>
      </w:pPr>
      <w:rPr>
        <w:rFonts w:hint="default"/>
      </w:rPr>
    </w:lvl>
    <w:lvl w:ilvl="2">
      <w:start w:val="0"/>
      <w:numFmt w:val="bullet"/>
      <w:lvlText w:val="•"/>
      <w:lvlJc w:val="left"/>
      <w:pPr>
        <w:ind w:left="2016" w:hanging="231"/>
      </w:pPr>
      <w:rPr>
        <w:rFonts w:hint="default"/>
      </w:rPr>
    </w:lvl>
    <w:lvl w:ilvl="3">
      <w:start w:val="0"/>
      <w:numFmt w:val="bullet"/>
      <w:lvlText w:val="•"/>
      <w:lvlJc w:val="left"/>
      <w:pPr>
        <w:ind w:left="2964" w:hanging="231"/>
      </w:pPr>
      <w:rPr>
        <w:rFonts w:hint="default"/>
      </w:rPr>
    </w:lvl>
    <w:lvl w:ilvl="4">
      <w:start w:val="0"/>
      <w:numFmt w:val="bullet"/>
      <w:lvlText w:val="•"/>
      <w:lvlJc w:val="left"/>
      <w:pPr>
        <w:ind w:left="3912" w:hanging="231"/>
      </w:pPr>
      <w:rPr>
        <w:rFonts w:hint="default"/>
      </w:rPr>
    </w:lvl>
    <w:lvl w:ilvl="5">
      <w:start w:val="0"/>
      <w:numFmt w:val="bullet"/>
      <w:lvlText w:val="•"/>
      <w:lvlJc w:val="left"/>
      <w:pPr>
        <w:ind w:left="4860" w:hanging="231"/>
      </w:pPr>
      <w:rPr>
        <w:rFonts w:hint="default"/>
      </w:rPr>
    </w:lvl>
    <w:lvl w:ilvl="6">
      <w:start w:val="0"/>
      <w:numFmt w:val="bullet"/>
      <w:lvlText w:val="•"/>
      <w:lvlJc w:val="left"/>
      <w:pPr>
        <w:ind w:left="5808" w:hanging="231"/>
      </w:pPr>
      <w:rPr>
        <w:rFonts w:hint="default"/>
      </w:rPr>
    </w:lvl>
    <w:lvl w:ilvl="7">
      <w:start w:val="0"/>
      <w:numFmt w:val="bullet"/>
      <w:lvlText w:val="•"/>
      <w:lvlJc w:val="left"/>
      <w:pPr>
        <w:ind w:left="6756" w:hanging="231"/>
      </w:pPr>
      <w:rPr>
        <w:rFonts w:hint="default"/>
      </w:rPr>
    </w:lvl>
    <w:lvl w:ilvl="8">
      <w:start w:val="0"/>
      <w:numFmt w:val="bullet"/>
      <w:lvlText w:val="•"/>
      <w:lvlJc w:val="left"/>
      <w:pPr>
        <w:ind w:left="7704" w:hanging="231"/>
      </w:pPr>
      <w:rPr>
        <w:rFonts w:hint="default"/>
      </w:rPr>
    </w:lvl>
  </w:abstractNum>
  <w:abstractNum w:abstractNumId="229">
    <w:multiLevelType w:val="hybridMultilevel"/>
    <w:lvl w:ilvl="0">
      <w:start w:val="1"/>
      <w:numFmt w:val="decimal"/>
      <w:lvlText w:val="%1."/>
      <w:lvlJc w:val="left"/>
      <w:pPr>
        <w:ind w:left="1061" w:hanging="221"/>
        <w:jc w:val="left"/>
      </w:pPr>
      <w:rPr>
        <w:rFonts w:hint="default" w:ascii="Times New Roman" w:hAnsi="Times New Roman" w:eastAsia="Times New Roman" w:cs="Times New Roman"/>
        <w:w w:val="100"/>
        <w:sz w:val="22"/>
        <w:szCs w:val="22"/>
      </w:rPr>
    </w:lvl>
    <w:lvl w:ilvl="1">
      <w:start w:val="0"/>
      <w:numFmt w:val="bullet"/>
      <w:lvlText w:val="•"/>
      <w:lvlJc w:val="left"/>
      <w:pPr>
        <w:ind w:left="1914" w:hanging="221"/>
      </w:pPr>
      <w:rPr>
        <w:rFonts w:hint="default"/>
      </w:rPr>
    </w:lvl>
    <w:lvl w:ilvl="2">
      <w:start w:val="0"/>
      <w:numFmt w:val="bullet"/>
      <w:lvlText w:val="•"/>
      <w:lvlJc w:val="left"/>
      <w:pPr>
        <w:ind w:left="2768" w:hanging="221"/>
      </w:pPr>
      <w:rPr>
        <w:rFonts w:hint="default"/>
      </w:rPr>
    </w:lvl>
    <w:lvl w:ilvl="3">
      <w:start w:val="0"/>
      <w:numFmt w:val="bullet"/>
      <w:lvlText w:val="•"/>
      <w:lvlJc w:val="left"/>
      <w:pPr>
        <w:ind w:left="3622" w:hanging="221"/>
      </w:pPr>
      <w:rPr>
        <w:rFonts w:hint="default"/>
      </w:rPr>
    </w:lvl>
    <w:lvl w:ilvl="4">
      <w:start w:val="0"/>
      <w:numFmt w:val="bullet"/>
      <w:lvlText w:val="•"/>
      <w:lvlJc w:val="left"/>
      <w:pPr>
        <w:ind w:left="4476" w:hanging="221"/>
      </w:pPr>
      <w:rPr>
        <w:rFonts w:hint="default"/>
      </w:rPr>
    </w:lvl>
    <w:lvl w:ilvl="5">
      <w:start w:val="0"/>
      <w:numFmt w:val="bullet"/>
      <w:lvlText w:val="•"/>
      <w:lvlJc w:val="left"/>
      <w:pPr>
        <w:ind w:left="5330" w:hanging="221"/>
      </w:pPr>
      <w:rPr>
        <w:rFonts w:hint="default"/>
      </w:rPr>
    </w:lvl>
    <w:lvl w:ilvl="6">
      <w:start w:val="0"/>
      <w:numFmt w:val="bullet"/>
      <w:lvlText w:val="•"/>
      <w:lvlJc w:val="left"/>
      <w:pPr>
        <w:ind w:left="6184" w:hanging="221"/>
      </w:pPr>
      <w:rPr>
        <w:rFonts w:hint="default"/>
      </w:rPr>
    </w:lvl>
    <w:lvl w:ilvl="7">
      <w:start w:val="0"/>
      <w:numFmt w:val="bullet"/>
      <w:lvlText w:val="•"/>
      <w:lvlJc w:val="left"/>
      <w:pPr>
        <w:ind w:left="7038" w:hanging="221"/>
      </w:pPr>
      <w:rPr>
        <w:rFonts w:hint="default"/>
      </w:rPr>
    </w:lvl>
    <w:lvl w:ilvl="8">
      <w:start w:val="0"/>
      <w:numFmt w:val="bullet"/>
      <w:lvlText w:val="•"/>
      <w:lvlJc w:val="left"/>
      <w:pPr>
        <w:ind w:left="7892" w:hanging="221"/>
      </w:pPr>
      <w:rPr>
        <w:rFonts w:hint="default"/>
      </w:rPr>
    </w:lvl>
  </w:abstractNum>
  <w:abstractNum w:abstractNumId="228">
    <w:multiLevelType w:val="hybridMultilevel"/>
    <w:lvl w:ilvl="0">
      <w:start w:val="1"/>
      <w:numFmt w:val="lowerLetter"/>
      <w:lvlText w:val="%1)"/>
      <w:lvlJc w:val="left"/>
      <w:pPr>
        <w:ind w:left="1068" w:hanging="229"/>
        <w:jc w:val="left"/>
      </w:pPr>
      <w:rPr>
        <w:rFonts w:hint="default" w:ascii="Times New Roman" w:hAnsi="Times New Roman" w:eastAsia="Times New Roman" w:cs="Times New Roman"/>
        <w:w w:val="100"/>
        <w:sz w:val="22"/>
        <w:szCs w:val="22"/>
      </w:rPr>
    </w:lvl>
    <w:lvl w:ilvl="1">
      <w:start w:val="0"/>
      <w:numFmt w:val="bullet"/>
      <w:lvlText w:val="•"/>
      <w:lvlJc w:val="left"/>
      <w:pPr>
        <w:ind w:left="1914" w:hanging="229"/>
      </w:pPr>
      <w:rPr>
        <w:rFonts w:hint="default"/>
      </w:rPr>
    </w:lvl>
    <w:lvl w:ilvl="2">
      <w:start w:val="0"/>
      <w:numFmt w:val="bullet"/>
      <w:lvlText w:val="•"/>
      <w:lvlJc w:val="left"/>
      <w:pPr>
        <w:ind w:left="2768" w:hanging="229"/>
      </w:pPr>
      <w:rPr>
        <w:rFonts w:hint="default"/>
      </w:rPr>
    </w:lvl>
    <w:lvl w:ilvl="3">
      <w:start w:val="0"/>
      <w:numFmt w:val="bullet"/>
      <w:lvlText w:val="•"/>
      <w:lvlJc w:val="left"/>
      <w:pPr>
        <w:ind w:left="3622" w:hanging="229"/>
      </w:pPr>
      <w:rPr>
        <w:rFonts w:hint="default"/>
      </w:rPr>
    </w:lvl>
    <w:lvl w:ilvl="4">
      <w:start w:val="0"/>
      <w:numFmt w:val="bullet"/>
      <w:lvlText w:val="•"/>
      <w:lvlJc w:val="left"/>
      <w:pPr>
        <w:ind w:left="4476" w:hanging="229"/>
      </w:pPr>
      <w:rPr>
        <w:rFonts w:hint="default"/>
      </w:rPr>
    </w:lvl>
    <w:lvl w:ilvl="5">
      <w:start w:val="0"/>
      <w:numFmt w:val="bullet"/>
      <w:lvlText w:val="•"/>
      <w:lvlJc w:val="left"/>
      <w:pPr>
        <w:ind w:left="5330" w:hanging="229"/>
      </w:pPr>
      <w:rPr>
        <w:rFonts w:hint="default"/>
      </w:rPr>
    </w:lvl>
    <w:lvl w:ilvl="6">
      <w:start w:val="0"/>
      <w:numFmt w:val="bullet"/>
      <w:lvlText w:val="•"/>
      <w:lvlJc w:val="left"/>
      <w:pPr>
        <w:ind w:left="6184" w:hanging="229"/>
      </w:pPr>
      <w:rPr>
        <w:rFonts w:hint="default"/>
      </w:rPr>
    </w:lvl>
    <w:lvl w:ilvl="7">
      <w:start w:val="0"/>
      <w:numFmt w:val="bullet"/>
      <w:lvlText w:val="•"/>
      <w:lvlJc w:val="left"/>
      <w:pPr>
        <w:ind w:left="7038" w:hanging="229"/>
      </w:pPr>
      <w:rPr>
        <w:rFonts w:hint="default"/>
      </w:rPr>
    </w:lvl>
    <w:lvl w:ilvl="8">
      <w:start w:val="0"/>
      <w:numFmt w:val="bullet"/>
      <w:lvlText w:val="•"/>
      <w:lvlJc w:val="left"/>
      <w:pPr>
        <w:ind w:left="7892" w:hanging="229"/>
      </w:pPr>
      <w:rPr>
        <w:rFonts w:hint="default"/>
      </w:rPr>
    </w:lvl>
  </w:abstractNum>
  <w:abstractNum w:abstractNumId="227">
    <w:multiLevelType w:val="hybridMultilevel"/>
    <w:lvl w:ilvl="0">
      <w:start w:val="1"/>
      <w:numFmt w:val="decimal"/>
      <w:lvlText w:val="%1."/>
      <w:lvlJc w:val="left"/>
      <w:pPr>
        <w:ind w:left="120" w:hanging="226"/>
        <w:jc w:val="left"/>
      </w:pPr>
      <w:rPr>
        <w:rFonts w:hint="default" w:ascii="Times New Roman" w:hAnsi="Times New Roman" w:eastAsia="Times New Roman" w:cs="Times New Roman"/>
        <w:w w:val="100"/>
        <w:sz w:val="22"/>
        <w:szCs w:val="22"/>
      </w:rPr>
    </w:lvl>
    <w:lvl w:ilvl="1">
      <w:start w:val="0"/>
      <w:numFmt w:val="bullet"/>
      <w:lvlText w:val="•"/>
      <w:lvlJc w:val="left"/>
      <w:pPr>
        <w:ind w:left="1068" w:hanging="226"/>
      </w:pPr>
      <w:rPr>
        <w:rFonts w:hint="default"/>
      </w:rPr>
    </w:lvl>
    <w:lvl w:ilvl="2">
      <w:start w:val="0"/>
      <w:numFmt w:val="bullet"/>
      <w:lvlText w:val="•"/>
      <w:lvlJc w:val="left"/>
      <w:pPr>
        <w:ind w:left="2016" w:hanging="226"/>
      </w:pPr>
      <w:rPr>
        <w:rFonts w:hint="default"/>
      </w:rPr>
    </w:lvl>
    <w:lvl w:ilvl="3">
      <w:start w:val="0"/>
      <w:numFmt w:val="bullet"/>
      <w:lvlText w:val="•"/>
      <w:lvlJc w:val="left"/>
      <w:pPr>
        <w:ind w:left="2964" w:hanging="226"/>
      </w:pPr>
      <w:rPr>
        <w:rFonts w:hint="default"/>
      </w:rPr>
    </w:lvl>
    <w:lvl w:ilvl="4">
      <w:start w:val="0"/>
      <w:numFmt w:val="bullet"/>
      <w:lvlText w:val="•"/>
      <w:lvlJc w:val="left"/>
      <w:pPr>
        <w:ind w:left="3912" w:hanging="226"/>
      </w:pPr>
      <w:rPr>
        <w:rFonts w:hint="default"/>
      </w:rPr>
    </w:lvl>
    <w:lvl w:ilvl="5">
      <w:start w:val="0"/>
      <w:numFmt w:val="bullet"/>
      <w:lvlText w:val="•"/>
      <w:lvlJc w:val="left"/>
      <w:pPr>
        <w:ind w:left="4860" w:hanging="226"/>
      </w:pPr>
      <w:rPr>
        <w:rFonts w:hint="default"/>
      </w:rPr>
    </w:lvl>
    <w:lvl w:ilvl="6">
      <w:start w:val="0"/>
      <w:numFmt w:val="bullet"/>
      <w:lvlText w:val="•"/>
      <w:lvlJc w:val="left"/>
      <w:pPr>
        <w:ind w:left="5808" w:hanging="226"/>
      </w:pPr>
      <w:rPr>
        <w:rFonts w:hint="default"/>
      </w:rPr>
    </w:lvl>
    <w:lvl w:ilvl="7">
      <w:start w:val="0"/>
      <w:numFmt w:val="bullet"/>
      <w:lvlText w:val="•"/>
      <w:lvlJc w:val="left"/>
      <w:pPr>
        <w:ind w:left="6756" w:hanging="226"/>
      </w:pPr>
      <w:rPr>
        <w:rFonts w:hint="default"/>
      </w:rPr>
    </w:lvl>
    <w:lvl w:ilvl="8">
      <w:start w:val="0"/>
      <w:numFmt w:val="bullet"/>
      <w:lvlText w:val="•"/>
      <w:lvlJc w:val="left"/>
      <w:pPr>
        <w:ind w:left="7704" w:hanging="226"/>
      </w:pPr>
      <w:rPr>
        <w:rFonts w:hint="default"/>
      </w:rPr>
    </w:lvl>
  </w:abstractNum>
  <w:abstractNum w:abstractNumId="226">
    <w:multiLevelType w:val="hybridMultilevel"/>
    <w:lvl w:ilvl="0">
      <w:start w:val="1"/>
      <w:numFmt w:val="lowerLetter"/>
      <w:lvlText w:val="%1)"/>
      <w:lvlJc w:val="left"/>
      <w:pPr>
        <w:ind w:left="120" w:hanging="279"/>
        <w:jc w:val="left"/>
      </w:pPr>
      <w:rPr>
        <w:rFonts w:hint="default" w:ascii="Times New Roman" w:hAnsi="Times New Roman" w:eastAsia="Times New Roman" w:cs="Times New Roman"/>
        <w:w w:val="100"/>
        <w:sz w:val="22"/>
        <w:szCs w:val="22"/>
      </w:rPr>
    </w:lvl>
    <w:lvl w:ilvl="1">
      <w:start w:val="0"/>
      <w:numFmt w:val="bullet"/>
      <w:lvlText w:val="•"/>
      <w:lvlJc w:val="left"/>
      <w:pPr>
        <w:ind w:left="1068" w:hanging="279"/>
      </w:pPr>
      <w:rPr>
        <w:rFonts w:hint="default"/>
      </w:rPr>
    </w:lvl>
    <w:lvl w:ilvl="2">
      <w:start w:val="0"/>
      <w:numFmt w:val="bullet"/>
      <w:lvlText w:val="•"/>
      <w:lvlJc w:val="left"/>
      <w:pPr>
        <w:ind w:left="2016" w:hanging="279"/>
      </w:pPr>
      <w:rPr>
        <w:rFonts w:hint="default"/>
      </w:rPr>
    </w:lvl>
    <w:lvl w:ilvl="3">
      <w:start w:val="0"/>
      <w:numFmt w:val="bullet"/>
      <w:lvlText w:val="•"/>
      <w:lvlJc w:val="left"/>
      <w:pPr>
        <w:ind w:left="2964" w:hanging="279"/>
      </w:pPr>
      <w:rPr>
        <w:rFonts w:hint="default"/>
      </w:rPr>
    </w:lvl>
    <w:lvl w:ilvl="4">
      <w:start w:val="0"/>
      <w:numFmt w:val="bullet"/>
      <w:lvlText w:val="•"/>
      <w:lvlJc w:val="left"/>
      <w:pPr>
        <w:ind w:left="3912" w:hanging="279"/>
      </w:pPr>
      <w:rPr>
        <w:rFonts w:hint="default"/>
      </w:rPr>
    </w:lvl>
    <w:lvl w:ilvl="5">
      <w:start w:val="0"/>
      <w:numFmt w:val="bullet"/>
      <w:lvlText w:val="•"/>
      <w:lvlJc w:val="left"/>
      <w:pPr>
        <w:ind w:left="4860" w:hanging="279"/>
      </w:pPr>
      <w:rPr>
        <w:rFonts w:hint="default"/>
      </w:rPr>
    </w:lvl>
    <w:lvl w:ilvl="6">
      <w:start w:val="0"/>
      <w:numFmt w:val="bullet"/>
      <w:lvlText w:val="•"/>
      <w:lvlJc w:val="left"/>
      <w:pPr>
        <w:ind w:left="5808" w:hanging="279"/>
      </w:pPr>
      <w:rPr>
        <w:rFonts w:hint="default"/>
      </w:rPr>
    </w:lvl>
    <w:lvl w:ilvl="7">
      <w:start w:val="0"/>
      <w:numFmt w:val="bullet"/>
      <w:lvlText w:val="•"/>
      <w:lvlJc w:val="left"/>
      <w:pPr>
        <w:ind w:left="6756" w:hanging="279"/>
      </w:pPr>
      <w:rPr>
        <w:rFonts w:hint="default"/>
      </w:rPr>
    </w:lvl>
    <w:lvl w:ilvl="8">
      <w:start w:val="0"/>
      <w:numFmt w:val="bullet"/>
      <w:lvlText w:val="•"/>
      <w:lvlJc w:val="left"/>
      <w:pPr>
        <w:ind w:left="7704" w:hanging="279"/>
      </w:pPr>
      <w:rPr>
        <w:rFonts w:hint="default"/>
      </w:rPr>
    </w:lvl>
  </w:abstractNum>
  <w:abstractNum w:abstractNumId="225">
    <w:multiLevelType w:val="hybridMultilevel"/>
    <w:lvl w:ilvl="0">
      <w:start w:val="1"/>
      <w:numFmt w:val="decimal"/>
      <w:lvlText w:val="%1."/>
      <w:lvlJc w:val="left"/>
      <w:pPr>
        <w:ind w:left="119" w:hanging="255"/>
        <w:jc w:val="left"/>
      </w:pPr>
      <w:rPr>
        <w:rFonts w:hint="default" w:ascii="Times New Roman" w:hAnsi="Times New Roman" w:eastAsia="Times New Roman" w:cs="Times New Roman"/>
        <w:w w:val="100"/>
        <w:sz w:val="22"/>
        <w:szCs w:val="22"/>
      </w:rPr>
    </w:lvl>
    <w:lvl w:ilvl="1">
      <w:start w:val="0"/>
      <w:numFmt w:val="bullet"/>
      <w:lvlText w:val="•"/>
      <w:lvlJc w:val="left"/>
      <w:pPr>
        <w:ind w:left="1068" w:hanging="255"/>
      </w:pPr>
      <w:rPr>
        <w:rFonts w:hint="default"/>
      </w:rPr>
    </w:lvl>
    <w:lvl w:ilvl="2">
      <w:start w:val="0"/>
      <w:numFmt w:val="bullet"/>
      <w:lvlText w:val="•"/>
      <w:lvlJc w:val="left"/>
      <w:pPr>
        <w:ind w:left="2016" w:hanging="255"/>
      </w:pPr>
      <w:rPr>
        <w:rFonts w:hint="default"/>
      </w:rPr>
    </w:lvl>
    <w:lvl w:ilvl="3">
      <w:start w:val="0"/>
      <w:numFmt w:val="bullet"/>
      <w:lvlText w:val="•"/>
      <w:lvlJc w:val="left"/>
      <w:pPr>
        <w:ind w:left="2964" w:hanging="255"/>
      </w:pPr>
      <w:rPr>
        <w:rFonts w:hint="default"/>
      </w:rPr>
    </w:lvl>
    <w:lvl w:ilvl="4">
      <w:start w:val="0"/>
      <w:numFmt w:val="bullet"/>
      <w:lvlText w:val="•"/>
      <w:lvlJc w:val="left"/>
      <w:pPr>
        <w:ind w:left="3912" w:hanging="255"/>
      </w:pPr>
      <w:rPr>
        <w:rFonts w:hint="default"/>
      </w:rPr>
    </w:lvl>
    <w:lvl w:ilvl="5">
      <w:start w:val="0"/>
      <w:numFmt w:val="bullet"/>
      <w:lvlText w:val="•"/>
      <w:lvlJc w:val="left"/>
      <w:pPr>
        <w:ind w:left="4860" w:hanging="255"/>
      </w:pPr>
      <w:rPr>
        <w:rFonts w:hint="default"/>
      </w:rPr>
    </w:lvl>
    <w:lvl w:ilvl="6">
      <w:start w:val="0"/>
      <w:numFmt w:val="bullet"/>
      <w:lvlText w:val="•"/>
      <w:lvlJc w:val="left"/>
      <w:pPr>
        <w:ind w:left="5808" w:hanging="255"/>
      </w:pPr>
      <w:rPr>
        <w:rFonts w:hint="default"/>
      </w:rPr>
    </w:lvl>
    <w:lvl w:ilvl="7">
      <w:start w:val="0"/>
      <w:numFmt w:val="bullet"/>
      <w:lvlText w:val="•"/>
      <w:lvlJc w:val="left"/>
      <w:pPr>
        <w:ind w:left="6756" w:hanging="255"/>
      </w:pPr>
      <w:rPr>
        <w:rFonts w:hint="default"/>
      </w:rPr>
    </w:lvl>
    <w:lvl w:ilvl="8">
      <w:start w:val="0"/>
      <w:numFmt w:val="bullet"/>
      <w:lvlText w:val="•"/>
      <w:lvlJc w:val="left"/>
      <w:pPr>
        <w:ind w:left="7704" w:hanging="255"/>
      </w:pPr>
      <w:rPr>
        <w:rFonts w:hint="default"/>
      </w:rPr>
    </w:lvl>
  </w:abstractNum>
  <w:abstractNum w:abstractNumId="224">
    <w:multiLevelType w:val="hybridMultilevel"/>
    <w:lvl w:ilvl="0">
      <w:start w:val="1"/>
      <w:numFmt w:val="lowerLetter"/>
      <w:lvlText w:val="%1)"/>
      <w:lvlJc w:val="left"/>
      <w:pPr>
        <w:ind w:left="1068" w:hanging="229"/>
        <w:jc w:val="left"/>
      </w:pPr>
      <w:rPr>
        <w:rFonts w:hint="default" w:ascii="Times New Roman" w:hAnsi="Times New Roman" w:eastAsia="Times New Roman" w:cs="Times New Roman"/>
        <w:w w:val="100"/>
        <w:sz w:val="22"/>
        <w:szCs w:val="22"/>
      </w:rPr>
    </w:lvl>
    <w:lvl w:ilvl="1">
      <w:start w:val="0"/>
      <w:numFmt w:val="bullet"/>
      <w:lvlText w:val="•"/>
      <w:lvlJc w:val="left"/>
      <w:pPr>
        <w:ind w:left="1914" w:hanging="229"/>
      </w:pPr>
      <w:rPr>
        <w:rFonts w:hint="default"/>
      </w:rPr>
    </w:lvl>
    <w:lvl w:ilvl="2">
      <w:start w:val="0"/>
      <w:numFmt w:val="bullet"/>
      <w:lvlText w:val="•"/>
      <w:lvlJc w:val="left"/>
      <w:pPr>
        <w:ind w:left="2768" w:hanging="229"/>
      </w:pPr>
      <w:rPr>
        <w:rFonts w:hint="default"/>
      </w:rPr>
    </w:lvl>
    <w:lvl w:ilvl="3">
      <w:start w:val="0"/>
      <w:numFmt w:val="bullet"/>
      <w:lvlText w:val="•"/>
      <w:lvlJc w:val="left"/>
      <w:pPr>
        <w:ind w:left="3622" w:hanging="229"/>
      </w:pPr>
      <w:rPr>
        <w:rFonts w:hint="default"/>
      </w:rPr>
    </w:lvl>
    <w:lvl w:ilvl="4">
      <w:start w:val="0"/>
      <w:numFmt w:val="bullet"/>
      <w:lvlText w:val="•"/>
      <w:lvlJc w:val="left"/>
      <w:pPr>
        <w:ind w:left="4476" w:hanging="229"/>
      </w:pPr>
      <w:rPr>
        <w:rFonts w:hint="default"/>
      </w:rPr>
    </w:lvl>
    <w:lvl w:ilvl="5">
      <w:start w:val="0"/>
      <w:numFmt w:val="bullet"/>
      <w:lvlText w:val="•"/>
      <w:lvlJc w:val="left"/>
      <w:pPr>
        <w:ind w:left="5330" w:hanging="229"/>
      </w:pPr>
      <w:rPr>
        <w:rFonts w:hint="default"/>
      </w:rPr>
    </w:lvl>
    <w:lvl w:ilvl="6">
      <w:start w:val="0"/>
      <w:numFmt w:val="bullet"/>
      <w:lvlText w:val="•"/>
      <w:lvlJc w:val="left"/>
      <w:pPr>
        <w:ind w:left="6184" w:hanging="229"/>
      </w:pPr>
      <w:rPr>
        <w:rFonts w:hint="default"/>
      </w:rPr>
    </w:lvl>
    <w:lvl w:ilvl="7">
      <w:start w:val="0"/>
      <w:numFmt w:val="bullet"/>
      <w:lvlText w:val="•"/>
      <w:lvlJc w:val="left"/>
      <w:pPr>
        <w:ind w:left="7038" w:hanging="229"/>
      </w:pPr>
      <w:rPr>
        <w:rFonts w:hint="default"/>
      </w:rPr>
    </w:lvl>
    <w:lvl w:ilvl="8">
      <w:start w:val="0"/>
      <w:numFmt w:val="bullet"/>
      <w:lvlText w:val="•"/>
      <w:lvlJc w:val="left"/>
      <w:pPr>
        <w:ind w:left="7892" w:hanging="229"/>
      </w:pPr>
      <w:rPr>
        <w:rFonts w:hint="default"/>
      </w:rPr>
    </w:lvl>
  </w:abstractNum>
  <w:abstractNum w:abstractNumId="223">
    <w:multiLevelType w:val="hybridMultilevel"/>
    <w:lvl w:ilvl="0">
      <w:start w:val="1"/>
      <w:numFmt w:val="lowerLetter"/>
      <w:lvlText w:val="%1)"/>
      <w:lvlJc w:val="left"/>
      <w:pPr>
        <w:ind w:left="1068" w:hanging="229"/>
        <w:jc w:val="left"/>
      </w:pPr>
      <w:rPr>
        <w:rFonts w:hint="default" w:ascii="Times New Roman" w:hAnsi="Times New Roman" w:eastAsia="Times New Roman" w:cs="Times New Roman"/>
        <w:w w:val="100"/>
        <w:sz w:val="22"/>
        <w:szCs w:val="22"/>
      </w:rPr>
    </w:lvl>
    <w:lvl w:ilvl="1">
      <w:start w:val="0"/>
      <w:numFmt w:val="bullet"/>
      <w:lvlText w:val="•"/>
      <w:lvlJc w:val="left"/>
      <w:pPr>
        <w:ind w:left="1914" w:hanging="229"/>
      </w:pPr>
      <w:rPr>
        <w:rFonts w:hint="default"/>
      </w:rPr>
    </w:lvl>
    <w:lvl w:ilvl="2">
      <w:start w:val="0"/>
      <w:numFmt w:val="bullet"/>
      <w:lvlText w:val="•"/>
      <w:lvlJc w:val="left"/>
      <w:pPr>
        <w:ind w:left="2768" w:hanging="229"/>
      </w:pPr>
      <w:rPr>
        <w:rFonts w:hint="default"/>
      </w:rPr>
    </w:lvl>
    <w:lvl w:ilvl="3">
      <w:start w:val="0"/>
      <w:numFmt w:val="bullet"/>
      <w:lvlText w:val="•"/>
      <w:lvlJc w:val="left"/>
      <w:pPr>
        <w:ind w:left="3622" w:hanging="229"/>
      </w:pPr>
      <w:rPr>
        <w:rFonts w:hint="default"/>
      </w:rPr>
    </w:lvl>
    <w:lvl w:ilvl="4">
      <w:start w:val="0"/>
      <w:numFmt w:val="bullet"/>
      <w:lvlText w:val="•"/>
      <w:lvlJc w:val="left"/>
      <w:pPr>
        <w:ind w:left="4476" w:hanging="229"/>
      </w:pPr>
      <w:rPr>
        <w:rFonts w:hint="default"/>
      </w:rPr>
    </w:lvl>
    <w:lvl w:ilvl="5">
      <w:start w:val="0"/>
      <w:numFmt w:val="bullet"/>
      <w:lvlText w:val="•"/>
      <w:lvlJc w:val="left"/>
      <w:pPr>
        <w:ind w:left="5330" w:hanging="229"/>
      </w:pPr>
      <w:rPr>
        <w:rFonts w:hint="default"/>
      </w:rPr>
    </w:lvl>
    <w:lvl w:ilvl="6">
      <w:start w:val="0"/>
      <w:numFmt w:val="bullet"/>
      <w:lvlText w:val="•"/>
      <w:lvlJc w:val="left"/>
      <w:pPr>
        <w:ind w:left="6184" w:hanging="229"/>
      </w:pPr>
      <w:rPr>
        <w:rFonts w:hint="default"/>
      </w:rPr>
    </w:lvl>
    <w:lvl w:ilvl="7">
      <w:start w:val="0"/>
      <w:numFmt w:val="bullet"/>
      <w:lvlText w:val="•"/>
      <w:lvlJc w:val="left"/>
      <w:pPr>
        <w:ind w:left="7038" w:hanging="229"/>
      </w:pPr>
      <w:rPr>
        <w:rFonts w:hint="default"/>
      </w:rPr>
    </w:lvl>
    <w:lvl w:ilvl="8">
      <w:start w:val="0"/>
      <w:numFmt w:val="bullet"/>
      <w:lvlText w:val="•"/>
      <w:lvlJc w:val="left"/>
      <w:pPr>
        <w:ind w:left="7892" w:hanging="229"/>
      </w:pPr>
      <w:rPr>
        <w:rFonts w:hint="default"/>
      </w:rPr>
    </w:lvl>
  </w:abstractNum>
  <w:abstractNum w:abstractNumId="222">
    <w:multiLevelType w:val="hybridMultilevel"/>
    <w:lvl w:ilvl="0">
      <w:start w:val="1"/>
      <w:numFmt w:val="lowerLetter"/>
      <w:lvlText w:val="%1)"/>
      <w:lvlJc w:val="left"/>
      <w:pPr>
        <w:ind w:left="1068" w:hanging="229"/>
        <w:jc w:val="left"/>
      </w:pPr>
      <w:rPr>
        <w:rFonts w:hint="default" w:ascii="Times New Roman" w:hAnsi="Times New Roman" w:eastAsia="Times New Roman" w:cs="Times New Roman"/>
        <w:w w:val="100"/>
        <w:sz w:val="22"/>
        <w:szCs w:val="22"/>
      </w:rPr>
    </w:lvl>
    <w:lvl w:ilvl="1">
      <w:start w:val="0"/>
      <w:numFmt w:val="bullet"/>
      <w:lvlText w:val="•"/>
      <w:lvlJc w:val="left"/>
      <w:pPr>
        <w:ind w:left="1914" w:hanging="229"/>
      </w:pPr>
      <w:rPr>
        <w:rFonts w:hint="default"/>
      </w:rPr>
    </w:lvl>
    <w:lvl w:ilvl="2">
      <w:start w:val="0"/>
      <w:numFmt w:val="bullet"/>
      <w:lvlText w:val="•"/>
      <w:lvlJc w:val="left"/>
      <w:pPr>
        <w:ind w:left="2768" w:hanging="229"/>
      </w:pPr>
      <w:rPr>
        <w:rFonts w:hint="default"/>
      </w:rPr>
    </w:lvl>
    <w:lvl w:ilvl="3">
      <w:start w:val="0"/>
      <w:numFmt w:val="bullet"/>
      <w:lvlText w:val="•"/>
      <w:lvlJc w:val="left"/>
      <w:pPr>
        <w:ind w:left="3622" w:hanging="229"/>
      </w:pPr>
      <w:rPr>
        <w:rFonts w:hint="default"/>
      </w:rPr>
    </w:lvl>
    <w:lvl w:ilvl="4">
      <w:start w:val="0"/>
      <w:numFmt w:val="bullet"/>
      <w:lvlText w:val="•"/>
      <w:lvlJc w:val="left"/>
      <w:pPr>
        <w:ind w:left="4476" w:hanging="229"/>
      </w:pPr>
      <w:rPr>
        <w:rFonts w:hint="default"/>
      </w:rPr>
    </w:lvl>
    <w:lvl w:ilvl="5">
      <w:start w:val="0"/>
      <w:numFmt w:val="bullet"/>
      <w:lvlText w:val="•"/>
      <w:lvlJc w:val="left"/>
      <w:pPr>
        <w:ind w:left="5330" w:hanging="229"/>
      </w:pPr>
      <w:rPr>
        <w:rFonts w:hint="default"/>
      </w:rPr>
    </w:lvl>
    <w:lvl w:ilvl="6">
      <w:start w:val="0"/>
      <w:numFmt w:val="bullet"/>
      <w:lvlText w:val="•"/>
      <w:lvlJc w:val="left"/>
      <w:pPr>
        <w:ind w:left="6184" w:hanging="229"/>
      </w:pPr>
      <w:rPr>
        <w:rFonts w:hint="default"/>
      </w:rPr>
    </w:lvl>
    <w:lvl w:ilvl="7">
      <w:start w:val="0"/>
      <w:numFmt w:val="bullet"/>
      <w:lvlText w:val="•"/>
      <w:lvlJc w:val="left"/>
      <w:pPr>
        <w:ind w:left="7038" w:hanging="229"/>
      </w:pPr>
      <w:rPr>
        <w:rFonts w:hint="default"/>
      </w:rPr>
    </w:lvl>
    <w:lvl w:ilvl="8">
      <w:start w:val="0"/>
      <w:numFmt w:val="bullet"/>
      <w:lvlText w:val="•"/>
      <w:lvlJc w:val="left"/>
      <w:pPr>
        <w:ind w:left="7892" w:hanging="229"/>
      </w:pPr>
      <w:rPr>
        <w:rFonts w:hint="default"/>
      </w:rPr>
    </w:lvl>
  </w:abstractNum>
  <w:abstractNum w:abstractNumId="221">
    <w:multiLevelType w:val="hybridMultilevel"/>
    <w:lvl w:ilvl="0">
      <w:start w:val="1"/>
      <w:numFmt w:val="lowerLetter"/>
      <w:lvlText w:val="%1)"/>
      <w:lvlJc w:val="left"/>
      <w:pPr>
        <w:ind w:left="119" w:hanging="248"/>
        <w:jc w:val="left"/>
      </w:pPr>
      <w:rPr>
        <w:rFonts w:hint="default" w:ascii="Times New Roman" w:hAnsi="Times New Roman" w:eastAsia="Times New Roman" w:cs="Times New Roman"/>
        <w:w w:val="100"/>
        <w:sz w:val="22"/>
        <w:szCs w:val="22"/>
      </w:rPr>
    </w:lvl>
    <w:lvl w:ilvl="1">
      <w:start w:val="0"/>
      <w:numFmt w:val="bullet"/>
      <w:lvlText w:val="•"/>
      <w:lvlJc w:val="left"/>
      <w:pPr>
        <w:ind w:left="1068" w:hanging="248"/>
      </w:pPr>
      <w:rPr>
        <w:rFonts w:hint="default"/>
      </w:rPr>
    </w:lvl>
    <w:lvl w:ilvl="2">
      <w:start w:val="0"/>
      <w:numFmt w:val="bullet"/>
      <w:lvlText w:val="•"/>
      <w:lvlJc w:val="left"/>
      <w:pPr>
        <w:ind w:left="2016" w:hanging="248"/>
      </w:pPr>
      <w:rPr>
        <w:rFonts w:hint="default"/>
      </w:rPr>
    </w:lvl>
    <w:lvl w:ilvl="3">
      <w:start w:val="0"/>
      <w:numFmt w:val="bullet"/>
      <w:lvlText w:val="•"/>
      <w:lvlJc w:val="left"/>
      <w:pPr>
        <w:ind w:left="2964" w:hanging="248"/>
      </w:pPr>
      <w:rPr>
        <w:rFonts w:hint="default"/>
      </w:rPr>
    </w:lvl>
    <w:lvl w:ilvl="4">
      <w:start w:val="0"/>
      <w:numFmt w:val="bullet"/>
      <w:lvlText w:val="•"/>
      <w:lvlJc w:val="left"/>
      <w:pPr>
        <w:ind w:left="3912" w:hanging="248"/>
      </w:pPr>
      <w:rPr>
        <w:rFonts w:hint="default"/>
      </w:rPr>
    </w:lvl>
    <w:lvl w:ilvl="5">
      <w:start w:val="0"/>
      <w:numFmt w:val="bullet"/>
      <w:lvlText w:val="•"/>
      <w:lvlJc w:val="left"/>
      <w:pPr>
        <w:ind w:left="4860" w:hanging="248"/>
      </w:pPr>
      <w:rPr>
        <w:rFonts w:hint="default"/>
      </w:rPr>
    </w:lvl>
    <w:lvl w:ilvl="6">
      <w:start w:val="0"/>
      <w:numFmt w:val="bullet"/>
      <w:lvlText w:val="•"/>
      <w:lvlJc w:val="left"/>
      <w:pPr>
        <w:ind w:left="5808" w:hanging="248"/>
      </w:pPr>
      <w:rPr>
        <w:rFonts w:hint="default"/>
      </w:rPr>
    </w:lvl>
    <w:lvl w:ilvl="7">
      <w:start w:val="0"/>
      <w:numFmt w:val="bullet"/>
      <w:lvlText w:val="•"/>
      <w:lvlJc w:val="left"/>
      <w:pPr>
        <w:ind w:left="6756" w:hanging="248"/>
      </w:pPr>
      <w:rPr>
        <w:rFonts w:hint="default"/>
      </w:rPr>
    </w:lvl>
    <w:lvl w:ilvl="8">
      <w:start w:val="0"/>
      <w:numFmt w:val="bullet"/>
      <w:lvlText w:val="•"/>
      <w:lvlJc w:val="left"/>
      <w:pPr>
        <w:ind w:left="7704" w:hanging="248"/>
      </w:pPr>
      <w:rPr>
        <w:rFonts w:hint="default"/>
      </w:rPr>
    </w:lvl>
  </w:abstractNum>
  <w:abstractNum w:abstractNumId="220">
    <w:multiLevelType w:val="hybridMultilevel"/>
    <w:lvl w:ilvl="0">
      <w:start w:val="1"/>
      <w:numFmt w:val="decimal"/>
      <w:lvlText w:val="%1."/>
      <w:lvlJc w:val="left"/>
      <w:pPr>
        <w:ind w:left="119" w:hanging="233"/>
        <w:jc w:val="left"/>
      </w:pPr>
      <w:rPr>
        <w:rFonts w:hint="default" w:ascii="Times New Roman" w:hAnsi="Times New Roman" w:eastAsia="Times New Roman" w:cs="Times New Roman"/>
        <w:w w:val="100"/>
        <w:sz w:val="22"/>
        <w:szCs w:val="22"/>
      </w:rPr>
    </w:lvl>
    <w:lvl w:ilvl="1">
      <w:start w:val="0"/>
      <w:numFmt w:val="bullet"/>
      <w:lvlText w:val="•"/>
      <w:lvlJc w:val="left"/>
      <w:pPr>
        <w:ind w:left="1068" w:hanging="233"/>
      </w:pPr>
      <w:rPr>
        <w:rFonts w:hint="default"/>
      </w:rPr>
    </w:lvl>
    <w:lvl w:ilvl="2">
      <w:start w:val="0"/>
      <w:numFmt w:val="bullet"/>
      <w:lvlText w:val="•"/>
      <w:lvlJc w:val="left"/>
      <w:pPr>
        <w:ind w:left="2016" w:hanging="233"/>
      </w:pPr>
      <w:rPr>
        <w:rFonts w:hint="default"/>
      </w:rPr>
    </w:lvl>
    <w:lvl w:ilvl="3">
      <w:start w:val="0"/>
      <w:numFmt w:val="bullet"/>
      <w:lvlText w:val="•"/>
      <w:lvlJc w:val="left"/>
      <w:pPr>
        <w:ind w:left="2964" w:hanging="233"/>
      </w:pPr>
      <w:rPr>
        <w:rFonts w:hint="default"/>
      </w:rPr>
    </w:lvl>
    <w:lvl w:ilvl="4">
      <w:start w:val="0"/>
      <w:numFmt w:val="bullet"/>
      <w:lvlText w:val="•"/>
      <w:lvlJc w:val="left"/>
      <w:pPr>
        <w:ind w:left="3912" w:hanging="233"/>
      </w:pPr>
      <w:rPr>
        <w:rFonts w:hint="default"/>
      </w:rPr>
    </w:lvl>
    <w:lvl w:ilvl="5">
      <w:start w:val="0"/>
      <w:numFmt w:val="bullet"/>
      <w:lvlText w:val="•"/>
      <w:lvlJc w:val="left"/>
      <w:pPr>
        <w:ind w:left="4860" w:hanging="233"/>
      </w:pPr>
      <w:rPr>
        <w:rFonts w:hint="default"/>
      </w:rPr>
    </w:lvl>
    <w:lvl w:ilvl="6">
      <w:start w:val="0"/>
      <w:numFmt w:val="bullet"/>
      <w:lvlText w:val="•"/>
      <w:lvlJc w:val="left"/>
      <w:pPr>
        <w:ind w:left="5808" w:hanging="233"/>
      </w:pPr>
      <w:rPr>
        <w:rFonts w:hint="default"/>
      </w:rPr>
    </w:lvl>
    <w:lvl w:ilvl="7">
      <w:start w:val="0"/>
      <w:numFmt w:val="bullet"/>
      <w:lvlText w:val="•"/>
      <w:lvlJc w:val="left"/>
      <w:pPr>
        <w:ind w:left="6756" w:hanging="233"/>
      </w:pPr>
      <w:rPr>
        <w:rFonts w:hint="default"/>
      </w:rPr>
    </w:lvl>
    <w:lvl w:ilvl="8">
      <w:start w:val="0"/>
      <w:numFmt w:val="bullet"/>
      <w:lvlText w:val="•"/>
      <w:lvlJc w:val="left"/>
      <w:pPr>
        <w:ind w:left="7704" w:hanging="233"/>
      </w:pPr>
      <w:rPr>
        <w:rFonts w:hint="default"/>
      </w:rPr>
    </w:lvl>
  </w:abstractNum>
  <w:abstractNum w:abstractNumId="219">
    <w:multiLevelType w:val="hybridMultilevel"/>
    <w:lvl w:ilvl="0">
      <w:start w:val="1"/>
      <w:numFmt w:val="decimal"/>
      <w:lvlText w:val="%1."/>
      <w:lvlJc w:val="left"/>
      <w:pPr>
        <w:ind w:left="120" w:hanging="226"/>
        <w:jc w:val="left"/>
      </w:pPr>
      <w:rPr>
        <w:rFonts w:hint="default" w:ascii="Times New Roman" w:hAnsi="Times New Roman" w:eastAsia="Times New Roman" w:cs="Times New Roman"/>
        <w:w w:val="100"/>
        <w:sz w:val="22"/>
        <w:szCs w:val="22"/>
      </w:rPr>
    </w:lvl>
    <w:lvl w:ilvl="1">
      <w:start w:val="0"/>
      <w:numFmt w:val="bullet"/>
      <w:lvlText w:val="•"/>
      <w:lvlJc w:val="left"/>
      <w:pPr>
        <w:ind w:left="1068" w:hanging="226"/>
      </w:pPr>
      <w:rPr>
        <w:rFonts w:hint="default"/>
      </w:rPr>
    </w:lvl>
    <w:lvl w:ilvl="2">
      <w:start w:val="0"/>
      <w:numFmt w:val="bullet"/>
      <w:lvlText w:val="•"/>
      <w:lvlJc w:val="left"/>
      <w:pPr>
        <w:ind w:left="2016" w:hanging="226"/>
      </w:pPr>
      <w:rPr>
        <w:rFonts w:hint="default"/>
      </w:rPr>
    </w:lvl>
    <w:lvl w:ilvl="3">
      <w:start w:val="0"/>
      <w:numFmt w:val="bullet"/>
      <w:lvlText w:val="•"/>
      <w:lvlJc w:val="left"/>
      <w:pPr>
        <w:ind w:left="2964" w:hanging="226"/>
      </w:pPr>
      <w:rPr>
        <w:rFonts w:hint="default"/>
      </w:rPr>
    </w:lvl>
    <w:lvl w:ilvl="4">
      <w:start w:val="0"/>
      <w:numFmt w:val="bullet"/>
      <w:lvlText w:val="•"/>
      <w:lvlJc w:val="left"/>
      <w:pPr>
        <w:ind w:left="3912" w:hanging="226"/>
      </w:pPr>
      <w:rPr>
        <w:rFonts w:hint="default"/>
      </w:rPr>
    </w:lvl>
    <w:lvl w:ilvl="5">
      <w:start w:val="0"/>
      <w:numFmt w:val="bullet"/>
      <w:lvlText w:val="•"/>
      <w:lvlJc w:val="left"/>
      <w:pPr>
        <w:ind w:left="4860" w:hanging="226"/>
      </w:pPr>
      <w:rPr>
        <w:rFonts w:hint="default"/>
      </w:rPr>
    </w:lvl>
    <w:lvl w:ilvl="6">
      <w:start w:val="0"/>
      <w:numFmt w:val="bullet"/>
      <w:lvlText w:val="•"/>
      <w:lvlJc w:val="left"/>
      <w:pPr>
        <w:ind w:left="5808" w:hanging="226"/>
      </w:pPr>
      <w:rPr>
        <w:rFonts w:hint="default"/>
      </w:rPr>
    </w:lvl>
    <w:lvl w:ilvl="7">
      <w:start w:val="0"/>
      <w:numFmt w:val="bullet"/>
      <w:lvlText w:val="•"/>
      <w:lvlJc w:val="left"/>
      <w:pPr>
        <w:ind w:left="6756" w:hanging="226"/>
      </w:pPr>
      <w:rPr>
        <w:rFonts w:hint="default"/>
      </w:rPr>
    </w:lvl>
    <w:lvl w:ilvl="8">
      <w:start w:val="0"/>
      <w:numFmt w:val="bullet"/>
      <w:lvlText w:val="•"/>
      <w:lvlJc w:val="left"/>
      <w:pPr>
        <w:ind w:left="7704" w:hanging="226"/>
      </w:pPr>
      <w:rPr>
        <w:rFonts w:hint="default"/>
      </w:rPr>
    </w:lvl>
  </w:abstractNum>
  <w:abstractNum w:abstractNumId="218">
    <w:multiLevelType w:val="hybridMultilevel"/>
    <w:lvl w:ilvl="0">
      <w:start w:val="1"/>
      <w:numFmt w:val="decimal"/>
      <w:lvlText w:val="%1."/>
      <w:lvlJc w:val="left"/>
      <w:pPr>
        <w:ind w:left="120" w:hanging="240"/>
        <w:jc w:val="left"/>
      </w:pPr>
      <w:rPr>
        <w:rFonts w:hint="default" w:ascii="Times New Roman" w:hAnsi="Times New Roman" w:eastAsia="Times New Roman" w:cs="Times New Roman"/>
        <w:w w:val="100"/>
        <w:sz w:val="22"/>
        <w:szCs w:val="22"/>
      </w:rPr>
    </w:lvl>
    <w:lvl w:ilvl="1">
      <w:start w:val="0"/>
      <w:numFmt w:val="bullet"/>
      <w:lvlText w:val="•"/>
      <w:lvlJc w:val="left"/>
      <w:pPr>
        <w:ind w:left="1068" w:hanging="240"/>
      </w:pPr>
      <w:rPr>
        <w:rFonts w:hint="default"/>
      </w:rPr>
    </w:lvl>
    <w:lvl w:ilvl="2">
      <w:start w:val="0"/>
      <w:numFmt w:val="bullet"/>
      <w:lvlText w:val="•"/>
      <w:lvlJc w:val="left"/>
      <w:pPr>
        <w:ind w:left="2016" w:hanging="240"/>
      </w:pPr>
      <w:rPr>
        <w:rFonts w:hint="default"/>
      </w:rPr>
    </w:lvl>
    <w:lvl w:ilvl="3">
      <w:start w:val="0"/>
      <w:numFmt w:val="bullet"/>
      <w:lvlText w:val="•"/>
      <w:lvlJc w:val="left"/>
      <w:pPr>
        <w:ind w:left="2964" w:hanging="240"/>
      </w:pPr>
      <w:rPr>
        <w:rFonts w:hint="default"/>
      </w:rPr>
    </w:lvl>
    <w:lvl w:ilvl="4">
      <w:start w:val="0"/>
      <w:numFmt w:val="bullet"/>
      <w:lvlText w:val="•"/>
      <w:lvlJc w:val="left"/>
      <w:pPr>
        <w:ind w:left="3912" w:hanging="240"/>
      </w:pPr>
      <w:rPr>
        <w:rFonts w:hint="default"/>
      </w:rPr>
    </w:lvl>
    <w:lvl w:ilvl="5">
      <w:start w:val="0"/>
      <w:numFmt w:val="bullet"/>
      <w:lvlText w:val="•"/>
      <w:lvlJc w:val="left"/>
      <w:pPr>
        <w:ind w:left="4860" w:hanging="240"/>
      </w:pPr>
      <w:rPr>
        <w:rFonts w:hint="default"/>
      </w:rPr>
    </w:lvl>
    <w:lvl w:ilvl="6">
      <w:start w:val="0"/>
      <w:numFmt w:val="bullet"/>
      <w:lvlText w:val="•"/>
      <w:lvlJc w:val="left"/>
      <w:pPr>
        <w:ind w:left="5808" w:hanging="240"/>
      </w:pPr>
      <w:rPr>
        <w:rFonts w:hint="default"/>
      </w:rPr>
    </w:lvl>
    <w:lvl w:ilvl="7">
      <w:start w:val="0"/>
      <w:numFmt w:val="bullet"/>
      <w:lvlText w:val="•"/>
      <w:lvlJc w:val="left"/>
      <w:pPr>
        <w:ind w:left="6756" w:hanging="240"/>
      </w:pPr>
      <w:rPr>
        <w:rFonts w:hint="default"/>
      </w:rPr>
    </w:lvl>
    <w:lvl w:ilvl="8">
      <w:start w:val="0"/>
      <w:numFmt w:val="bullet"/>
      <w:lvlText w:val="•"/>
      <w:lvlJc w:val="left"/>
      <w:pPr>
        <w:ind w:left="7704" w:hanging="240"/>
      </w:pPr>
      <w:rPr>
        <w:rFonts w:hint="default"/>
      </w:rPr>
    </w:lvl>
  </w:abstractNum>
  <w:abstractNum w:abstractNumId="217">
    <w:multiLevelType w:val="hybridMultilevel"/>
    <w:lvl w:ilvl="0">
      <w:start w:val="1"/>
      <w:numFmt w:val="lowerLetter"/>
      <w:lvlText w:val="%1)"/>
      <w:lvlJc w:val="left"/>
      <w:pPr>
        <w:ind w:left="1068" w:hanging="229"/>
        <w:jc w:val="left"/>
      </w:pPr>
      <w:rPr>
        <w:rFonts w:hint="default" w:ascii="Times New Roman" w:hAnsi="Times New Roman" w:eastAsia="Times New Roman" w:cs="Times New Roman"/>
        <w:w w:val="100"/>
        <w:sz w:val="22"/>
        <w:szCs w:val="22"/>
      </w:rPr>
    </w:lvl>
    <w:lvl w:ilvl="1">
      <w:start w:val="0"/>
      <w:numFmt w:val="bullet"/>
      <w:lvlText w:val="•"/>
      <w:lvlJc w:val="left"/>
      <w:pPr>
        <w:ind w:left="1914" w:hanging="229"/>
      </w:pPr>
      <w:rPr>
        <w:rFonts w:hint="default"/>
      </w:rPr>
    </w:lvl>
    <w:lvl w:ilvl="2">
      <w:start w:val="0"/>
      <w:numFmt w:val="bullet"/>
      <w:lvlText w:val="•"/>
      <w:lvlJc w:val="left"/>
      <w:pPr>
        <w:ind w:left="2768" w:hanging="229"/>
      </w:pPr>
      <w:rPr>
        <w:rFonts w:hint="default"/>
      </w:rPr>
    </w:lvl>
    <w:lvl w:ilvl="3">
      <w:start w:val="0"/>
      <w:numFmt w:val="bullet"/>
      <w:lvlText w:val="•"/>
      <w:lvlJc w:val="left"/>
      <w:pPr>
        <w:ind w:left="3622" w:hanging="229"/>
      </w:pPr>
      <w:rPr>
        <w:rFonts w:hint="default"/>
      </w:rPr>
    </w:lvl>
    <w:lvl w:ilvl="4">
      <w:start w:val="0"/>
      <w:numFmt w:val="bullet"/>
      <w:lvlText w:val="•"/>
      <w:lvlJc w:val="left"/>
      <w:pPr>
        <w:ind w:left="4476" w:hanging="229"/>
      </w:pPr>
      <w:rPr>
        <w:rFonts w:hint="default"/>
      </w:rPr>
    </w:lvl>
    <w:lvl w:ilvl="5">
      <w:start w:val="0"/>
      <w:numFmt w:val="bullet"/>
      <w:lvlText w:val="•"/>
      <w:lvlJc w:val="left"/>
      <w:pPr>
        <w:ind w:left="5330" w:hanging="229"/>
      </w:pPr>
      <w:rPr>
        <w:rFonts w:hint="default"/>
      </w:rPr>
    </w:lvl>
    <w:lvl w:ilvl="6">
      <w:start w:val="0"/>
      <w:numFmt w:val="bullet"/>
      <w:lvlText w:val="•"/>
      <w:lvlJc w:val="left"/>
      <w:pPr>
        <w:ind w:left="6184" w:hanging="229"/>
      </w:pPr>
      <w:rPr>
        <w:rFonts w:hint="default"/>
      </w:rPr>
    </w:lvl>
    <w:lvl w:ilvl="7">
      <w:start w:val="0"/>
      <w:numFmt w:val="bullet"/>
      <w:lvlText w:val="•"/>
      <w:lvlJc w:val="left"/>
      <w:pPr>
        <w:ind w:left="7038" w:hanging="229"/>
      </w:pPr>
      <w:rPr>
        <w:rFonts w:hint="default"/>
      </w:rPr>
    </w:lvl>
    <w:lvl w:ilvl="8">
      <w:start w:val="0"/>
      <w:numFmt w:val="bullet"/>
      <w:lvlText w:val="•"/>
      <w:lvlJc w:val="left"/>
      <w:pPr>
        <w:ind w:left="7892" w:hanging="229"/>
      </w:pPr>
      <w:rPr>
        <w:rFonts w:hint="default"/>
      </w:rPr>
    </w:lvl>
  </w:abstractNum>
  <w:abstractNum w:abstractNumId="216">
    <w:multiLevelType w:val="hybridMultilevel"/>
    <w:lvl w:ilvl="0">
      <w:start w:val="1"/>
      <w:numFmt w:val="lowerLetter"/>
      <w:lvlText w:val="%1)"/>
      <w:lvlJc w:val="left"/>
      <w:pPr>
        <w:ind w:left="356" w:hanging="238"/>
        <w:jc w:val="right"/>
      </w:pPr>
      <w:rPr>
        <w:rFonts w:hint="default" w:ascii="Times New Roman" w:hAnsi="Times New Roman" w:eastAsia="Times New Roman" w:cs="Times New Roman"/>
        <w:w w:val="100"/>
        <w:sz w:val="22"/>
        <w:szCs w:val="22"/>
      </w:rPr>
    </w:lvl>
    <w:lvl w:ilvl="1">
      <w:start w:val="0"/>
      <w:numFmt w:val="bullet"/>
      <w:lvlText w:val="•"/>
      <w:lvlJc w:val="left"/>
      <w:pPr>
        <w:ind w:left="1211" w:hanging="238"/>
      </w:pPr>
      <w:rPr>
        <w:rFonts w:hint="default"/>
      </w:rPr>
    </w:lvl>
    <w:lvl w:ilvl="2">
      <w:start w:val="0"/>
      <w:numFmt w:val="bullet"/>
      <w:lvlText w:val="•"/>
      <w:lvlJc w:val="left"/>
      <w:pPr>
        <w:ind w:left="2063" w:hanging="238"/>
      </w:pPr>
      <w:rPr>
        <w:rFonts w:hint="default"/>
      </w:rPr>
    </w:lvl>
    <w:lvl w:ilvl="3">
      <w:start w:val="0"/>
      <w:numFmt w:val="bullet"/>
      <w:lvlText w:val="•"/>
      <w:lvlJc w:val="left"/>
      <w:pPr>
        <w:ind w:left="2915" w:hanging="238"/>
      </w:pPr>
      <w:rPr>
        <w:rFonts w:hint="default"/>
      </w:rPr>
    </w:lvl>
    <w:lvl w:ilvl="4">
      <w:start w:val="0"/>
      <w:numFmt w:val="bullet"/>
      <w:lvlText w:val="•"/>
      <w:lvlJc w:val="left"/>
      <w:pPr>
        <w:ind w:left="3767" w:hanging="238"/>
      </w:pPr>
      <w:rPr>
        <w:rFonts w:hint="default"/>
      </w:rPr>
    </w:lvl>
    <w:lvl w:ilvl="5">
      <w:start w:val="0"/>
      <w:numFmt w:val="bullet"/>
      <w:lvlText w:val="•"/>
      <w:lvlJc w:val="left"/>
      <w:pPr>
        <w:ind w:left="4619" w:hanging="238"/>
      </w:pPr>
      <w:rPr>
        <w:rFonts w:hint="default"/>
      </w:rPr>
    </w:lvl>
    <w:lvl w:ilvl="6">
      <w:start w:val="0"/>
      <w:numFmt w:val="bullet"/>
      <w:lvlText w:val="•"/>
      <w:lvlJc w:val="left"/>
      <w:pPr>
        <w:ind w:left="5471" w:hanging="238"/>
      </w:pPr>
      <w:rPr>
        <w:rFonts w:hint="default"/>
      </w:rPr>
    </w:lvl>
    <w:lvl w:ilvl="7">
      <w:start w:val="0"/>
      <w:numFmt w:val="bullet"/>
      <w:lvlText w:val="•"/>
      <w:lvlJc w:val="left"/>
      <w:pPr>
        <w:ind w:left="6323" w:hanging="238"/>
      </w:pPr>
      <w:rPr>
        <w:rFonts w:hint="default"/>
      </w:rPr>
    </w:lvl>
    <w:lvl w:ilvl="8">
      <w:start w:val="0"/>
      <w:numFmt w:val="bullet"/>
      <w:lvlText w:val="•"/>
      <w:lvlJc w:val="left"/>
      <w:pPr>
        <w:ind w:left="7174" w:hanging="238"/>
      </w:pPr>
      <w:rPr>
        <w:rFonts w:hint="default"/>
      </w:rPr>
    </w:lvl>
  </w:abstractNum>
  <w:abstractNum w:abstractNumId="215">
    <w:multiLevelType w:val="hybridMultilevel"/>
    <w:lvl w:ilvl="0">
      <w:start w:val="1"/>
      <w:numFmt w:val="lowerLetter"/>
      <w:lvlText w:val="%1)"/>
      <w:lvlJc w:val="left"/>
      <w:pPr>
        <w:ind w:left="120" w:hanging="236"/>
        <w:jc w:val="right"/>
      </w:pPr>
      <w:rPr>
        <w:rFonts w:hint="default" w:ascii="Times New Roman" w:hAnsi="Times New Roman" w:eastAsia="Times New Roman" w:cs="Times New Roman"/>
        <w:w w:val="100"/>
        <w:sz w:val="22"/>
        <w:szCs w:val="22"/>
      </w:rPr>
    </w:lvl>
    <w:lvl w:ilvl="1">
      <w:start w:val="0"/>
      <w:numFmt w:val="bullet"/>
      <w:lvlText w:val="•"/>
      <w:lvlJc w:val="left"/>
      <w:pPr>
        <w:ind w:left="1068" w:hanging="236"/>
      </w:pPr>
      <w:rPr>
        <w:rFonts w:hint="default"/>
      </w:rPr>
    </w:lvl>
    <w:lvl w:ilvl="2">
      <w:start w:val="0"/>
      <w:numFmt w:val="bullet"/>
      <w:lvlText w:val="•"/>
      <w:lvlJc w:val="left"/>
      <w:pPr>
        <w:ind w:left="2016" w:hanging="236"/>
      </w:pPr>
      <w:rPr>
        <w:rFonts w:hint="default"/>
      </w:rPr>
    </w:lvl>
    <w:lvl w:ilvl="3">
      <w:start w:val="0"/>
      <w:numFmt w:val="bullet"/>
      <w:lvlText w:val="•"/>
      <w:lvlJc w:val="left"/>
      <w:pPr>
        <w:ind w:left="2964" w:hanging="236"/>
      </w:pPr>
      <w:rPr>
        <w:rFonts w:hint="default"/>
      </w:rPr>
    </w:lvl>
    <w:lvl w:ilvl="4">
      <w:start w:val="0"/>
      <w:numFmt w:val="bullet"/>
      <w:lvlText w:val="•"/>
      <w:lvlJc w:val="left"/>
      <w:pPr>
        <w:ind w:left="3912" w:hanging="236"/>
      </w:pPr>
      <w:rPr>
        <w:rFonts w:hint="default"/>
      </w:rPr>
    </w:lvl>
    <w:lvl w:ilvl="5">
      <w:start w:val="0"/>
      <w:numFmt w:val="bullet"/>
      <w:lvlText w:val="•"/>
      <w:lvlJc w:val="left"/>
      <w:pPr>
        <w:ind w:left="4860" w:hanging="236"/>
      </w:pPr>
      <w:rPr>
        <w:rFonts w:hint="default"/>
      </w:rPr>
    </w:lvl>
    <w:lvl w:ilvl="6">
      <w:start w:val="0"/>
      <w:numFmt w:val="bullet"/>
      <w:lvlText w:val="•"/>
      <w:lvlJc w:val="left"/>
      <w:pPr>
        <w:ind w:left="5808" w:hanging="236"/>
      </w:pPr>
      <w:rPr>
        <w:rFonts w:hint="default"/>
      </w:rPr>
    </w:lvl>
    <w:lvl w:ilvl="7">
      <w:start w:val="0"/>
      <w:numFmt w:val="bullet"/>
      <w:lvlText w:val="•"/>
      <w:lvlJc w:val="left"/>
      <w:pPr>
        <w:ind w:left="6756" w:hanging="236"/>
      </w:pPr>
      <w:rPr>
        <w:rFonts w:hint="default"/>
      </w:rPr>
    </w:lvl>
    <w:lvl w:ilvl="8">
      <w:start w:val="0"/>
      <w:numFmt w:val="bullet"/>
      <w:lvlText w:val="•"/>
      <w:lvlJc w:val="left"/>
      <w:pPr>
        <w:ind w:left="7704" w:hanging="236"/>
      </w:pPr>
      <w:rPr>
        <w:rFonts w:hint="default"/>
      </w:rPr>
    </w:lvl>
  </w:abstractNum>
  <w:abstractNum w:abstractNumId="214">
    <w:multiLevelType w:val="hybridMultilevel"/>
    <w:lvl w:ilvl="0">
      <w:start w:val="1"/>
      <w:numFmt w:val="lowerLetter"/>
      <w:lvlText w:val="%1)"/>
      <w:lvlJc w:val="left"/>
      <w:pPr>
        <w:ind w:left="120" w:hanging="238"/>
        <w:jc w:val="left"/>
      </w:pPr>
      <w:rPr>
        <w:rFonts w:hint="default" w:ascii="Times New Roman" w:hAnsi="Times New Roman" w:eastAsia="Times New Roman" w:cs="Times New Roman"/>
        <w:w w:val="100"/>
        <w:sz w:val="22"/>
        <w:szCs w:val="22"/>
      </w:rPr>
    </w:lvl>
    <w:lvl w:ilvl="1">
      <w:start w:val="0"/>
      <w:numFmt w:val="bullet"/>
      <w:lvlText w:val="•"/>
      <w:lvlJc w:val="left"/>
      <w:pPr>
        <w:ind w:left="1068" w:hanging="238"/>
      </w:pPr>
      <w:rPr>
        <w:rFonts w:hint="default"/>
      </w:rPr>
    </w:lvl>
    <w:lvl w:ilvl="2">
      <w:start w:val="0"/>
      <w:numFmt w:val="bullet"/>
      <w:lvlText w:val="•"/>
      <w:lvlJc w:val="left"/>
      <w:pPr>
        <w:ind w:left="2016" w:hanging="238"/>
      </w:pPr>
      <w:rPr>
        <w:rFonts w:hint="default"/>
      </w:rPr>
    </w:lvl>
    <w:lvl w:ilvl="3">
      <w:start w:val="0"/>
      <w:numFmt w:val="bullet"/>
      <w:lvlText w:val="•"/>
      <w:lvlJc w:val="left"/>
      <w:pPr>
        <w:ind w:left="2964" w:hanging="238"/>
      </w:pPr>
      <w:rPr>
        <w:rFonts w:hint="default"/>
      </w:rPr>
    </w:lvl>
    <w:lvl w:ilvl="4">
      <w:start w:val="0"/>
      <w:numFmt w:val="bullet"/>
      <w:lvlText w:val="•"/>
      <w:lvlJc w:val="left"/>
      <w:pPr>
        <w:ind w:left="3912" w:hanging="238"/>
      </w:pPr>
      <w:rPr>
        <w:rFonts w:hint="default"/>
      </w:rPr>
    </w:lvl>
    <w:lvl w:ilvl="5">
      <w:start w:val="0"/>
      <w:numFmt w:val="bullet"/>
      <w:lvlText w:val="•"/>
      <w:lvlJc w:val="left"/>
      <w:pPr>
        <w:ind w:left="4860" w:hanging="238"/>
      </w:pPr>
      <w:rPr>
        <w:rFonts w:hint="default"/>
      </w:rPr>
    </w:lvl>
    <w:lvl w:ilvl="6">
      <w:start w:val="0"/>
      <w:numFmt w:val="bullet"/>
      <w:lvlText w:val="•"/>
      <w:lvlJc w:val="left"/>
      <w:pPr>
        <w:ind w:left="5808" w:hanging="238"/>
      </w:pPr>
      <w:rPr>
        <w:rFonts w:hint="default"/>
      </w:rPr>
    </w:lvl>
    <w:lvl w:ilvl="7">
      <w:start w:val="0"/>
      <w:numFmt w:val="bullet"/>
      <w:lvlText w:val="•"/>
      <w:lvlJc w:val="left"/>
      <w:pPr>
        <w:ind w:left="6756" w:hanging="238"/>
      </w:pPr>
      <w:rPr>
        <w:rFonts w:hint="default"/>
      </w:rPr>
    </w:lvl>
    <w:lvl w:ilvl="8">
      <w:start w:val="0"/>
      <w:numFmt w:val="bullet"/>
      <w:lvlText w:val="•"/>
      <w:lvlJc w:val="left"/>
      <w:pPr>
        <w:ind w:left="7704" w:hanging="238"/>
      </w:pPr>
      <w:rPr>
        <w:rFonts w:hint="default"/>
      </w:rPr>
    </w:lvl>
  </w:abstractNum>
  <w:abstractNum w:abstractNumId="213">
    <w:multiLevelType w:val="hybridMultilevel"/>
    <w:lvl w:ilvl="0">
      <w:start w:val="1"/>
      <w:numFmt w:val="decimal"/>
      <w:lvlText w:val="%1."/>
      <w:lvlJc w:val="left"/>
      <w:pPr>
        <w:ind w:left="1060" w:hanging="221"/>
        <w:jc w:val="right"/>
      </w:pPr>
      <w:rPr>
        <w:rFonts w:hint="default" w:ascii="Times New Roman" w:hAnsi="Times New Roman" w:eastAsia="Times New Roman" w:cs="Times New Roman"/>
        <w:w w:val="100"/>
        <w:sz w:val="22"/>
        <w:szCs w:val="22"/>
      </w:rPr>
    </w:lvl>
    <w:lvl w:ilvl="1">
      <w:start w:val="0"/>
      <w:numFmt w:val="bullet"/>
      <w:lvlText w:val="•"/>
      <w:lvlJc w:val="left"/>
      <w:pPr>
        <w:ind w:left="1914" w:hanging="221"/>
      </w:pPr>
      <w:rPr>
        <w:rFonts w:hint="default"/>
      </w:rPr>
    </w:lvl>
    <w:lvl w:ilvl="2">
      <w:start w:val="0"/>
      <w:numFmt w:val="bullet"/>
      <w:lvlText w:val="•"/>
      <w:lvlJc w:val="left"/>
      <w:pPr>
        <w:ind w:left="2768" w:hanging="221"/>
      </w:pPr>
      <w:rPr>
        <w:rFonts w:hint="default"/>
      </w:rPr>
    </w:lvl>
    <w:lvl w:ilvl="3">
      <w:start w:val="0"/>
      <w:numFmt w:val="bullet"/>
      <w:lvlText w:val="•"/>
      <w:lvlJc w:val="left"/>
      <w:pPr>
        <w:ind w:left="3622" w:hanging="221"/>
      </w:pPr>
      <w:rPr>
        <w:rFonts w:hint="default"/>
      </w:rPr>
    </w:lvl>
    <w:lvl w:ilvl="4">
      <w:start w:val="0"/>
      <w:numFmt w:val="bullet"/>
      <w:lvlText w:val="•"/>
      <w:lvlJc w:val="left"/>
      <w:pPr>
        <w:ind w:left="4476" w:hanging="221"/>
      </w:pPr>
      <w:rPr>
        <w:rFonts w:hint="default"/>
      </w:rPr>
    </w:lvl>
    <w:lvl w:ilvl="5">
      <w:start w:val="0"/>
      <w:numFmt w:val="bullet"/>
      <w:lvlText w:val="•"/>
      <w:lvlJc w:val="left"/>
      <w:pPr>
        <w:ind w:left="5330" w:hanging="221"/>
      </w:pPr>
      <w:rPr>
        <w:rFonts w:hint="default"/>
      </w:rPr>
    </w:lvl>
    <w:lvl w:ilvl="6">
      <w:start w:val="0"/>
      <w:numFmt w:val="bullet"/>
      <w:lvlText w:val="•"/>
      <w:lvlJc w:val="left"/>
      <w:pPr>
        <w:ind w:left="6184" w:hanging="221"/>
      </w:pPr>
      <w:rPr>
        <w:rFonts w:hint="default"/>
      </w:rPr>
    </w:lvl>
    <w:lvl w:ilvl="7">
      <w:start w:val="0"/>
      <w:numFmt w:val="bullet"/>
      <w:lvlText w:val="•"/>
      <w:lvlJc w:val="left"/>
      <w:pPr>
        <w:ind w:left="7038" w:hanging="221"/>
      </w:pPr>
      <w:rPr>
        <w:rFonts w:hint="default"/>
      </w:rPr>
    </w:lvl>
    <w:lvl w:ilvl="8">
      <w:start w:val="0"/>
      <w:numFmt w:val="bullet"/>
      <w:lvlText w:val="•"/>
      <w:lvlJc w:val="left"/>
      <w:pPr>
        <w:ind w:left="7892" w:hanging="221"/>
      </w:pPr>
      <w:rPr>
        <w:rFonts w:hint="default"/>
      </w:rPr>
    </w:lvl>
  </w:abstractNum>
  <w:abstractNum w:abstractNumId="212">
    <w:multiLevelType w:val="hybridMultilevel"/>
    <w:lvl w:ilvl="0">
      <w:start w:val="1"/>
      <w:numFmt w:val="lowerLetter"/>
      <w:lvlText w:val="%1)"/>
      <w:lvlJc w:val="left"/>
      <w:pPr>
        <w:ind w:left="1068" w:hanging="229"/>
        <w:jc w:val="left"/>
      </w:pPr>
      <w:rPr>
        <w:rFonts w:hint="default" w:ascii="Times New Roman" w:hAnsi="Times New Roman" w:eastAsia="Times New Roman" w:cs="Times New Roman"/>
        <w:w w:val="100"/>
        <w:sz w:val="22"/>
        <w:szCs w:val="22"/>
      </w:rPr>
    </w:lvl>
    <w:lvl w:ilvl="1">
      <w:start w:val="0"/>
      <w:numFmt w:val="bullet"/>
      <w:lvlText w:val="•"/>
      <w:lvlJc w:val="left"/>
      <w:pPr>
        <w:ind w:left="1914" w:hanging="229"/>
      </w:pPr>
      <w:rPr>
        <w:rFonts w:hint="default"/>
      </w:rPr>
    </w:lvl>
    <w:lvl w:ilvl="2">
      <w:start w:val="0"/>
      <w:numFmt w:val="bullet"/>
      <w:lvlText w:val="•"/>
      <w:lvlJc w:val="left"/>
      <w:pPr>
        <w:ind w:left="2768" w:hanging="229"/>
      </w:pPr>
      <w:rPr>
        <w:rFonts w:hint="default"/>
      </w:rPr>
    </w:lvl>
    <w:lvl w:ilvl="3">
      <w:start w:val="0"/>
      <w:numFmt w:val="bullet"/>
      <w:lvlText w:val="•"/>
      <w:lvlJc w:val="left"/>
      <w:pPr>
        <w:ind w:left="3622" w:hanging="229"/>
      </w:pPr>
      <w:rPr>
        <w:rFonts w:hint="default"/>
      </w:rPr>
    </w:lvl>
    <w:lvl w:ilvl="4">
      <w:start w:val="0"/>
      <w:numFmt w:val="bullet"/>
      <w:lvlText w:val="•"/>
      <w:lvlJc w:val="left"/>
      <w:pPr>
        <w:ind w:left="4476" w:hanging="229"/>
      </w:pPr>
      <w:rPr>
        <w:rFonts w:hint="default"/>
      </w:rPr>
    </w:lvl>
    <w:lvl w:ilvl="5">
      <w:start w:val="0"/>
      <w:numFmt w:val="bullet"/>
      <w:lvlText w:val="•"/>
      <w:lvlJc w:val="left"/>
      <w:pPr>
        <w:ind w:left="5330" w:hanging="229"/>
      </w:pPr>
      <w:rPr>
        <w:rFonts w:hint="default"/>
      </w:rPr>
    </w:lvl>
    <w:lvl w:ilvl="6">
      <w:start w:val="0"/>
      <w:numFmt w:val="bullet"/>
      <w:lvlText w:val="•"/>
      <w:lvlJc w:val="left"/>
      <w:pPr>
        <w:ind w:left="6184" w:hanging="229"/>
      </w:pPr>
      <w:rPr>
        <w:rFonts w:hint="default"/>
      </w:rPr>
    </w:lvl>
    <w:lvl w:ilvl="7">
      <w:start w:val="0"/>
      <w:numFmt w:val="bullet"/>
      <w:lvlText w:val="•"/>
      <w:lvlJc w:val="left"/>
      <w:pPr>
        <w:ind w:left="7038" w:hanging="229"/>
      </w:pPr>
      <w:rPr>
        <w:rFonts w:hint="default"/>
      </w:rPr>
    </w:lvl>
    <w:lvl w:ilvl="8">
      <w:start w:val="0"/>
      <w:numFmt w:val="bullet"/>
      <w:lvlText w:val="•"/>
      <w:lvlJc w:val="left"/>
      <w:pPr>
        <w:ind w:left="7892" w:hanging="229"/>
      </w:pPr>
      <w:rPr>
        <w:rFonts w:hint="default"/>
      </w:rPr>
    </w:lvl>
  </w:abstractNum>
  <w:abstractNum w:abstractNumId="211">
    <w:multiLevelType w:val="hybridMultilevel"/>
    <w:lvl w:ilvl="0">
      <w:start w:val="1"/>
      <w:numFmt w:val="decimal"/>
      <w:lvlText w:val="%1."/>
      <w:lvlJc w:val="left"/>
      <w:pPr>
        <w:ind w:left="120" w:hanging="224"/>
        <w:jc w:val="left"/>
      </w:pPr>
      <w:rPr>
        <w:rFonts w:hint="default" w:ascii="Times New Roman" w:hAnsi="Times New Roman" w:eastAsia="Times New Roman" w:cs="Times New Roman"/>
        <w:w w:val="100"/>
        <w:sz w:val="22"/>
        <w:szCs w:val="22"/>
      </w:rPr>
    </w:lvl>
    <w:lvl w:ilvl="1">
      <w:start w:val="0"/>
      <w:numFmt w:val="bullet"/>
      <w:lvlText w:val="•"/>
      <w:lvlJc w:val="left"/>
      <w:pPr>
        <w:ind w:left="1068" w:hanging="224"/>
      </w:pPr>
      <w:rPr>
        <w:rFonts w:hint="default"/>
      </w:rPr>
    </w:lvl>
    <w:lvl w:ilvl="2">
      <w:start w:val="0"/>
      <w:numFmt w:val="bullet"/>
      <w:lvlText w:val="•"/>
      <w:lvlJc w:val="left"/>
      <w:pPr>
        <w:ind w:left="2016" w:hanging="224"/>
      </w:pPr>
      <w:rPr>
        <w:rFonts w:hint="default"/>
      </w:rPr>
    </w:lvl>
    <w:lvl w:ilvl="3">
      <w:start w:val="0"/>
      <w:numFmt w:val="bullet"/>
      <w:lvlText w:val="•"/>
      <w:lvlJc w:val="left"/>
      <w:pPr>
        <w:ind w:left="2964" w:hanging="224"/>
      </w:pPr>
      <w:rPr>
        <w:rFonts w:hint="default"/>
      </w:rPr>
    </w:lvl>
    <w:lvl w:ilvl="4">
      <w:start w:val="0"/>
      <w:numFmt w:val="bullet"/>
      <w:lvlText w:val="•"/>
      <w:lvlJc w:val="left"/>
      <w:pPr>
        <w:ind w:left="3912" w:hanging="224"/>
      </w:pPr>
      <w:rPr>
        <w:rFonts w:hint="default"/>
      </w:rPr>
    </w:lvl>
    <w:lvl w:ilvl="5">
      <w:start w:val="0"/>
      <w:numFmt w:val="bullet"/>
      <w:lvlText w:val="•"/>
      <w:lvlJc w:val="left"/>
      <w:pPr>
        <w:ind w:left="4860" w:hanging="224"/>
      </w:pPr>
      <w:rPr>
        <w:rFonts w:hint="default"/>
      </w:rPr>
    </w:lvl>
    <w:lvl w:ilvl="6">
      <w:start w:val="0"/>
      <w:numFmt w:val="bullet"/>
      <w:lvlText w:val="•"/>
      <w:lvlJc w:val="left"/>
      <w:pPr>
        <w:ind w:left="5808" w:hanging="224"/>
      </w:pPr>
      <w:rPr>
        <w:rFonts w:hint="default"/>
      </w:rPr>
    </w:lvl>
    <w:lvl w:ilvl="7">
      <w:start w:val="0"/>
      <w:numFmt w:val="bullet"/>
      <w:lvlText w:val="•"/>
      <w:lvlJc w:val="left"/>
      <w:pPr>
        <w:ind w:left="6756" w:hanging="224"/>
      </w:pPr>
      <w:rPr>
        <w:rFonts w:hint="default"/>
      </w:rPr>
    </w:lvl>
    <w:lvl w:ilvl="8">
      <w:start w:val="0"/>
      <w:numFmt w:val="bullet"/>
      <w:lvlText w:val="•"/>
      <w:lvlJc w:val="left"/>
      <w:pPr>
        <w:ind w:left="7704" w:hanging="224"/>
      </w:pPr>
      <w:rPr>
        <w:rFonts w:hint="default"/>
      </w:rPr>
    </w:lvl>
  </w:abstractNum>
  <w:abstractNum w:abstractNumId="210">
    <w:multiLevelType w:val="hybridMultilevel"/>
    <w:lvl w:ilvl="0">
      <w:start w:val="1"/>
      <w:numFmt w:val="lowerLetter"/>
      <w:lvlText w:val="%1)"/>
      <w:lvlJc w:val="left"/>
      <w:pPr>
        <w:ind w:left="1068" w:hanging="229"/>
        <w:jc w:val="left"/>
      </w:pPr>
      <w:rPr>
        <w:rFonts w:hint="default" w:ascii="Times New Roman" w:hAnsi="Times New Roman" w:eastAsia="Times New Roman" w:cs="Times New Roman"/>
        <w:w w:val="100"/>
        <w:sz w:val="22"/>
        <w:szCs w:val="22"/>
      </w:rPr>
    </w:lvl>
    <w:lvl w:ilvl="1">
      <w:start w:val="0"/>
      <w:numFmt w:val="bullet"/>
      <w:lvlText w:val="•"/>
      <w:lvlJc w:val="left"/>
      <w:pPr>
        <w:ind w:left="1914" w:hanging="229"/>
      </w:pPr>
      <w:rPr>
        <w:rFonts w:hint="default"/>
      </w:rPr>
    </w:lvl>
    <w:lvl w:ilvl="2">
      <w:start w:val="0"/>
      <w:numFmt w:val="bullet"/>
      <w:lvlText w:val="•"/>
      <w:lvlJc w:val="left"/>
      <w:pPr>
        <w:ind w:left="2768" w:hanging="229"/>
      </w:pPr>
      <w:rPr>
        <w:rFonts w:hint="default"/>
      </w:rPr>
    </w:lvl>
    <w:lvl w:ilvl="3">
      <w:start w:val="0"/>
      <w:numFmt w:val="bullet"/>
      <w:lvlText w:val="•"/>
      <w:lvlJc w:val="left"/>
      <w:pPr>
        <w:ind w:left="3622" w:hanging="229"/>
      </w:pPr>
      <w:rPr>
        <w:rFonts w:hint="default"/>
      </w:rPr>
    </w:lvl>
    <w:lvl w:ilvl="4">
      <w:start w:val="0"/>
      <w:numFmt w:val="bullet"/>
      <w:lvlText w:val="•"/>
      <w:lvlJc w:val="left"/>
      <w:pPr>
        <w:ind w:left="4476" w:hanging="229"/>
      </w:pPr>
      <w:rPr>
        <w:rFonts w:hint="default"/>
      </w:rPr>
    </w:lvl>
    <w:lvl w:ilvl="5">
      <w:start w:val="0"/>
      <w:numFmt w:val="bullet"/>
      <w:lvlText w:val="•"/>
      <w:lvlJc w:val="left"/>
      <w:pPr>
        <w:ind w:left="5330" w:hanging="229"/>
      </w:pPr>
      <w:rPr>
        <w:rFonts w:hint="default"/>
      </w:rPr>
    </w:lvl>
    <w:lvl w:ilvl="6">
      <w:start w:val="0"/>
      <w:numFmt w:val="bullet"/>
      <w:lvlText w:val="•"/>
      <w:lvlJc w:val="left"/>
      <w:pPr>
        <w:ind w:left="6184" w:hanging="229"/>
      </w:pPr>
      <w:rPr>
        <w:rFonts w:hint="default"/>
      </w:rPr>
    </w:lvl>
    <w:lvl w:ilvl="7">
      <w:start w:val="0"/>
      <w:numFmt w:val="bullet"/>
      <w:lvlText w:val="•"/>
      <w:lvlJc w:val="left"/>
      <w:pPr>
        <w:ind w:left="7038" w:hanging="229"/>
      </w:pPr>
      <w:rPr>
        <w:rFonts w:hint="default"/>
      </w:rPr>
    </w:lvl>
    <w:lvl w:ilvl="8">
      <w:start w:val="0"/>
      <w:numFmt w:val="bullet"/>
      <w:lvlText w:val="•"/>
      <w:lvlJc w:val="left"/>
      <w:pPr>
        <w:ind w:left="7892" w:hanging="229"/>
      </w:pPr>
      <w:rPr>
        <w:rFonts w:hint="default"/>
      </w:rPr>
    </w:lvl>
  </w:abstractNum>
  <w:abstractNum w:abstractNumId="209">
    <w:multiLevelType w:val="hybridMultilevel"/>
    <w:lvl w:ilvl="0">
      <w:start w:val="1"/>
      <w:numFmt w:val="decimal"/>
      <w:lvlText w:val="%1."/>
      <w:lvlJc w:val="left"/>
      <w:pPr>
        <w:ind w:left="1060" w:hanging="221"/>
        <w:jc w:val="left"/>
      </w:pPr>
      <w:rPr>
        <w:rFonts w:hint="default" w:ascii="Times New Roman" w:hAnsi="Times New Roman" w:eastAsia="Times New Roman" w:cs="Times New Roman"/>
        <w:w w:val="100"/>
        <w:sz w:val="22"/>
        <w:szCs w:val="22"/>
      </w:rPr>
    </w:lvl>
    <w:lvl w:ilvl="1">
      <w:start w:val="0"/>
      <w:numFmt w:val="bullet"/>
      <w:lvlText w:val="•"/>
      <w:lvlJc w:val="left"/>
      <w:pPr>
        <w:ind w:left="1914" w:hanging="221"/>
      </w:pPr>
      <w:rPr>
        <w:rFonts w:hint="default"/>
      </w:rPr>
    </w:lvl>
    <w:lvl w:ilvl="2">
      <w:start w:val="0"/>
      <w:numFmt w:val="bullet"/>
      <w:lvlText w:val="•"/>
      <w:lvlJc w:val="left"/>
      <w:pPr>
        <w:ind w:left="2768" w:hanging="221"/>
      </w:pPr>
      <w:rPr>
        <w:rFonts w:hint="default"/>
      </w:rPr>
    </w:lvl>
    <w:lvl w:ilvl="3">
      <w:start w:val="0"/>
      <w:numFmt w:val="bullet"/>
      <w:lvlText w:val="•"/>
      <w:lvlJc w:val="left"/>
      <w:pPr>
        <w:ind w:left="3622" w:hanging="221"/>
      </w:pPr>
      <w:rPr>
        <w:rFonts w:hint="default"/>
      </w:rPr>
    </w:lvl>
    <w:lvl w:ilvl="4">
      <w:start w:val="0"/>
      <w:numFmt w:val="bullet"/>
      <w:lvlText w:val="•"/>
      <w:lvlJc w:val="left"/>
      <w:pPr>
        <w:ind w:left="4476" w:hanging="221"/>
      </w:pPr>
      <w:rPr>
        <w:rFonts w:hint="default"/>
      </w:rPr>
    </w:lvl>
    <w:lvl w:ilvl="5">
      <w:start w:val="0"/>
      <w:numFmt w:val="bullet"/>
      <w:lvlText w:val="•"/>
      <w:lvlJc w:val="left"/>
      <w:pPr>
        <w:ind w:left="5330" w:hanging="221"/>
      </w:pPr>
      <w:rPr>
        <w:rFonts w:hint="default"/>
      </w:rPr>
    </w:lvl>
    <w:lvl w:ilvl="6">
      <w:start w:val="0"/>
      <w:numFmt w:val="bullet"/>
      <w:lvlText w:val="•"/>
      <w:lvlJc w:val="left"/>
      <w:pPr>
        <w:ind w:left="6184" w:hanging="221"/>
      </w:pPr>
      <w:rPr>
        <w:rFonts w:hint="default"/>
      </w:rPr>
    </w:lvl>
    <w:lvl w:ilvl="7">
      <w:start w:val="0"/>
      <w:numFmt w:val="bullet"/>
      <w:lvlText w:val="•"/>
      <w:lvlJc w:val="left"/>
      <w:pPr>
        <w:ind w:left="7038" w:hanging="221"/>
      </w:pPr>
      <w:rPr>
        <w:rFonts w:hint="default"/>
      </w:rPr>
    </w:lvl>
    <w:lvl w:ilvl="8">
      <w:start w:val="0"/>
      <w:numFmt w:val="bullet"/>
      <w:lvlText w:val="•"/>
      <w:lvlJc w:val="left"/>
      <w:pPr>
        <w:ind w:left="7892" w:hanging="221"/>
      </w:pPr>
      <w:rPr>
        <w:rFonts w:hint="default"/>
      </w:rPr>
    </w:lvl>
  </w:abstractNum>
  <w:abstractNum w:abstractNumId="208">
    <w:multiLevelType w:val="hybridMultilevel"/>
    <w:lvl w:ilvl="0">
      <w:start w:val="1"/>
      <w:numFmt w:val="decimal"/>
      <w:lvlText w:val="%1."/>
      <w:lvlJc w:val="left"/>
      <w:pPr>
        <w:ind w:left="119" w:hanging="288"/>
        <w:jc w:val="left"/>
      </w:pPr>
      <w:rPr>
        <w:rFonts w:hint="default" w:ascii="Times New Roman" w:hAnsi="Times New Roman" w:eastAsia="Times New Roman" w:cs="Times New Roman"/>
        <w:w w:val="100"/>
        <w:sz w:val="22"/>
        <w:szCs w:val="22"/>
      </w:rPr>
    </w:lvl>
    <w:lvl w:ilvl="1">
      <w:start w:val="0"/>
      <w:numFmt w:val="bullet"/>
      <w:lvlText w:val="•"/>
      <w:lvlJc w:val="left"/>
      <w:pPr>
        <w:ind w:left="1068" w:hanging="288"/>
      </w:pPr>
      <w:rPr>
        <w:rFonts w:hint="default"/>
      </w:rPr>
    </w:lvl>
    <w:lvl w:ilvl="2">
      <w:start w:val="0"/>
      <w:numFmt w:val="bullet"/>
      <w:lvlText w:val="•"/>
      <w:lvlJc w:val="left"/>
      <w:pPr>
        <w:ind w:left="2016" w:hanging="288"/>
      </w:pPr>
      <w:rPr>
        <w:rFonts w:hint="default"/>
      </w:rPr>
    </w:lvl>
    <w:lvl w:ilvl="3">
      <w:start w:val="0"/>
      <w:numFmt w:val="bullet"/>
      <w:lvlText w:val="•"/>
      <w:lvlJc w:val="left"/>
      <w:pPr>
        <w:ind w:left="2964" w:hanging="288"/>
      </w:pPr>
      <w:rPr>
        <w:rFonts w:hint="default"/>
      </w:rPr>
    </w:lvl>
    <w:lvl w:ilvl="4">
      <w:start w:val="0"/>
      <w:numFmt w:val="bullet"/>
      <w:lvlText w:val="•"/>
      <w:lvlJc w:val="left"/>
      <w:pPr>
        <w:ind w:left="3912" w:hanging="288"/>
      </w:pPr>
      <w:rPr>
        <w:rFonts w:hint="default"/>
      </w:rPr>
    </w:lvl>
    <w:lvl w:ilvl="5">
      <w:start w:val="0"/>
      <w:numFmt w:val="bullet"/>
      <w:lvlText w:val="•"/>
      <w:lvlJc w:val="left"/>
      <w:pPr>
        <w:ind w:left="4860" w:hanging="288"/>
      </w:pPr>
      <w:rPr>
        <w:rFonts w:hint="default"/>
      </w:rPr>
    </w:lvl>
    <w:lvl w:ilvl="6">
      <w:start w:val="0"/>
      <w:numFmt w:val="bullet"/>
      <w:lvlText w:val="•"/>
      <w:lvlJc w:val="left"/>
      <w:pPr>
        <w:ind w:left="5808" w:hanging="288"/>
      </w:pPr>
      <w:rPr>
        <w:rFonts w:hint="default"/>
      </w:rPr>
    </w:lvl>
    <w:lvl w:ilvl="7">
      <w:start w:val="0"/>
      <w:numFmt w:val="bullet"/>
      <w:lvlText w:val="•"/>
      <w:lvlJc w:val="left"/>
      <w:pPr>
        <w:ind w:left="6756" w:hanging="288"/>
      </w:pPr>
      <w:rPr>
        <w:rFonts w:hint="default"/>
      </w:rPr>
    </w:lvl>
    <w:lvl w:ilvl="8">
      <w:start w:val="0"/>
      <w:numFmt w:val="bullet"/>
      <w:lvlText w:val="•"/>
      <w:lvlJc w:val="left"/>
      <w:pPr>
        <w:ind w:left="7704" w:hanging="288"/>
      </w:pPr>
      <w:rPr>
        <w:rFonts w:hint="default"/>
      </w:rPr>
    </w:lvl>
  </w:abstractNum>
  <w:abstractNum w:abstractNumId="207">
    <w:multiLevelType w:val="hybridMultilevel"/>
    <w:lvl w:ilvl="0">
      <w:start w:val="1"/>
      <w:numFmt w:val="lowerLetter"/>
      <w:lvlText w:val="%1)"/>
      <w:lvlJc w:val="left"/>
      <w:pPr>
        <w:ind w:left="210" w:hanging="240"/>
        <w:jc w:val="right"/>
      </w:pPr>
      <w:rPr>
        <w:rFonts w:hint="default" w:ascii="Times New Roman" w:hAnsi="Times New Roman" w:eastAsia="Times New Roman" w:cs="Times New Roman"/>
        <w:w w:val="100"/>
        <w:sz w:val="22"/>
        <w:szCs w:val="22"/>
      </w:rPr>
    </w:lvl>
    <w:lvl w:ilvl="1">
      <w:start w:val="0"/>
      <w:numFmt w:val="bullet"/>
      <w:lvlText w:val="•"/>
      <w:lvlJc w:val="left"/>
      <w:pPr>
        <w:ind w:left="1071" w:hanging="240"/>
      </w:pPr>
      <w:rPr>
        <w:rFonts w:hint="default"/>
      </w:rPr>
    </w:lvl>
    <w:lvl w:ilvl="2">
      <w:start w:val="0"/>
      <w:numFmt w:val="bullet"/>
      <w:lvlText w:val="•"/>
      <w:lvlJc w:val="left"/>
      <w:pPr>
        <w:ind w:left="1922" w:hanging="240"/>
      </w:pPr>
      <w:rPr>
        <w:rFonts w:hint="default"/>
      </w:rPr>
    </w:lvl>
    <w:lvl w:ilvl="3">
      <w:start w:val="0"/>
      <w:numFmt w:val="bullet"/>
      <w:lvlText w:val="•"/>
      <w:lvlJc w:val="left"/>
      <w:pPr>
        <w:ind w:left="2773" w:hanging="240"/>
      </w:pPr>
      <w:rPr>
        <w:rFonts w:hint="default"/>
      </w:rPr>
    </w:lvl>
    <w:lvl w:ilvl="4">
      <w:start w:val="0"/>
      <w:numFmt w:val="bullet"/>
      <w:lvlText w:val="•"/>
      <w:lvlJc w:val="left"/>
      <w:pPr>
        <w:ind w:left="3624" w:hanging="240"/>
      </w:pPr>
      <w:rPr>
        <w:rFonts w:hint="default"/>
      </w:rPr>
    </w:lvl>
    <w:lvl w:ilvl="5">
      <w:start w:val="0"/>
      <w:numFmt w:val="bullet"/>
      <w:lvlText w:val="•"/>
      <w:lvlJc w:val="left"/>
      <w:pPr>
        <w:ind w:left="4475" w:hanging="240"/>
      </w:pPr>
      <w:rPr>
        <w:rFonts w:hint="default"/>
      </w:rPr>
    </w:lvl>
    <w:lvl w:ilvl="6">
      <w:start w:val="0"/>
      <w:numFmt w:val="bullet"/>
      <w:lvlText w:val="•"/>
      <w:lvlJc w:val="left"/>
      <w:pPr>
        <w:ind w:left="5327" w:hanging="240"/>
      </w:pPr>
      <w:rPr>
        <w:rFonts w:hint="default"/>
      </w:rPr>
    </w:lvl>
    <w:lvl w:ilvl="7">
      <w:start w:val="0"/>
      <w:numFmt w:val="bullet"/>
      <w:lvlText w:val="•"/>
      <w:lvlJc w:val="left"/>
      <w:pPr>
        <w:ind w:left="6178" w:hanging="240"/>
      </w:pPr>
      <w:rPr>
        <w:rFonts w:hint="default"/>
      </w:rPr>
    </w:lvl>
    <w:lvl w:ilvl="8">
      <w:start w:val="0"/>
      <w:numFmt w:val="bullet"/>
      <w:lvlText w:val="•"/>
      <w:lvlJc w:val="left"/>
      <w:pPr>
        <w:ind w:left="7029" w:hanging="240"/>
      </w:pPr>
      <w:rPr>
        <w:rFonts w:hint="default"/>
      </w:rPr>
    </w:lvl>
  </w:abstractNum>
  <w:abstractNum w:abstractNumId="206">
    <w:multiLevelType w:val="hybridMultilevel"/>
    <w:lvl w:ilvl="0">
      <w:start w:val="1"/>
      <w:numFmt w:val="decimal"/>
      <w:lvlText w:val="%1."/>
      <w:lvlJc w:val="left"/>
      <w:pPr>
        <w:ind w:left="191" w:hanging="221"/>
        <w:jc w:val="right"/>
      </w:pPr>
      <w:rPr>
        <w:rFonts w:hint="default" w:ascii="Times New Roman" w:hAnsi="Times New Roman" w:eastAsia="Times New Roman" w:cs="Times New Roman"/>
        <w:w w:val="100"/>
        <w:sz w:val="22"/>
        <w:szCs w:val="22"/>
      </w:rPr>
    </w:lvl>
    <w:lvl w:ilvl="1">
      <w:start w:val="0"/>
      <w:numFmt w:val="bullet"/>
      <w:lvlText w:val="•"/>
      <w:lvlJc w:val="left"/>
      <w:pPr>
        <w:ind w:left="1053" w:hanging="221"/>
      </w:pPr>
      <w:rPr>
        <w:rFonts w:hint="default"/>
      </w:rPr>
    </w:lvl>
    <w:lvl w:ilvl="2">
      <w:start w:val="0"/>
      <w:numFmt w:val="bullet"/>
      <w:lvlText w:val="•"/>
      <w:lvlJc w:val="left"/>
      <w:pPr>
        <w:ind w:left="1906" w:hanging="221"/>
      </w:pPr>
      <w:rPr>
        <w:rFonts w:hint="default"/>
      </w:rPr>
    </w:lvl>
    <w:lvl w:ilvl="3">
      <w:start w:val="0"/>
      <w:numFmt w:val="bullet"/>
      <w:lvlText w:val="•"/>
      <w:lvlJc w:val="left"/>
      <w:pPr>
        <w:ind w:left="2759" w:hanging="221"/>
      </w:pPr>
      <w:rPr>
        <w:rFonts w:hint="default"/>
      </w:rPr>
    </w:lvl>
    <w:lvl w:ilvl="4">
      <w:start w:val="0"/>
      <w:numFmt w:val="bullet"/>
      <w:lvlText w:val="•"/>
      <w:lvlJc w:val="left"/>
      <w:pPr>
        <w:ind w:left="3612" w:hanging="221"/>
      </w:pPr>
      <w:rPr>
        <w:rFonts w:hint="default"/>
      </w:rPr>
    </w:lvl>
    <w:lvl w:ilvl="5">
      <w:start w:val="0"/>
      <w:numFmt w:val="bullet"/>
      <w:lvlText w:val="•"/>
      <w:lvlJc w:val="left"/>
      <w:pPr>
        <w:ind w:left="4465" w:hanging="221"/>
      </w:pPr>
      <w:rPr>
        <w:rFonts w:hint="default"/>
      </w:rPr>
    </w:lvl>
    <w:lvl w:ilvl="6">
      <w:start w:val="0"/>
      <w:numFmt w:val="bullet"/>
      <w:lvlText w:val="•"/>
      <w:lvlJc w:val="left"/>
      <w:pPr>
        <w:ind w:left="5319" w:hanging="221"/>
      </w:pPr>
      <w:rPr>
        <w:rFonts w:hint="default"/>
      </w:rPr>
    </w:lvl>
    <w:lvl w:ilvl="7">
      <w:start w:val="0"/>
      <w:numFmt w:val="bullet"/>
      <w:lvlText w:val="•"/>
      <w:lvlJc w:val="left"/>
      <w:pPr>
        <w:ind w:left="6172" w:hanging="221"/>
      </w:pPr>
      <w:rPr>
        <w:rFonts w:hint="default"/>
      </w:rPr>
    </w:lvl>
    <w:lvl w:ilvl="8">
      <w:start w:val="0"/>
      <w:numFmt w:val="bullet"/>
      <w:lvlText w:val="•"/>
      <w:lvlJc w:val="left"/>
      <w:pPr>
        <w:ind w:left="7025" w:hanging="221"/>
      </w:pPr>
      <w:rPr>
        <w:rFonts w:hint="default"/>
      </w:rPr>
    </w:lvl>
  </w:abstractNum>
  <w:abstractNum w:abstractNumId="205">
    <w:multiLevelType w:val="hybridMultilevel"/>
    <w:lvl w:ilvl="0">
      <w:start w:val="1"/>
      <w:numFmt w:val="decimal"/>
      <w:lvlText w:val="%1."/>
      <w:lvlJc w:val="left"/>
      <w:pPr>
        <w:ind w:left="349" w:hanging="231"/>
        <w:jc w:val="right"/>
      </w:pPr>
      <w:rPr>
        <w:rFonts w:hint="default" w:ascii="Times New Roman" w:hAnsi="Times New Roman" w:eastAsia="Times New Roman" w:cs="Times New Roman"/>
        <w:w w:val="100"/>
        <w:sz w:val="22"/>
        <w:szCs w:val="22"/>
      </w:rPr>
    </w:lvl>
    <w:lvl w:ilvl="1">
      <w:start w:val="0"/>
      <w:numFmt w:val="bullet"/>
      <w:lvlText w:val="•"/>
      <w:lvlJc w:val="left"/>
      <w:pPr>
        <w:ind w:left="1194" w:hanging="231"/>
      </w:pPr>
      <w:rPr>
        <w:rFonts w:hint="default"/>
      </w:rPr>
    </w:lvl>
    <w:lvl w:ilvl="2">
      <w:start w:val="0"/>
      <w:numFmt w:val="bullet"/>
      <w:lvlText w:val="•"/>
      <w:lvlJc w:val="left"/>
      <w:pPr>
        <w:ind w:left="2048" w:hanging="231"/>
      </w:pPr>
      <w:rPr>
        <w:rFonts w:hint="default"/>
      </w:rPr>
    </w:lvl>
    <w:lvl w:ilvl="3">
      <w:start w:val="0"/>
      <w:numFmt w:val="bullet"/>
      <w:lvlText w:val="•"/>
      <w:lvlJc w:val="left"/>
      <w:pPr>
        <w:ind w:left="2902" w:hanging="231"/>
      </w:pPr>
      <w:rPr>
        <w:rFonts w:hint="default"/>
      </w:rPr>
    </w:lvl>
    <w:lvl w:ilvl="4">
      <w:start w:val="0"/>
      <w:numFmt w:val="bullet"/>
      <w:lvlText w:val="•"/>
      <w:lvlJc w:val="left"/>
      <w:pPr>
        <w:ind w:left="3755" w:hanging="231"/>
      </w:pPr>
      <w:rPr>
        <w:rFonts w:hint="default"/>
      </w:rPr>
    </w:lvl>
    <w:lvl w:ilvl="5">
      <w:start w:val="0"/>
      <w:numFmt w:val="bullet"/>
      <w:lvlText w:val="•"/>
      <w:lvlJc w:val="left"/>
      <w:pPr>
        <w:ind w:left="4609" w:hanging="231"/>
      </w:pPr>
      <w:rPr>
        <w:rFonts w:hint="default"/>
      </w:rPr>
    </w:lvl>
    <w:lvl w:ilvl="6">
      <w:start w:val="0"/>
      <w:numFmt w:val="bullet"/>
      <w:lvlText w:val="•"/>
      <w:lvlJc w:val="left"/>
      <w:pPr>
        <w:ind w:left="5463" w:hanging="231"/>
      </w:pPr>
      <w:rPr>
        <w:rFonts w:hint="default"/>
      </w:rPr>
    </w:lvl>
    <w:lvl w:ilvl="7">
      <w:start w:val="0"/>
      <w:numFmt w:val="bullet"/>
      <w:lvlText w:val="•"/>
      <w:lvlJc w:val="left"/>
      <w:pPr>
        <w:ind w:left="6317" w:hanging="231"/>
      </w:pPr>
      <w:rPr>
        <w:rFonts w:hint="default"/>
      </w:rPr>
    </w:lvl>
    <w:lvl w:ilvl="8">
      <w:start w:val="0"/>
      <w:numFmt w:val="bullet"/>
      <w:lvlText w:val="•"/>
      <w:lvlJc w:val="left"/>
      <w:pPr>
        <w:ind w:left="7171" w:hanging="231"/>
      </w:pPr>
      <w:rPr>
        <w:rFonts w:hint="default"/>
      </w:rPr>
    </w:lvl>
  </w:abstractNum>
  <w:abstractNum w:abstractNumId="204">
    <w:multiLevelType w:val="hybridMultilevel"/>
    <w:lvl w:ilvl="0">
      <w:start w:val="1"/>
      <w:numFmt w:val="lowerLetter"/>
      <w:lvlText w:val="%1)"/>
      <w:lvlJc w:val="left"/>
      <w:pPr>
        <w:ind w:left="1067" w:hanging="229"/>
        <w:jc w:val="left"/>
      </w:pPr>
      <w:rPr>
        <w:rFonts w:hint="default" w:ascii="Times New Roman" w:hAnsi="Times New Roman" w:eastAsia="Times New Roman" w:cs="Times New Roman"/>
        <w:w w:val="100"/>
        <w:sz w:val="22"/>
        <w:szCs w:val="22"/>
      </w:rPr>
    </w:lvl>
    <w:lvl w:ilvl="1">
      <w:start w:val="0"/>
      <w:numFmt w:val="bullet"/>
      <w:lvlText w:val="•"/>
      <w:lvlJc w:val="left"/>
      <w:pPr>
        <w:ind w:left="1914" w:hanging="229"/>
      </w:pPr>
      <w:rPr>
        <w:rFonts w:hint="default"/>
      </w:rPr>
    </w:lvl>
    <w:lvl w:ilvl="2">
      <w:start w:val="0"/>
      <w:numFmt w:val="bullet"/>
      <w:lvlText w:val="•"/>
      <w:lvlJc w:val="left"/>
      <w:pPr>
        <w:ind w:left="2768" w:hanging="229"/>
      </w:pPr>
      <w:rPr>
        <w:rFonts w:hint="default"/>
      </w:rPr>
    </w:lvl>
    <w:lvl w:ilvl="3">
      <w:start w:val="0"/>
      <w:numFmt w:val="bullet"/>
      <w:lvlText w:val="•"/>
      <w:lvlJc w:val="left"/>
      <w:pPr>
        <w:ind w:left="3622" w:hanging="229"/>
      </w:pPr>
      <w:rPr>
        <w:rFonts w:hint="default"/>
      </w:rPr>
    </w:lvl>
    <w:lvl w:ilvl="4">
      <w:start w:val="0"/>
      <w:numFmt w:val="bullet"/>
      <w:lvlText w:val="•"/>
      <w:lvlJc w:val="left"/>
      <w:pPr>
        <w:ind w:left="4476" w:hanging="229"/>
      </w:pPr>
      <w:rPr>
        <w:rFonts w:hint="default"/>
      </w:rPr>
    </w:lvl>
    <w:lvl w:ilvl="5">
      <w:start w:val="0"/>
      <w:numFmt w:val="bullet"/>
      <w:lvlText w:val="•"/>
      <w:lvlJc w:val="left"/>
      <w:pPr>
        <w:ind w:left="5330" w:hanging="229"/>
      </w:pPr>
      <w:rPr>
        <w:rFonts w:hint="default"/>
      </w:rPr>
    </w:lvl>
    <w:lvl w:ilvl="6">
      <w:start w:val="0"/>
      <w:numFmt w:val="bullet"/>
      <w:lvlText w:val="•"/>
      <w:lvlJc w:val="left"/>
      <w:pPr>
        <w:ind w:left="6184" w:hanging="229"/>
      </w:pPr>
      <w:rPr>
        <w:rFonts w:hint="default"/>
      </w:rPr>
    </w:lvl>
    <w:lvl w:ilvl="7">
      <w:start w:val="0"/>
      <w:numFmt w:val="bullet"/>
      <w:lvlText w:val="•"/>
      <w:lvlJc w:val="left"/>
      <w:pPr>
        <w:ind w:left="7038" w:hanging="229"/>
      </w:pPr>
      <w:rPr>
        <w:rFonts w:hint="default"/>
      </w:rPr>
    </w:lvl>
    <w:lvl w:ilvl="8">
      <w:start w:val="0"/>
      <w:numFmt w:val="bullet"/>
      <w:lvlText w:val="•"/>
      <w:lvlJc w:val="left"/>
      <w:pPr>
        <w:ind w:left="7892" w:hanging="229"/>
      </w:pPr>
      <w:rPr>
        <w:rFonts w:hint="default"/>
      </w:rPr>
    </w:lvl>
  </w:abstractNum>
  <w:abstractNum w:abstractNumId="203">
    <w:multiLevelType w:val="hybridMultilevel"/>
    <w:lvl w:ilvl="0">
      <w:start w:val="1"/>
      <w:numFmt w:val="decimal"/>
      <w:lvlText w:val="%1."/>
      <w:lvlJc w:val="left"/>
      <w:pPr>
        <w:ind w:left="120" w:hanging="312"/>
        <w:jc w:val="left"/>
      </w:pPr>
      <w:rPr>
        <w:rFonts w:hint="default" w:ascii="Times New Roman" w:hAnsi="Times New Roman" w:eastAsia="Times New Roman" w:cs="Times New Roman"/>
        <w:w w:val="100"/>
        <w:sz w:val="22"/>
        <w:szCs w:val="22"/>
      </w:rPr>
    </w:lvl>
    <w:lvl w:ilvl="1">
      <w:start w:val="0"/>
      <w:numFmt w:val="bullet"/>
      <w:lvlText w:val="•"/>
      <w:lvlJc w:val="left"/>
      <w:pPr>
        <w:ind w:left="1068" w:hanging="312"/>
      </w:pPr>
      <w:rPr>
        <w:rFonts w:hint="default"/>
      </w:rPr>
    </w:lvl>
    <w:lvl w:ilvl="2">
      <w:start w:val="0"/>
      <w:numFmt w:val="bullet"/>
      <w:lvlText w:val="•"/>
      <w:lvlJc w:val="left"/>
      <w:pPr>
        <w:ind w:left="2016" w:hanging="312"/>
      </w:pPr>
      <w:rPr>
        <w:rFonts w:hint="default"/>
      </w:rPr>
    </w:lvl>
    <w:lvl w:ilvl="3">
      <w:start w:val="0"/>
      <w:numFmt w:val="bullet"/>
      <w:lvlText w:val="•"/>
      <w:lvlJc w:val="left"/>
      <w:pPr>
        <w:ind w:left="2964" w:hanging="312"/>
      </w:pPr>
      <w:rPr>
        <w:rFonts w:hint="default"/>
      </w:rPr>
    </w:lvl>
    <w:lvl w:ilvl="4">
      <w:start w:val="0"/>
      <w:numFmt w:val="bullet"/>
      <w:lvlText w:val="•"/>
      <w:lvlJc w:val="left"/>
      <w:pPr>
        <w:ind w:left="3912" w:hanging="312"/>
      </w:pPr>
      <w:rPr>
        <w:rFonts w:hint="default"/>
      </w:rPr>
    </w:lvl>
    <w:lvl w:ilvl="5">
      <w:start w:val="0"/>
      <w:numFmt w:val="bullet"/>
      <w:lvlText w:val="•"/>
      <w:lvlJc w:val="left"/>
      <w:pPr>
        <w:ind w:left="4860" w:hanging="312"/>
      </w:pPr>
      <w:rPr>
        <w:rFonts w:hint="default"/>
      </w:rPr>
    </w:lvl>
    <w:lvl w:ilvl="6">
      <w:start w:val="0"/>
      <w:numFmt w:val="bullet"/>
      <w:lvlText w:val="•"/>
      <w:lvlJc w:val="left"/>
      <w:pPr>
        <w:ind w:left="5808" w:hanging="312"/>
      </w:pPr>
      <w:rPr>
        <w:rFonts w:hint="default"/>
      </w:rPr>
    </w:lvl>
    <w:lvl w:ilvl="7">
      <w:start w:val="0"/>
      <w:numFmt w:val="bullet"/>
      <w:lvlText w:val="•"/>
      <w:lvlJc w:val="left"/>
      <w:pPr>
        <w:ind w:left="6756" w:hanging="312"/>
      </w:pPr>
      <w:rPr>
        <w:rFonts w:hint="default"/>
      </w:rPr>
    </w:lvl>
    <w:lvl w:ilvl="8">
      <w:start w:val="0"/>
      <w:numFmt w:val="bullet"/>
      <w:lvlText w:val="•"/>
      <w:lvlJc w:val="left"/>
      <w:pPr>
        <w:ind w:left="7704" w:hanging="312"/>
      </w:pPr>
      <w:rPr>
        <w:rFonts w:hint="default"/>
      </w:rPr>
    </w:lvl>
  </w:abstractNum>
  <w:abstractNum w:abstractNumId="202">
    <w:multiLevelType w:val="hybridMultilevel"/>
    <w:lvl w:ilvl="0">
      <w:start w:val="1"/>
      <w:numFmt w:val="decimal"/>
      <w:lvlText w:val="%1."/>
      <w:lvlJc w:val="left"/>
      <w:pPr>
        <w:ind w:left="120" w:hanging="233"/>
        <w:jc w:val="left"/>
      </w:pPr>
      <w:rPr>
        <w:rFonts w:hint="default" w:ascii="Times New Roman" w:hAnsi="Times New Roman" w:eastAsia="Times New Roman" w:cs="Times New Roman"/>
        <w:w w:val="100"/>
        <w:sz w:val="22"/>
        <w:szCs w:val="22"/>
      </w:rPr>
    </w:lvl>
    <w:lvl w:ilvl="1">
      <w:start w:val="0"/>
      <w:numFmt w:val="bullet"/>
      <w:lvlText w:val="•"/>
      <w:lvlJc w:val="left"/>
      <w:pPr>
        <w:ind w:left="1068" w:hanging="233"/>
      </w:pPr>
      <w:rPr>
        <w:rFonts w:hint="default"/>
      </w:rPr>
    </w:lvl>
    <w:lvl w:ilvl="2">
      <w:start w:val="0"/>
      <w:numFmt w:val="bullet"/>
      <w:lvlText w:val="•"/>
      <w:lvlJc w:val="left"/>
      <w:pPr>
        <w:ind w:left="2016" w:hanging="233"/>
      </w:pPr>
      <w:rPr>
        <w:rFonts w:hint="default"/>
      </w:rPr>
    </w:lvl>
    <w:lvl w:ilvl="3">
      <w:start w:val="0"/>
      <w:numFmt w:val="bullet"/>
      <w:lvlText w:val="•"/>
      <w:lvlJc w:val="left"/>
      <w:pPr>
        <w:ind w:left="2964" w:hanging="233"/>
      </w:pPr>
      <w:rPr>
        <w:rFonts w:hint="default"/>
      </w:rPr>
    </w:lvl>
    <w:lvl w:ilvl="4">
      <w:start w:val="0"/>
      <w:numFmt w:val="bullet"/>
      <w:lvlText w:val="•"/>
      <w:lvlJc w:val="left"/>
      <w:pPr>
        <w:ind w:left="3912" w:hanging="233"/>
      </w:pPr>
      <w:rPr>
        <w:rFonts w:hint="default"/>
      </w:rPr>
    </w:lvl>
    <w:lvl w:ilvl="5">
      <w:start w:val="0"/>
      <w:numFmt w:val="bullet"/>
      <w:lvlText w:val="•"/>
      <w:lvlJc w:val="left"/>
      <w:pPr>
        <w:ind w:left="4860" w:hanging="233"/>
      </w:pPr>
      <w:rPr>
        <w:rFonts w:hint="default"/>
      </w:rPr>
    </w:lvl>
    <w:lvl w:ilvl="6">
      <w:start w:val="0"/>
      <w:numFmt w:val="bullet"/>
      <w:lvlText w:val="•"/>
      <w:lvlJc w:val="left"/>
      <w:pPr>
        <w:ind w:left="5808" w:hanging="233"/>
      </w:pPr>
      <w:rPr>
        <w:rFonts w:hint="default"/>
      </w:rPr>
    </w:lvl>
    <w:lvl w:ilvl="7">
      <w:start w:val="0"/>
      <w:numFmt w:val="bullet"/>
      <w:lvlText w:val="•"/>
      <w:lvlJc w:val="left"/>
      <w:pPr>
        <w:ind w:left="6756" w:hanging="233"/>
      </w:pPr>
      <w:rPr>
        <w:rFonts w:hint="default"/>
      </w:rPr>
    </w:lvl>
    <w:lvl w:ilvl="8">
      <w:start w:val="0"/>
      <w:numFmt w:val="bullet"/>
      <w:lvlText w:val="•"/>
      <w:lvlJc w:val="left"/>
      <w:pPr>
        <w:ind w:left="7704" w:hanging="233"/>
      </w:pPr>
      <w:rPr>
        <w:rFonts w:hint="default"/>
      </w:rPr>
    </w:lvl>
  </w:abstractNum>
  <w:abstractNum w:abstractNumId="201">
    <w:multiLevelType w:val="hybridMultilevel"/>
    <w:lvl w:ilvl="0">
      <w:start w:val="1"/>
      <w:numFmt w:val="lowerLetter"/>
      <w:lvlText w:val="%1)"/>
      <w:lvlJc w:val="left"/>
      <w:pPr>
        <w:ind w:left="120" w:hanging="274"/>
        <w:jc w:val="left"/>
      </w:pPr>
      <w:rPr>
        <w:rFonts w:hint="default" w:ascii="Times New Roman" w:hAnsi="Times New Roman" w:eastAsia="Times New Roman" w:cs="Times New Roman"/>
        <w:w w:val="100"/>
        <w:sz w:val="22"/>
        <w:szCs w:val="22"/>
      </w:rPr>
    </w:lvl>
    <w:lvl w:ilvl="1">
      <w:start w:val="0"/>
      <w:numFmt w:val="bullet"/>
      <w:lvlText w:val="•"/>
      <w:lvlJc w:val="left"/>
      <w:pPr>
        <w:ind w:left="1068" w:hanging="274"/>
      </w:pPr>
      <w:rPr>
        <w:rFonts w:hint="default"/>
      </w:rPr>
    </w:lvl>
    <w:lvl w:ilvl="2">
      <w:start w:val="0"/>
      <w:numFmt w:val="bullet"/>
      <w:lvlText w:val="•"/>
      <w:lvlJc w:val="left"/>
      <w:pPr>
        <w:ind w:left="2016" w:hanging="274"/>
      </w:pPr>
      <w:rPr>
        <w:rFonts w:hint="default"/>
      </w:rPr>
    </w:lvl>
    <w:lvl w:ilvl="3">
      <w:start w:val="0"/>
      <w:numFmt w:val="bullet"/>
      <w:lvlText w:val="•"/>
      <w:lvlJc w:val="left"/>
      <w:pPr>
        <w:ind w:left="2964" w:hanging="274"/>
      </w:pPr>
      <w:rPr>
        <w:rFonts w:hint="default"/>
      </w:rPr>
    </w:lvl>
    <w:lvl w:ilvl="4">
      <w:start w:val="0"/>
      <w:numFmt w:val="bullet"/>
      <w:lvlText w:val="•"/>
      <w:lvlJc w:val="left"/>
      <w:pPr>
        <w:ind w:left="3912" w:hanging="274"/>
      </w:pPr>
      <w:rPr>
        <w:rFonts w:hint="default"/>
      </w:rPr>
    </w:lvl>
    <w:lvl w:ilvl="5">
      <w:start w:val="0"/>
      <w:numFmt w:val="bullet"/>
      <w:lvlText w:val="•"/>
      <w:lvlJc w:val="left"/>
      <w:pPr>
        <w:ind w:left="4860" w:hanging="274"/>
      </w:pPr>
      <w:rPr>
        <w:rFonts w:hint="default"/>
      </w:rPr>
    </w:lvl>
    <w:lvl w:ilvl="6">
      <w:start w:val="0"/>
      <w:numFmt w:val="bullet"/>
      <w:lvlText w:val="•"/>
      <w:lvlJc w:val="left"/>
      <w:pPr>
        <w:ind w:left="5808" w:hanging="274"/>
      </w:pPr>
      <w:rPr>
        <w:rFonts w:hint="default"/>
      </w:rPr>
    </w:lvl>
    <w:lvl w:ilvl="7">
      <w:start w:val="0"/>
      <w:numFmt w:val="bullet"/>
      <w:lvlText w:val="•"/>
      <w:lvlJc w:val="left"/>
      <w:pPr>
        <w:ind w:left="6756" w:hanging="274"/>
      </w:pPr>
      <w:rPr>
        <w:rFonts w:hint="default"/>
      </w:rPr>
    </w:lvl>
    <w:lvl w:ilvl="8">
      <w:start w:val="0"/>
      <w:numFmt w:val="bullet"/>
      <w:lvlText w:val="•"/>
      <w:lvlJc w:val="left"/>
      <w:pPr>
        <w:ind w:left="7704" w:hanging="274"/>
      </w:pPr>
      <w:rPr>
        <w:rFonts w:hint="default"/>
      </w:rPr>
    </w:lvl>
  </w:abstractNum>
  <w:abstractNum w:abstractNumId="200">
    <w:multiLevelType w:val="hybridMultilevel"/>
    <w:lvl w:ilvl="0">
      <w:start w:val="1"/>
      <w:numFmt w:val="lowerLetter"/>
      <w:lvlText w:val="%1)"/>
      <w:lvlJc w:val="left"/>
      <w:pPr>
        <w:ind w:left="120" w:hanging="243"/>
        <w:jc w:val="left"/>
      </w:pPr>
      <w:rPr>
        <w:rFonts w:hint="default" w:ascii="Times New Roman" w:hAnsi="Times New Roman" w:eastAsia="Times New Roman" w:cs="Times New Roman"/>
        <w:w w:val="100"/>
        <w:sz w:val="22"/>
        <w:szCs w:val="22"/>
      </w:rPr>
    </w:lvl>
    <w:lvl w:ilvl="1">
      <w:start w:val="0"/>
      <w:numFmt w:val="bullet"/>
      <w:lvlText w:val="•"/>
      <w:lvlJc w:val="left"/>
      <w:pPr>
        <w:ind w:left="1068" w:hanging="243"/>
      </w:pPr>
      <w:rPr>
        <w:rFonts w:hint="default"/>
      </w:rPr>
    </w:lvl>
    <w:lvl w:ilvl="2">
      <w:start w:val="0"/>
      <w:numFmt w:val="bullet"/>
      <w:lvlText w:val="•"/>
      <w:lvlJc w:val="left"/>
      <w:pPr>
        <w:ind w:left="2016" w:hanging="243"/>
      </w:pPr>
      <w:rPr>
        <w:rFonts w:hint="default"/>
      </w:rPr>
    </w:lvl>
    <w:lvl w:ilvl="3">
      <w:start w:val="0"/>
      <w:numFmt w:val="bullet"/>
      <w:lvlText w:val="•"/>
      <w:lvlJc w:val="left"/>
      <w:pPr>
        <w:ind w:left="2964" w:hanging="243"/>
      </w:pPr>
      <w:rPr>
        <w:rFonts w:hint="default"/>
      </w:rPr>
    </w:lvl>
    <w:lvl w:ilvl="4">
      <w:start w:val="0"/>
      <w:numFmt w:val="bullet"/>
      <w:lvlText w:val="•"/>
      <w:lvlJc w:val="left"/>
      <w:pPr>
        <w:ind w:left="3912" w:hanging="243"/>
      </w:pPr>
      <w:rPr>
        <w:rFonts w:hint="default"/>
      </w:rPr>
    </w:lvl>
    <w:lvl w:ilvl="5">
      <w:start w:val="0"/>
      <w:numFmt w:val="bullet"/>
      <w:lvlText w:val="•"/>
      <w:lvlJc w:val="left"/>
      <w:pPr>
        <w:ind w:left="4860" w:hanging="243"/>
      </w:pPr>
      <w:rPr>
        <w:rFonts w:hint="default"/>
      </w:rPr>
    </w:lvl>
    <w:lvl w:ilvl="6">
      <w:start w:val="0"/>
      <w:numFmt w:val="bullet"/>
      <w:lvlText w:val="•"/>
      <w:lvlJc w:val="left"/>
      <w:pPr>
        <w:ind w:left="5808" w:hanging="243"/>
      </w:pPr>
      <w:rPr>
        <w:rFonts w:hint="default"/>
      </w:rPr>
    </w:lvl>
    <w:lvl w:ilvl="7">
      <w:start w:val="0"/>
      <w:numFmt w:val="bullet"/>
      <w:lvlText w:val="•"/>
      <w:lvlJc w:val="left"/>
      <w:pPr>
        <w:ind w:left="6756" w:hanging="243"/>
      </w:pPr>
      <w:rPr>
        <w:rFonts w:hint="default"/>
      </w:rPr>
    </w:lvl>
    <w:lvl w:ilvl="8">
      <w:start w:val="0"/>
      <w:numFmt w:val="bullet"/>
      <w:lvlText w:val="•"/>
      <w:lvlJc w:val="left"/>
      <w:pPr>
        <w:ind w:left="7704" w:hanging="243"/>
      </w:pPr>
      <w:rPr>
        <w:rFonts w:hint="default"/>
      </w:rPr>
    </w:lvl>
  </w:abstractNum>
  <w:abstractNum w:abstractNumId="199">
    <w:multiLevelType w:val="hybridMultilevel"/>
    <w:lvl w:ilvl="0">
      <w:start w:val="1"/>
      <w:numFmt w:val="lowerLetter"/>
      <w:lvlText w:val="%1)"/>
      <w:lvlJc w:val="left"/>
      <w:pPr>
        <w:ind w:left="354" w:hanging="262"/>
        <w:jc w:val="left"/>
      </w:pPr>
      <w:rPr>
        <w:rFonts w:hint="default" w:ascii="Times New Roman" w:hAnsi="Times New Roman" w:eastAsia="Times New Roman" w:cs="Times New Roman"/>
        <w:w w:val="100"/>
        <w:sz w:val="22"/>
        <w:szCs w:val="22"/>
      </w:rPr>
    </w:lvl>
    <w:lvl w:ilvl="1">
      <w:start w:val="1"/>
      <w:numFmt w:val="decimal"/>
      <w:lvlText w:val="%2."/>
      <w:lvlJc w:val="left"/>
      <w:pPr>
        <w:ind w:left="1060" w:hanging="221"/>
        <w:jc w:val="left"/>
      </w:pPr>
      <w:rPr>
        <w:rFonts w:hint="default" w:ascii="Times New Roman" w:hAnsi="Times New Roman" w:eastAsia="Times New Roman" w:cs="Times New Roman"/>
        <w:w w:val="100"/>
        <w:sz w:val="22"/>
        <w:szCs w:val="22"/>
      </w:rPr>
    </w:lvl>
    <w:lvl w:ilvl="2">
      <w:start w:val="0"/>
      <w:numFmt w:val="bullet"/>
      <w:lvlText w:val="•"/>
      <w:lvlJc w:val="left"/>
      <w:pPr>
        <w:ind w:left="1925" w:hanging="221"/>
      </w:pPr>
      <w:rPr>
        <w:rFonts w:hint="default"/>
      </w:rPr>
    </w:lvl>
    <w:lvl w:ilvl="3">
      <w:start w:val="0"/>
      <w:numFmt w:val="bullet"/>
      <w:lvlText w:val="•"/>
      <w:lvlJc w:val="left"/>
      <w:pPr>
        <w:ind w:left="2791" w:hanging="221"/>
      </w:pPr>
      <w:rPr>
        <w:rFonts w:hint="default"/>
      </w:rPr>
    </w:lvl>
    <w:lvl w:ilvl="4">
      <w:start w:val="0"/>
      <w:numFmt w:val="bullet"/>
      <w:lvlText w:val="•"/>
      <w:lvlJc w:val="left"/>
      <w:pPr>
        <w:ind w:left="3657" w:hanging="221"/>
      </w:pPr>
      <w:rPr>
        <w:rFonts w:hint="default"/>
      </w:rPr>
    </w:lvl>
    <w:lvl w:ilvl="5">
      <w:start w:val="0"/>
      <w:numFmt w:val="bullet"/>
      <w:lvlText w:val="•"/>
      <w:lvlJc w:val="left"/>
      <w:pPr>
        <w:ind w:left="4523" w:hanging="221"/>
      </w:pPr>
      <w:rPr>
        <w:rFonts w:hint="default"/>
      </w:rPr>
    </w:lvl>
    <w:lvl w:ilvl="6">
      <w:start w:val="0"/>
      <w:numFmt w:val="bullet"/>
      <w:lvlText w:val="•"/>
      <w:lvlJc w:val="left"/>
      <w:pPr>
        <w:ind w:left="5389" w:hanging="221"/>
      </w:pPr>
      <w:rPr>
        <w:rFonts w:hint="default"/>
      </w:rPr>
    </w:lvl>
    <w:lvl w:ilvl="7">
      <w:start w:val="0"/>
      <w:numFmt w:val="bullet"/>
      <w:lvlText w:val="•"/>
      <w:lvlJc w:val="left"/>
      <w:pPr>
        <w:ind w:left="6255" w:hanging="221"/>
      </w:pPr>
      <w:rPr>
        <w:rFonts w:hint="default"/>
      </w:rPr>
    </w:lvl>
    <w:lvl w:ilvl="8">
      <w:start w:val="0"/>
      <w:numFmt w:val="bullet"/>
      <w:lvlText w:val="•"/>
      <w:lvlJc w:val="left"/>
      <w:pPr>
        <w:ind w:left="7121" w:hanging="221"/>
      </w:pPr>
      <w:rPr>
        <w:rFonts w:hint="default"/>
      </w:rPr>
    </w:lvl>
  </w:abstractNum>
  <w:abstractNum w:abstractNumId="198">
    <w:multiLevelType w:val="hybridMultilevel"/>
    <w:lvl w:ilvl="0">
      <w:start w:val="1"/>
      <w:numFmt w:val="decimal"/>
      <w:lvlText w:val="%1."/>
      <w:lvlJc w:val="left"/>
      <w:pPr>
        <w:ind w:left="120" w:hanging="291"/>
        <w:jc w:val="left"/>
      </w:pPr>
      <w:rPr>
        <w:rFonts w:hint="default" w:ascii="Times New Roman" w:hAnsi="Times New Roman" w:eastAsia="Times New Roman" w:cs="Times New Roman"/>
        <w:w w:val="100"/>
        <w:sz w:val="22"/>
        <w:szCs w:val="22"/>
      </w:rPr>
    </w:lvl>
    <w:lvl w:ilvl="1">
      <w:start w:val="0"/>
      <w:numFmt w:val="bullet"/>
      <w:lvlText w:val="•"/>
      <w:lvlJc w:val="left"/>
      <w:pPr>
        <w:ind w:left="1068" w:hanging="291"/>
      </w:pPr>
      <w:rPr>
        <w:rFonts w:hint="default"/>
      </w:rPr>
    </w:lvl>
    <w:lvl w:ilvl="2">
      <w:start w:val="0"/>
      <w:numFmt w:val="bullet"/>
      <w:lvlText w:val="•"/>
      <w:lvlJc w:val="left"/>
      <w:pPr>
        <w:ind w:left="2016" w:hanging="291"/>
      </w:pPr>
      <w:rPr>
        <w:rFonts w:hint="default"/>
      </w:rPr>
    </w:lvl>
    <w:lvl w:ilvl="3">
      <w:start w:val="0"/>
      <w:numFmt w:val="bullet"/>
      <w:lvlText w:val="•"/>
      <w:lvlJc w:val="left"/>
      <w:pPr>
        <w:ind w:left="2964" w:hanging="291"/>
      </w:pPr>
      <w:rPr>
        <w:rFonts w:hint="default"/>
      </w:rPr>
    </w:lvl>
    <w:lvl w:ilvl="4">
      <w:start w:val="0"/>
      <w:numFmt w:val="bullet"/>
      <w:lvlText w:val="•"/>
      <w:lvlJc w:val="left"/>
      <w:pPr>
        <w:ind w:left="3912" w:hanging="291"/>
      </w:pPr>
      <w:rPr>
        <w:rFonts w:hint="default"/>
      </w:rPr>
    </w:lvl>
    <w:lvl w:ilvl="5">
      <w:start w:val="0"/>
      <w:numFmt w:val="bullet"/>
      <w:lvlText w:val="•"/>
      <w:lvlJc w:val="left"/>
      <w:pPr>
        <w:ind w:left="4860" w:hanging="291"/>
      </w:pPr>
      <w:rPr>
        <w:rFonts w:hint="default"/>
      </w:rPr>
    </w:lvl>
    <w:lvl w:ilvl="6">
      <w:start w:val="0"/>
      <w:numFmt w:val="bullet"/>
      <w:lvlText w:val="•"/>
      <w:lvlJc w:val="left"/>
      <w:pPr>
        <w:ind w:left="5808" w:hanging="291"/>
      </w:pPr>
      <w:rPr>
        <w:rFonts w:hint="default"/>
      </w:rPr>
    </w:lvl>
    <w:lvl w:ilvl="7">
      <w:start w:val="0"/>
      <w:numFmt w:val="bullet"/>
      <w:lvlText w:val="•"/>
      <w:lvlJc w:val="left"/>
      <w:pPr>
        <w:ind w:left="6756" w:hanging="291"/>
      </w:pPr>
      <w:rPr>
        <w:rFonts w:hint="default"/>
      </w:rPr>
    </w:lvl>
    <w:lvl w:ilvl="8">
      <w:start w:val="0"/>
      <w:numFmt w:val="bullet"/>
      <w:lvlText w:val="•"/>
      <w:lvlJc w:val="left"/>
      <w:pPr>
        <w:ind w:left="7704" w:hanging="291"/>
      </w:pPr>
      <w:rPr>
        <w:rFonts w:hint="default"/>
      </w:rPr>
    </w:lvl>
  </w:abstractNum>
  <w:abstractNum w:abstractNumId="197">
    <w:multiLevelType w:val="hybridMultilevel"/>
    <w:lvl w:ilvl="0">
      <w:start w:val="1"/>
      <w:numFmt w:val="lowerLetter"/>
      <w:lvlText w:val="%1)"/>
      <w:lvlJc w:val="left"/>
      <w:pPr>
        <w:ind w:left="1068" w:hanging="229"/>
        <w:jc w:val="left"/>
      </w:pPr>
      <w:rPr>
        <w:rFonts w:hint="default" w:ascii="Times New Roman" w:hAnsi="Times New Roman" w:eastAsia="Times New Roman" w:cs="Times New Roman"/>
        <w:w w:val="100"/>
        <w:sz w:val="22"/>
        <w:szCs w:val="22"/>
      </w:rPr>
    </w:lvl>
    <w:lvl w:ilvl="1">
      <w:start w:val="0"/>
      <w:numFmt w:val="bullet"/>
      <w:lvlText w:val="•"/>
      <w:lvlJc w:val="left"/>
      <w:pPr>
        <w:ind w:left="1914" w:hanging="229"/>
      </w:pPr>
      <w:rPr>
        <w:rFonts w:hint="default"/>
      </w:rPr>
    </w:lvl>
    <w:lvl w:ilvl="2">
      <w:start w:val="0"/>
      <w:numFmt w:val="bullet"/>
      <w:lvlText w:val="•"/>
      <w:lvlJc w:val="left"/>
      <w:pPr>
        <w:ind w:left="2768" w:hanging="229"/>
      </w:pPr>
      <w:rPr>
        <w:rFonts w:hint="default"/>
      </w:rPr>
    </w:lvl>
    <w:lvl w:ilvl="3">
      <w:start w:val="0"/>
      <w:numFmt w:val="bullet"/>
      <w:lvlText w:val="•"/>
      <w:lvlJc w:val="left"/>
      <w:pPr>
        <w:ind w:left="3622" w:hanging="229"/>
      </w:pPr>
      <w:rPr>
        <w:rFonts w:hint="default"/>
      </w:rPr>
    </w:lvl>
    <w:lvl w:ilvl="4">
      <w:start w:val="0"/>
      <w:numFmt w:val="bullet"/>
      <w:lvlText w:val="•"/>
      <w:lvlJc w:val="left"/>
      <w:pPr>
        <w:ind w:left="4476" w:hanging="229"/>
      </w:pPr>
      <w:rPr>
        <w:rFonts w:hint="default"/>
      </w:rPr>
    </w:lvl>
    <w:lvl w:ilvl="5">
      <w:start w:val="0"/>
      <w:numFmt w:val="bullet"/>
      <w:lvlText w:val="•"/>
      <w:lvlJc w:val="left"/>
      <w:pPr>
        <w:ind w:left="5330" w:hanging="229"/>
      </w:pPr>
      <w:rPr>
        <w:rFonts w:hint="default"/>
      </w:rPr>
    </w:lvl>
    <w:lvl w:ilvl="6">
      <w:start w:val="0"/>
      <w:numFmt w:val="bullet"/>
      <w:lvlText w:val="•"/>
      <w:lvlJc w:val="left"/>
      <w:pPr>
        <w:ind w:left="6184" w:hanging="229"/>
      </w:pPr>
      <w:rPr>
        <w:rFonts w:hint="default"/>
      </w:rPr>
    </w:lvl>
    <w:lvl w:ilvl="7">
      <w:start w:val="0"/>
      <w:numFmt w:val="bullet"/>
      <w:lvlText w:val="•"/>
      <w:lvlJc w:val="left"/>
      <w:pPr>
        <w:ind w:left="7038" w:hanging="229"/>
      </w:pPr>
      <w:rPr>
        <w:rFonts w:hint="default"/>
      </w:rPr>
    </w:lvl>
    <w:lvl w:ilvl="8">
      <w:start w:val="0"/>
      <w:numFmt w:val="bullet"/>
      <w:lvlText w:val="•"/>
      <w:lvlJc w:val="left"/>
      <w:pPr>
        <w:ind w:left="7892" w:hanging="229"/>
      </w:pPr>
      <w:rPr>
        <w:rFonts w:hint="default"/>
      </w:rPr>
    </w:lvl>
  </w:abstractNum>
  <w:abstractNum w:abstractNumId="196">
    <w:multiLevelType w:val="hybridMultilevel"/>
    <w:lvl w:ilvl="0">
      <w:start w:val="1"/>
      <w:numFmt w:val="lowerLetter"/>
      <w:lvlText w:val="%1)"/>
      <w:lvlJc w:val="left"/>
      <w:pPr>
        <w:ind w:left="354" w:hanging="236"/>
        <w:jc w:val="right"/>
      </w:pPr>
      <w:rPr>
        <w:rFonts w:hint="default" w:ascii="Times New Roman" w:hAnsi="Times New Roman" w:eastAsia="Times New Roman" w:cs="Times New Roman"/>
        <w:w w:val="100"/>
        <w:sz w:val="22"/>
        <w:szCs w:val="22"/>
      </w:rPr>
    </w:lvl>
    <w:lvl w:ilvl="1">
      <w:start w:val="0"/>
      <w:numFmt w:val="bullet"/>
      <w:lvlText w:val="•"/>
      <w:lvlJc w:val="left"/>
      <w:pPr>
        <w:ind w:left="1212" w:hanging="236"/>
      </w:pPr>
      <w:rPr>
        <w:rFonts w:hint="default"/>
      </w:rPr>
    </w:lvl>
    <w:lvl w:ilvl="2">
      <w:start w:val="0"/>
      <w:numFmt w:val="bullet"/>
      <w:lvlText w:val="•"/>
      <w:lvlJc w:val="left"/>
      <w:pPr>
        <w:ind w:left="2064" w:hanging="236"/>
      </w:pPr>
      <w:rPr>
        <w:rFonts w:hint="default"/>
      </w:rPr>
    </w:lvl>
    <w:lvl w:ilvl="3">
      <w:start w:val="0"/>
      <w:numFmt w:val="bullet"/>
      <w:lvlText w:val="•"/>
      <w:lvlJc w:val="left"/>
      <w:pPr>
        <w:ind w:left="2916" w:hanging="236"/>
      </w:pPr>
      <w:rPr>
        <w:rFonts w:hint="default"/>
      </w:rPr>
    </w:lvl>
    <w:lvl w:ilvl="4">
      <w:start w:val="0"/>
      <w:numFmt w:val="bullet"/>
      <w:lvlText w:val="•"/>
      <w:lvlJc w:val="left"/>
      <w:pPr>
        <w:ind w:left="3767" w:hanging="236"/>
      </w:pPr>
      <w:rPr>
        <w:rFonts w:hint="default"/>
      </w:rPr>
    </w:lvl>
    <w:lvl w:ilvl="5">
      <w:start w:val="0"/>
      <w:numFmt w:val="bullet"/>
      <w:lvlText w:val="•"/>
      <w:lvlJc w:val="left"/>
      <w:pPr>
        <w:ind w:left="4619" w:hanging="236"/>
      </w:pPr>
      <w:rPr>
        <w:rFonts w:hint="default"/>
      </w:rPr>
    </w:lvl>
    <w:lvl w:ilvl="6">
      <w:start w:val="0"/>
      <w:numFmt w:val="bullet"/>
      <w:lvlText w:val="•"/>
      <w:lvlJc w:val="left"/>
      <w:pPr>
        <w:ind w:left="5471" w:hanging="236"/>
      </w:pPr>
      <w:rPr>
        <w:rFonts w:hint="default"/>
      </w:rPr>
    </w:lvl>
    <w:lvl w:ilvl="7">
      <w:start w:val="0"/>
      <w:numFmt w:val="bullet"/>
      <w:lvlText w:val="•"/>
      <w:lvlJc w:val="left"/>
      <w:pPr>
        <w:ind w:left="6323" w:hanging="236"/>
      </w:pPr>
      <w:rPr>
        <w:rFonts w:hint="default"/>
      </w:rPr>
    </w:lvl>
    <w:lvl w:ilvl="8">
      <w:start w:val="0"/>
      <w:numFmt w:val="bullet"/>
      <w:lvlText w:val="•"/>
      <w:lvlJc w:val="left"/>
      <w:pPr>
        <w:ind w:left="7175" w:hanging="236"/>
      </w:pPr>
      <w:rPr>
        <w:rFonts w:hint="default"/>
      </w:rPr>
    </w:lvl>
  </w:abstractNum>
  <w:abstractNum w:abstractNumId="195">
    <w:multiLevelType w:val="hybridMultilevel"/>
    <w:lvl w:ilvl="0">
      <w:start w:val="1"/>
      <w:numFmt w:val="decimal"/>
      <w:lvlText w:val="%1."/>
      <w:lvlJc w:val="left"/>
      <w:pPr>
        <w:ind w:left="339" w:hanging="221"/>
        <w:jc w:val="right"/>
      </w:pPr>
      <w:rPr>
        <w:rFonts w:hint="default" w:ascii="Times New Roman" w:hAnsi="Times New Roman" w:eastAsia="Times New Roman" w:cs="Times New Roman"/>
        <w:w w:val="100"/>
        <w:sz w:val="22"/>
        <w:szCs w:val="22"/>
      </w:rPr>
    </w:lvl>
    <w:lvl w:ilvl="1">
      <w:start w:val="0"/>
      <w:numFmt w:val="bullet"/>
      <w:lvlText w:val="•"/>
      <w:lvlJc w:val="left"/>
      <w:pPr>
        <w:ind w:left="1194" w:hanging="221"/>
      </w:pPr>
      <w:rPr>
        <w:rFonts w:hint="default"/>
      </w:rPr>
    </w:lvl>
    <w:lvl w:ilvl="2">
      <w:start w:val="0"/>
      <w:numFmt w:val="bullet"/>
      <w:lvlText w:val="•"/>
      <w:lvlJc w:val="left"/>
      <w:pPr>
        <w:ind w:left="2048" w:hanging="221"/>
      </w:pPr>
      <w:rPr>
        <w:rFonts w:hint="default"/>
      </w:rPr>
    </w:lvl>
    <w:lvl w:ilvl="3">
      <w:start w:val="0"/>
      <w:numFmt w:val="bullet"/>
      <w:lvlText w:val="•"/>
      <w:lvlJc w:val="left"/>
      <w:pPr>
        <w:ind w:left="2902" w:hanging="221"/>
      </w:pPr>
      <w:rPr>
        <w:rFonts w:hint="default"/>
      </w:rPr>
    </w:lvl>
    <w:lvl w:ilvl="4">
      <w:start w:val="0"/>
      <w:numFmt w:val="bullet"/>
      <w:lvlText w:val="•"/>
      <w:lvlJc w:val="left"/>
      <w:pPr>
        <w:ind w:left="3755" w:hanging="221"/>
      </w:pPr>
      <w:rPr>
        <w:rFonts w:hint="default"/>
      </w:rPr>
    </w:lvl>
    <w:lvl w:ilvl="5">
      <w:start w:val="0"/>
      <w:numFmt w:val="bullet"/>
      <w:lvlText w:val="•"/>
      <w:lvlJc w:val="left"/>
      <w:pPr>
        <w:ind w:left="4609" w:hanging="221"/>
      </w:pPr>
      <w:rPr>
        <w:rFonts w:hint="default"/>
      </w:rPr>
    </w:lvl>
    <w:lvl w:ilvl="6">
      <w:start w:val="0"/>
      <w:numFmt w:val="bullet"/>
      <w:lvlText w:val="•"/>
      <w:lvlJc w:val="left"/>
      <w:pPr>
        <w:ind w:left="5463" w:hanging="221"/>
      </w:pPr>
      <w:rPr>
        <w:rFonts w:hint="default"/>
      </w:rPr>
    </w:lvl>
    <w:lvl w:ilvl="7">
      <w:start w:val="0"/>
      <w:numFmt w:val="bullet"/>
      <w:lvlText w:val="•"/>
      <w:lvlJc w:val="left"/>
      <w:pPr>
        <w:ind w:left="6317" w:hanging="221"/>
      </w:pPr>
      <w:rPr>
        <w:rFonts w:hint="default"/>
      </w:rPr>
    </w:lvl>
    <w:lvl w:ilvl="8">
      <w:start w:val="0"/>
      <w:numFmt w:val="bullet"/>
      <w:lvlText w:val="•"/>
      <w:lvlJc w:val="left"/>
      <w:pPr>
        <w:ind w:left="7171" w:hanging="221"/>
      </w:pPr>
      <w:rPr>
        <w:rFonts w:hint="default"/>
      </w:rPr>
    </w:lvl>
  </w:abstractNum>
  <w:abstractNum w:abstractNumId="194">
    <w:multiLevelType w:val="hybridMultilevel"/>
    <w:lvl w:ilvl="0">
      <w:start w:val="1"/>
      <w:numFmt w:val="lowerLetter"/>
      <w:lvlText w:val="%1)"/>
      <w:lvlJc w:val="left"/>
      <w:pPr>
        <w:ind w:left="119" w:hanging="243"/>
        <w:jc w:val="left"/>
      </w:pPr>
      <w:rPr>
        <w:rFonts w:hint="default" w:ascii="Times New Roman" w:hAnsi="Times New Roman" w:eastAsia="Times New Roman" w:cs="Times New Roman"/>
        <w:w w:val="100"/>
        <w:sz w:val="22"/>
        <w:szCs w:val="22"/>
      </w:rPr>
    </w:lvl>
    <w:lvl w:ilvl="1">
      <w:start w:val="0"/>
      <w:numFmt w:val="bullet"/>
      <w:lvlText w:val="•"/>
      <w:lvlJc w:val="left"/>
      <w:pPr>
        <w:ind w:left="1068" w:hanging="243"/>
      </w:pPr>
      <w:rPr>
        <w:rFonts w:hint="default"/>
      </w:rPr>
    </w:lvl>
    <w:lvl w:ilvl="2">
      <w:start w:val="0"/>
      <w:numFmt w:val="bullet"/>
      <w:lvlText w:val="•"/>
      <w:lvlJc w:val="left"/>
      <w:pPr>
        <w:ind w:left="2016" w:hanging="243"/>
      </w:pPr>
      <w:rPr>
        <w:rFonts w:hint="default"/>
      </w:rPr>
    </w:lvl>
    <w:lvl w:ilvl="3">
      <w:start w:val="0"/>
      <w:numFmt w:val="bullet"/>
      <w:lvlText w:val="•"/>
      <w:lvlJc w:val="left"/>
      <w:pPr>
        <w:ind w:left="2964" w:hanging="243"/>
      </w:pPr>
      <w:rPr>
        <w:rFonts w:hint="default"/>
      </w:rPr>
    </w:lvl>
    <w:lvl w:ilvl="4">
      <w:start w:val="0"/>
      <w:numFmt w:val="bullet"/>
      <w:lvlText w:val="•"/>
      <w:lvlJc w:val="left"/>
      <w:pPr>
        <w:ind w:left="3912" w:hanging="243"/>
      </w:pPr>
      <w:rPr>
        <w:rFonts w:hint="default"/>
      </w:rPr>
    </w:lvl>
    <w:lvl w:ilvl="5">
      <w:start w:val="0"/>
      <w:numFmt w:val="bullet"/>
      <w:lvlText w:val="•"/>
      <w:lvlJc w:val="left"/>
      <w:pPr>
        <w:ind w:left="4860" w:hanging="243"/>
      </w:pPr>
      <w:rPr>
        <w:rFonts w:hint="default"/>
      </w:rPr>
    </w:lvl>
    <w:lvl w:ilvl="6">
      <w:start w:val="0"/>
      <w:numFmt w:val="bullet"/>
      <w:lvlText w:val="•"/>
      <w:lvlJc w:val="left"/>
      <w:pPr>
        <w:ind w:left="5808" w:hanging="243"/>
      </w:pPr>
      <w:rPr>
        <w:rFonts w:hint="default"/>
      </w:rPr>
    </w:lvl>
    <w:lvl w:ilvl="7">
      <w:start w:val="0"/>
      <w:numFmt w:val="bullet"/>
      <w:lvlText w:val="•"/>
      <w:lvlJc w:val="left"/>
      <w:pPr>
        <w:ind w:left="6756" w:hanging="243"/>
      </w:pPr>
      <w:rPr>
        <w:rFonts w:hint="default"/>
      </w:rPr>
    </w:lvl>
    <w:lvl w:ilvl="8">
      <w:start w:val="0"/>
      <w:numFmt w:val="bullet"/>
      <w:lvlText w:val="•"/>
      <w:lvlJc w:val="left"/>
      <w:pPr>
        <w:ind w:left="7704" w:hanging="243"/>
      </w:pPr>
      <w:rPr>
        <w:rFonts w:hint="default"/>
      </w:rPr>
    </w:lvl>
  </w:abstractNum>
  <w:abstractNum w:abstractNumId="193">
    <w:multiLevelType w:val="hybridMultilevel"/>
    <w:lvl w:ilvl="0">
      <w:start w:val="1"/>
      <w:numFmt w:val="decimal"/>
      <w:lvlText w:val="%1."/>
      <w:lvlJc w:val="left"/>
      <w:pPr>
        <w:ind w:left="1059" w:hanging="221"/>
        <w:jc w:val="left"/>
      </w:pPr>
      <w:rPr>
        <w:rFonts w:hint="default" w:ascii="Times New Roman" w:hAnsi="Times New Roman" w:eastAsia="Times New Roman" w:cs="Times New Roman"/>
        <w:w w:val="100"/>
        <w:sz w:val="22"/>
        <w:szCs w:val="22"/>
      </w:rPr>
    </w:lvl>
    <w:lvl w:ilvl="1">
      <w:start w:val="0"/>
      <w:numFmt w:val="bullet"/>
      <w:lvlText w:val="•"/>
      <w:lvlJc w:val="left"/>
      <w:pPr>
        <w:ind w:left="1914" w:hanging="221"/>
      </w:pPr>
      <w:rPr>
        <w:rFonts w:hint="default"/>
      </w:rPr>
    </w:lvl>
    <w:lvl w:ilvl="2">
      <w:start w:val="0"/>
      <w:numFmt w:val="bullet"/>
      <w:lvlText w:val="•"/>
      <w:lvlJc w:val="left"/>
      <w:pPr>
        <w:ind w:left="2768" w:hanging="221"/>
      </w:pPr>
      <w:rPr>
        <w:rFonts w:hint="default"/>
      </w:rPr>
    </w:lvl>
    <w:lvl w:ilvl="3">
      <w:start w:val="0"/>
      <w:numFmt w:val="bullet"/>
      <w:lvlText w:val="•"/>
      <w:lvlJc w:val="left"/>
      <w:pPr>
        <w:ind w:left="3622" w:hanging="221"/>
      </w:pPr>
      <w:rPr>
        <w:rFonts w:hint="default"/>
      </w:rPr>
    </w:lvl>
    <w:lvl w:ilvl="4">
      <w:start w:val="0"/>
      <w:numFmt w:val="bullet"/>
      <w:lvlText w:val="•"/>
      <w:lvlJc w:val="left"/>
      <w:pPr>
        <w:ind w:left="4476" w:hanging="221"/>
      </w:pPr>
      <w:rPr>
        <w:rFonts w:hint="default"/>
      </w:rPr>
    </w:lvl>
    <w:lvl w:ilvl="5">
      <w:start w:val="0"/>
      <w:numFmt w:val="bullet"/>
      <w:lvlText w:val="•"/>
      <w:lvlJc w:val="left"/>
      <w:pPr>
        <w:ind w:left="5330" w:hanging="221"/>
      </w:pPr>
      <w:rPr>
        <w:rFonts w:hint="default"/>
      </w:rPr>
    </w:lvl>
    <w:lvl w:ilvl="6">
      <w:start w:val="0"/>
      <w:numFmt w:val="bullet"/>
      <w:lvlText w:val="•"/>
      <w:lvlJc w:val="left"/>
      <w:pPr>
        <w:ind w:left="6184" w:hanging="221"/>
      </w:pPr>
      <w:rPr>
        <w:rFonts w:hint="default"/>
      </w:rPr>
    </w:lvl>
    <w:lvl w:ilvl="7">
      <w:start w:val="0"/>
      <w:numFmt w:val="bullet"/>
      <w:lvlText w:val="•"/>
      <w:lvlJc w:val="left"/>
      <w:pPr>
        <w:ind w:left="7038" w:hanging="221"/>
      </w:pPr>
      <w:rPr>
        <w:rFonts w:hint="default"/>
      </w:rPr>
    </w:lvl>
    <w:lvl w:ilvl="8">
      <w:start w:val="0"/>
      <w:numFmt w:val="bullet"/>
      <w:lvlText w:val="•"/>
      <w:lvlJc w:val="left"/>
      <w:pPr>
        <w:ind w:left="7892" w:hanging="221"/>
      </w:pPr>
      <w:rPr>
        <w:rFonts w:hint="default"/>
      </w:rPr>
    </w:lvl>
  </w:abstractNum>
  <w:abstractNum w:abstractNumId="192">
    <w:multiLevelType w:val="hybridMultilevel"/>
    <w:lvl w:ilvl="0">
      <w:start w:val="1"/>
      <w:numFmt w:val="decimal"/>
      <w:lvlText w:val="%1."/>
      <w:lvlJc w:val="left"/>
      <w:pPr>
        <w:ind w:left="119" w:hanging="267"/>
        <w:jc w:val="left"/>
      </w:pPr>
      <w:rPr>
        <w:rFonts w:hint="default" w:ascii="Times New Roman" w:hAnsi="Times New Roman" w:eastAsia="Times New Roman" w:cs="Times New Roman"/>
        <w:w w:val="100"/>
        <w:sz w:val="22"/>
        <w:szCs w:val="22"/>
      </w:rPr>
    </w:lvl>
    <w:lvl w:ilvl="1">
      <w:start w:val="0"/>
      <w:numFmt w:val="bullet"/>
      <w:lvlText w:val="•"/>
      <w:lvlJc w:val="left"/>
      <w:pPr>
        <w:ind w:left="1068" w:hanging="267"/>
      </w:pPr>
      <w:rPr>
        <w:rFonts w:hint="default"/>
      </w:rPr>
    </w:lvl>
    <w:lvl w:ilvl="2">
      <w:start w:val="0"/>
      <w:numFmt w:val="bullet"/>
      <w:lvlText w:val="•"/>
      <w:lvlJc w:val="left"/>
      <w:pPr>
        <w:ind w:left="2016" w:hanging="267"/>
      </w:pPr>
      <w:rPr>
        <w:rFonts w:hint="default"/>
      </w:rPr>
    </w:lvl>
    <w:lvl w:ilvl="3">
      <w:start w:val="0"/>
      <w:numFmt w:val="bullet"/>
      <w:lvlText w:val="•"/>
      <w:lvlJc w:val="left"/>
      <w:pPr>
        <w:ind w:left="2964" w:hanging="267"/>
      </w:pPr>
      <w:rPr>
        <w:rFonts w:hint="default"/>
      </w:rPr>
    </w:lvl>
    <w:lvl w:ilvl="4">
      <w:start w:val="0"/>
      <w:numFmt w:val="bullet"/>
      <w:lvlText w:val="•"/>
      <w:lvlJc w:val="left"/>
      <w:pPr>
        <w:ind w:left="3912" w:hanging="267"/>
      </w:pPr>
      <w:rPr>
        <w:rFonts w:hint="default"/>
      </w:rPr>
    </w:lvl>
    <w:lvl w:ilvl="5">
      <w:start w:val="0"/>
      <w:numFmt w:val="bullet"/>
      <w:lvlText w:val="•"/>
      <w:lvlJc w:val="left"/>
      <w:pPr>
        <w:ind w:left="4860" w:hanging="267"/>
      </w:pPr>
      <w:rPr>
        <w:rFonts w:hint="default"/>
      </w:rPr>
    </w:lvl>
    <w:lvl w:ilvl="6">
      <w:start w:val="0"/>
      <w:numFmt w:val="bullet"/>
      <w:lvlText w:val="•"/>
      <w:lvlJc w:val="left"/>
      <w:pPr>
        <w:ind w:left="5808" w:hanging="267"/>
      </w:pPr>
      <w:rPr>
        <w:rFonts w:hint="default"/>
      </w:rPr>
    </w:lvl>
    <w:lvl w:ilvl="7">
      <w:start w:val="0"/>
      <w:numFmt w:val="bullet"/>
      <w:lvlText w:val="•"/>
      <w:lvlJc w:val="left"/>
      <w:pPr>
        <w:ind w:left="6756" w:hanging="267"/>
      </w:pPr>
      <w:rPr>
        <w:rFonts w:hint="default"/>
      </w:rPr>
    </w:lvl>
    <w:lvl w:ilvl="8">
      <w:start w:val="0"/>
      <w:numFmt w:val="bullet"/>
      <w:lvlText w:val="•"/>
      <w:lvlJc w:val="left"/>
      <w:pPr>
        <w:ind w:left="7704" w:hanging="267"/>
      </w:pPr>
      <w:rPr>
        <w:rFonts w:hint="default"/>
      </w:rPr>
    </w:lvl>
  </w:abstractNum>
  <w:abstractNum w:abstractNumId="191">
    <w:multiLevelType w:val="hybridMultilevel"/>
    <w:lvl w:ilvl="0">
      <w:start w:val="1"/>
      <w:numFmt w:val="lowerLetter"/>
      <w:lvlText w:val="%1)"/>
      <w:lvlJc w:val="left"/>
      <w:pPr>
        <w:ind w:left="1068" w:hanging="229"/>
        <w:jc w:val="left"/>
      </w:pPr>
      <w:rPr>
        <w:rFonts w:hint="default" w:ascii="Times New Roman" w:hAnsi="Times New Roman" w:eastAsia="Times New Roman" w:cs="Times New Roman"/>
        <w:w w:val="100"/>
        <w:sz w:val="22"/>
        <w:szCs w:val="22"/>
      </w:rPr>
    </w:lvl>
    <w:lvl w:ilvl="1">
      <w:start w:val="0"/>
      <w:numFmt w:val="bullet"/>
      <w:lvlText w:val="•"/>
      <w:lvlJc w:val="left"/>
      <w:pPr>
        <w:ind w:left="1914" w:hanging="229"/>
      </w:pPr>
      <w:rPr>
        <w:rFonts w:hint="default"/>
      </w:rPr>
    </w:lvl>
    <w:lvl w:ilvl="2">
      <w:start w:val="0"/>
      <w:numFmt w:val="bullet"/>
      <w:lvlText w:val="•"/>
      <w:lvlJc w:val="left"/>
      <w:pPr>
        <w:ind w:left="2768" w:hanging="229"/>
      </w:pPr>
      <w:rPr>
        <w:rFonts w:hint="default"/>
      </w:rPr>
    </w:lvl>
    <w:lvl w:ilvl="3">
      <w:start w:val="0"/>
      <w:numFmt w:val="bullet"/>
      <w:lvlText w:val="•"/>
      <w:lvlJc w:val="left"/>
      <w:pPr>
        <w:ind w:left="3622" w:hanging="229"/>
      </w:pPr>
      <w:rPr>
        <w:rFonts w:hint="default"/>
      </w:rPr>
    </w:lvl>
    <w:lvl w:ilvl="4">
      <w:start w:val="0"/>
      <w:numFmt w:val="bullet"/>
      <w:lvlText w:val="•"/>
      <w:lvlJc w:val="left"/>
      <w:pPr>
        <w:ind w:left="4476" w:hanging="229"/>
      </w:pPr>
      <w:rPr>
        <w:rFonts w:hint="default"/>
      </w:rPr>
    </w:lvl>
    <w:lvl w:ilvl="5">
      <w:start w:val="0"/>
      <w:numFmt w:val="bullet"/>
      <w:lvlText w:val="•"/>
      <w:lvlJc w:val="left"/>
      <w:pPr>
        <w:ind w:left="5330" w:hanging="229"/>
      </w:pPr>
      <w:rPr>
        <w:rFonts w:hint="default"/>
      </w:rPr>
    </w:lvl>
    <w:lvl w:ilvl="6">
      <w:start w:val="0"/>
      <w:numFmt w:val="bullet"/>
      <w:lvlText w:val="•"/>
      <w:lvlJc w:val="left"/>
      <w:pPr>
        <w:ind w:left="6184" w:hanging="229"/>
      </w:pPr>
      <w:rPr>
        <w:rFonts w:hint="default"/>
      </w:rPr>
    </w:lvl>
    <w:lvl w:ilvl="7">
      <w:start w:val="0"/>
      <w:numFmt w:val="bullet"/>
      <w:lvlText w:val="•"/>
      <w:lvlJc w:val="left"/>
      <w:pPr>
        <w:ind w:left="7038" w:hanging="229"/>
      </w:pPr>
      <w:rPr>
        <w:rFonts w:hint="default"/>
      </w:rPr>
    </w:lvl>
    <w:lvl w:ilvl="8">
      <w:start w:val="0"/>
      <w:numFmt w:val="bullet"/>
      <w:lvlText w:val="•"/>
      <w:lvlJc w:val="left"/>
      <w:pPr>
        <w:ind w:left="7892" w:hanging="229"/>
      </w:pPr>
      <w:rPr>
        <w:rFonts w:hint="default"/>
      </w:rPr>
    </w:lvl>
  </w:abstractNum>
  <w:abstractNum w:abstractNumId="190">
    <w:multiLevelType w:val="hybridMultilevel"/>
    <w:lvl w:ilvl="0">
      <w:start w:val="1"/>
      <w:numFmt w:val="decimal"/>
      <w:lvlText w:val="%1."/>
      <w:lvlJc w:val="left"/>
      <w:pPr>
        <w:ind w:left="1060" w:hanging="221"/>
        <w:jc w:val="left"/>
      </w:pPr>
      <w:rPr>
        <w:rFonts w:hint="default" w:ascii="Times New Roman" w:hAnsi="Times New Roman" w:eastAsia="Times New Roman" w:cs="Times New Roman"/>
        <w:w w:val="100"/>
        <w:sz w:val="22"/>
        <w:szCs w:val="22"/>
      </w:rPr>
    </w:lvl>
    <w:lvl w:ilvl="1">
      <w:start w:val="0"/>
      <w:numFmt w:val="bullet"/>
      <w:lvlText w:val="•"/>
      <w:lvlJc w:val="left"/>
      <w:pPr>
        <w:ind w:left="1914" w:hanging="221"/>
      </w:pPr>
      <w:rPr>
        <w:rFonts w:hint="default"/>
      </w:rPr>
    </w:lvl>
    <w:lvl w:ilvl="2">
      <w:start w:val="0"/>
      <w:numFmt w:val="bullet"/>
      <w:lvlText w:val="•"/>
      <w:lvlJc w:val="left"/>
      <w:pPr>
        <w:ind w:left="2768" w:hanging="221"/>
      </w:pPr>
      <w:rPr>
        <w:rFonts w:hint="default"/>
      </w:rPr>
    </w:lvl>
    <w:lvl w:ilvl="3">
      <w:start w:val="0"/>
      <w:numFmt w:val="bullet"/>
      <w:lvlText w:val="•"/>
      <w:lvlJc w:val="left"/>
      <w:pPr>
        <w:ind w:left="3622" w:hanging="221"/>
      </w:pPr>
      <w:rPr>
        <w:rFonts w:hint="default"/>
      </w:rPr>
    </w:lvl>
    <w:lvl w:ilvl="4">
      <w:start w:val="0"/>
      <w:numFmt w:val="bullet"/>
      <w:lvlText w:val="•"/>
      <w:lvlJc w:val="left"/>
      <w:pPr>
        <w:ind w:left="4476" w:hanging="221"/>
      </w:pPr>
      <w:rPr>
        <w:rFonts w:hint="default"/>
      </w:rPr>
    </w:lvl>
    <w:lvl w:ilvl="5">
      <w:start w:val="0"/>
      <w:numFmt w:val="bullet"/>
      <w:lvlText w:val="•"/>
      <w:lvlJc w:val="left"/>
      <w:pPr>
        <w:ind w:left="5330" w:hanging="221"/>
      </w:pPr>
      <w:rPr>
        <w:rFonts w:hint="default"/>
      </w:rPr>
    </w:lvl>
    <w:lvl w:ilvl="6">
      <w:start w:val="0"/>
      <w:numFmt w:val="bullet"/>
      <w:lvlText w:val="•"/>
      <w:lvlJc w:val="left"/>
      <w:pPr>
        <w:ind w:left="6184" w:hanging="221"/>
      </w:pPr>
      <w:rPr>
        <w:rFonts w:hint="default"/>
      </w:rPr>
    </w:lvl>
    <w:lvl w:ilvl="7">
      <w:start w:val="0"/>
      <w:numFmt w:val="bullet"/>
      <w:lvlText w:val="•"/>
      <w:lvlJc w:val="left"/>
      <w:pPr>
        <w:ind w:left="7038" w:hanging="221"/>
      </w:pPr>
      <w:rPr>
        <w:rFonts w:hint="default"/>
      </w:rPr>
    </w:lvl>
    <w:lvl w:ilvl="8">
      <w:start w:val="0"/>
      <w:numFmt w:val="bullet"/>
      <w:lvlText w:val="•"/>
      <w:lvlJc w:val="left"/>
      <w:pPr>
        <w:ind w:left="7892" w:hanging="221"/>
      </w:pPr>
      <w:rPr>
        <w:rFonts w:hint="default"/>
      </w:rPr>
    </w:lvl>
  </w:abstractNum>
  <w:abstractNum w:abstractNumId="189">
    <w:multiLevelType w:val="hybridMultilevel"/>
    <w:lvl w:ilvl="0">
      <w:start w:val="1"/>
      <w:numFmt w:val="lowerLetter"/>
      <w:lvlText w:val="%1)"/>
      <w:lvlJc w:val="left"/>
      <w:pPr>
        <w:ind w:left="1123" w:hanging="284"/>
        <w:jc w:val="left"/>
      </w:pPr>
      <w:rPr>
        <w:rFonts w:hint="default" w:ascii="Times New Roman" w:hAnsi="Times New Roman" w:eastAsia="Times New Roman" w:cs="Times New Roman"/>
        <w:w w:val="100"/>
        <w:sz w:val="22"/>
        <w:szCs w:val="22"/>
      </w:rPr>
    </w:lvl>
    <w:lvl w:ilvl="1">
      <w:start w:val="0"/>
      <w:numFmt w:val="bullet"/>
      <w:lvlText w:val="•"/>
      <w:lvlJc w:val="left"/>
      <w:pPr>
        <w:ind w:left="1968" w:hanging="284"/>
      </w:pPr>
      <w:rPr>
        <w:rFonts w:hint="default"/>
      </w:rPr>
    </w:lvl>
    <w:lvl w:ilvl="2">
      <w:start w:val="0"/>
      <w:numFmt w:val="bullet"/>
      <w:lvlText w:val="•"/>
      <w:lvlJc w:val="left"/>
      <w:pPr>
        <w:ind w:left="2816" w:hanging="284"/>
      </w:pPr>
      <w:rPr>
        <w:rFonts w:hint="default"/>
      </w:rPr>
    </w:lvl>
    <w:lvl w:ilvl="3">
      <w:start w:val="0"/>
      <w:numFmt w:val="bullet"/>
      <w:lvlText w:val="•"/>
      <w:lvlJc w:val="left"/>
      <w:pPr>
        <w:ind w:left="3664" w:hanging="284"/>
      </w:pPr>
      <w:rPr>
        <w:rFonts w:hint="default"/>
      </w:rPr>
    </w:lvl>
    <w:lvl w:ilvl="4">
      <w:start w:val="0"/>
      <w:numFmt w:val="bullet"/>
      <w:lvlText w:val="•"/>
      <w:lvlJc w:val="left"/>
      <w:pPr>
        <w:ind w:left="4512" w:hanging="284"/>
      </w:pPr>
      <w:rPr>
        <w:rFonts w:hint="default"/>
      </w:rPr>
    </w:lvl>
    <w:lvl w:ilvl="5">
      <w:start w:val="0"/>
      <w:numFmt w:val="bullet"/>
      <w:lvlText w:val="•"/>
      <w:lvlJc w:val="left"/>
      <w:pPr>
        <w:ind w:left="5360" w:hanging="284"/>
      </w:pPr>
      <w:rPr>
        <w:rFonts w:hint="default"/>
      </w:rPr>
    </w:lvl>
    <w:lvl w:ilvl="6">
      <w:start w:val="0"/>
      <w:numFmt w:val="bullet"/>
      <w:lvlText w:val="•"/>
      <w:lvlJc w:val="left"/>
      <w:pPr>
        <w:ind w:left="6208" w:hanging="284"/>
      </w:pPr>
      <w:rPr>
        <w:rFonts w:hint="default"/>
      </w:rPr>
    </w:lvl>
    <w:lvl w:ilvl="7">
      <w:start w:val="0"/>
      <w:numFmt w:val="bullet"/>
      <w:lvlText w:val="•"/>
      <w:lvlJc w:val="left"/>
      <w:pPr>
        <w:ind w:left="7056" w:hanging="284"/>
      </w:pPr>
      <w:rPr>
        <w:rFonts w:hint="default"/>
      </w:rPr>
    </w:lvl>
    <w:lvl w:ilvl="8">
      <w:start w:val="0"/>
      <w:numFmt w:val="bullet"/>
      <w:lvlText w:val="•"/>
      <w:lvlJc w:val="left"/>
      <w:pPr>
        <w:ind w:left="7904" w:hanging="284"/>
      </w:pPr>
      <w:rPr>
        <w:rFonts w:hint="default"/>
      </w:rPr>
    </w:lvl>
  </w:abstractNum>
  <w:abstractNum w:abstractNumId="188">
    <w:multiLevelType w:val="hybridMultilevel"/>
    <w:lvl w:ilvl="0">
      <w:start w:val="1"/>
      <w:numFmt w:val="lowerLetter"/>
      <w:lvlText w:val="%1)"/>
      <w:lvlJc w:val="left"/>
      <w:pPr>
        <w:ind w:left="1067" w:hanging="229"/>
        <w:jc w:val="left"/>
      </w:pPr>
      <w:rPr>
        <w:rFonts w:hint="default" w:ascii="Times New Roman" w:hAnsi="Times New Roman" w:eastAsia="Times New Roman" w:cs="Times New Roman"/>
        <w:w w:val="100"/>
        <w:sz w:val="22"/>
        <w:szCs w:val="22"/>
      </w:rPr>
    </w:lvl>
    <w:lvl w:ilvl="1">
      <w:start w:val="0"/>
      <w:numFmt w:val="bullet"/>
      <w:lvlText w:val="•"/>
      <w:lvlJc w:val="left"/>
      <w:pPr>
        <w:ind w:left="1914" w:hanging="229"/>
      </w:pPr>
      <w:rPr>
        <w:rFonts w:hint="default"/>
      </w:rPr>
    </w:lvl>
    <w:lvl w:ilvl="2">
      <w:start w:val="0"/>
      <w:numFmt w:val="bullet"/>
      <w:lvlText w:val="•"/>
      <w:lvlJc w:val="left"/>
      <w:pPr>
        <w:ind w:left="2768" w:hanging="229"/>
      </w:pPr>
      <w:rPr>
        <w:rFonts w:hint="default"/>
      </w:rPr>
    </w:lvl>
    <w:lvl w:ilvl="3">
      <w:start w:val="0"/>
      <w:numFmt w:val="bullet"/>
      <w:lvlText w:val="•"/>
      <w:lvlJc w:val="left"/>
      <w:pPr>
        <w:ind w:left="3622" w:hanging="229"/>
      </w:pPr>
      <w:rPr>
        <w:rFonts w:hint="default"/>
      </w:rPr>
    </w:lvl>
    <w:lvl w:ilvl="4">
      <w:start w:val="0"/>
      <w:numFmt w:val="bullet"/>
      <w:lvlText w:val="•"/>
      <w:lvlJc w:val="left"/>
      <w:pPr>
        <w:ind w:left="4476" w:hanging="229"/>
      </w:pPr>
      <w:rPr>
        <w:rFonts w:hint="default"/>
      </w:rPr>
    </w:lvl>
    <w:lvl w:ilvl="5">
      <w:start w:val="0"/>
      <w:numFmt w:val="bullet"/>
      <w:lvlText w:val="•"/>
      <w:lvlJc w:val="left"/>
      <w:pPr>
        <w:ind w:left="5330" w:hanging="229"/>
      </w:pPr>
      <w:rPr>
        <w:rFonts w:hint="default"/>
      </w:rPr>
    </w:lvl>
    <w:lvl w:ilvl="6">
      <w:start w:val="0"/>
      <w:numFmt w:val="bullet"/>
      <w:lvlText w:val="•"/>
      <w:lvlJc w:val="left"/>
      <w:pPr>
        <w:ind w:left="6184" w:hanging="229"/>
      </w:pPr>
      <w:rPr>
        <w:rFonts w:hint="default"/>
      </w:rPr>
    </w:lvl>
    <w:lvl w:ilvl="7">
      <w:start w:val="0"/>
      <w:numFmt w:val="bullet"/>
      <w:lvlText w:val="•"/>
      <w:lvlJc w:val="left"/>
      <w:pPr>
        <w:ind w:left="7038" w:hanging="229"/>
      </w:pPr>
      <w:rPr>
        <w:rFonts w:hint="default"/>
      </w:rPr>
    </w:lvl>
    <w:lvl w:ilvl="8">
      <w:start w:val="0"/>
      <w:numFmt w:val="bullet"/>
      <w:lvlText w:val="•"/>
      <w:lvlJc w:val="left"/>
      <w:pPr>
        <w:ind w:left="7892" w:hanging="229"/>
      </w:pPr>
      <w:rPr>
        <w:rFonts w:hint="default"/>
      </w:rPr>
    </w:lvl>
  </w:abstractNum>
  <w:abstractNum w:abstractNumId="187">
    <w:multiLevelType w:val="hybridMultilevel"/>
    <w:lvl w:ilvl="0">
      <w:start w:val="1"/>
      <w:numFmt w:val="decimal"/>
      <w:lvlText w:val="%1."/>
      <w:lvlJc w:val="left"/>
      <w:pPr>
        <w:ind w:left="119" w:hanging="250"/>
        <w:jc w:val="left"/>
      </w:pPr>
      <w:rPr>
        <w:rFonts w:hint="default" w:ascii="Times New Roman" w:hAnsi="Times New Roman" w:eastAsia="Times New Roman" w:cs="Times New Roman"/>
        <w:w w:val="100"/>
        <w:sz w:val="22"/>
        <w:szCs w:val="22"/>
      </w:rPr>
    </w:lvl>
    <w:lvl w:ilvl="1">
      <w:start w:val="0"/>
      <w:numFmt w:val="bullet"/>
      <w:lvlText w:val="•"/>
      <w:lvlJc w:val="left"/>
      <w:pPr>
        <w:ind w:left="1068" w:hanging="250"/>
      </w:pPr>
      <w:rPr>
        <w:rFonts w:hint="default"/>
      </w:rPr>
    </w:lvl>
    <w:lvl w:ilvl="2">
      <w:start w:val="0"/>
      <w:numFmt w:val="bullet"/>
      <w:lvlText w:val="•"/>
      <w:lvlJc w:val="left"/>
      <w:pPr>
        <w:ind w:left="2016" w:hanging="250"/>
      </w:pPr>
      <w:rPr>
        <w:rFonts w:hint="default"/>
      </w:rPr>
    </w:lvl>
    <w:lvl w:ilvl="3">
      <w:start w:val="0"/>
      <w:numFmt w:val="bullet"/>
      <w:lvlText w:val="•"/>
      <w:lvlJc w:val="left"/>
      <w:pPr>
        <w:ind w:left="2964" w:hanging="250"/>
      </w:pPr>
      <w:rPr>
        <w:rFonts w:hint="default"/>
      </w:rPr>
    </w:lvl>
    <w:lvl w:ilvl="4">
      <w:start w:val="0"/>
      <w:numFmt w:val="bullet"/>
      <w:lvlText w:val="•"/>
      <w:lvlJc w:val="left"/>
      <w:pPr>
        <w:ind w:left="3912" w:hanging="250"/>
      </w:pPr>
      <w:rPr>
        <w:rFonts w:hint="default"/>
      </w:rPr>
    </w:lvl>
    <w:lvl w:ilvl="5">
      <w:start w:val="0"/>
      <w:numFmt w:val="bullet"/>
      <w:lvlText w:val="•"/>
      <w:lvlJc w:val="left"/>
      <w:pPr>
        <w:ind w:left="4860" w:hanging="250"/>
      </w:pPr>
      <w:rPr>
        <w:rFonts w:hint="default"/>
      </w:rPr>
    </w:lvl>
    <w:lvl w:ilvl="6">
      <w:start w:val="0"/>
      <w:numFmt w:val="bullet"/>
      <w:lvlText w:val="•"/>
      <w:lvlJc w:val="left"/>
      <w:pPr>
        <w:ind w:left="5808" w:hanging="250"/>
      </w:pPr>
      <w:rPr>
        <w:rFonts w:hint="default"/>
      </w:rPr>
    </w:lvl>
    <w:lvl w:ilvl="7">
      <w:start w:val="0"/>
      <w:numFmt w:val="bullet"/>
      <w:lvlText w:val="•"/>
      <w:lvlJc w:val="left"/>
      <w:pPr>
        <w:ind w:left="6756" w:hanging="250"/>
      </w:pPr>
      <w:rPr>
        <w:rFonts w:hint="default"/>
      </w:rPr>
    </w:lvl>
    <w:lvl w:ilvl="8">
      <w:start w:val="0"/>
      <w:numFmt w:val="bullet"/>
      <w:lvlText w:val="•"/>
      <w:lvlJc w:val="left"/>
      <w:pPr>
        <w:ind w:left="7704" w:hanging="250"/>
      </w:pPr>
      <w:rPr>
        <w:rFonts w:hint="default"/>
      </w:rPr>
    </w:lvl>
  </w:abstractNum>
  <w:abstractNum w:abstractNumId="186">
    <w:multiLevelType w:val="hybridMultilevel"/>
    <w:lvl w:ilvl="0">
      <w:start w:val="1"/>
      <w:numFmt w:val="decimal"/>
      <w:lvlText w:val="%1."/>
      <w:lvlJc w:val="left"/>
      <w:pPr>
        <w:ind w:left="119" w:hanging="269"/>
        <w:jc w:val="left"/>
      </w:pPr>
      <w:rPr>
        <w:rFonts w:hint="default" w:ascii="Times New Roman" w:hAnsi="Times New Roman" w:eastAsia="Times New Roman" w:cs="Times New Roman"/>
        <w:w w:val="100"/>
        <w:sz w:val="22"/>
        <w:szCs w:val="22"/>
      </w:rPr>
    </w:lvl>
    <w:lvl w:ilvl="1">
      <w:start w:val="0"/>
      <w:numFmt w:val="bullet"/>
      <w:lvlText w:val="•"/>
      <w:lvlJc w:val="left"/>
      <w:pPr>
        <w:ind w:left="1068" w:hanging="269"/>
      </w:pPr>
      <w:rPr>
        <w:rFonts w:hint="default"/>
      </w:rPr>
    </w:lvl>
    <w:lvl w:ilvl="2">
      <w:start w:val="0"/>
      <w:numFmt w:val="bullet"/>
      <w:lvlText w:val="•"/>
      <w:lvlJc w:val="left"/>
      <w:pPr>
        <w:ind w:left="2016" w:hanging="269"/>
      </w:pPr>
      <w:rPr>
        <w:rFonts w:hint="default"/>
      </w:rPr>
    </w:lvl>
    <w:lvl w:ilvl="3">
      <w:start w:val="0"/>
      <w:numFmt w:val="bullet"/>
      <w:lvlText w:val="•"/>
      <w:lvlJc w:val="left"/>
      <w:pPr>
        <w:ind w:left="2964" w:hanging="269"/>
      </w:pPr>
      <w:rPr>
        <w:rFonts w:hint="default"/>
      </w:rPr>
    </w:lvl>
    <w:lvl w:ilvl="4">
      <w:start w:val="0"/>
      <w:numFmt w:val="bullet"/>
      <w:lvlText w:val="•"/>
      <w:lvlJc w:val="left"/>
      <w:pPr>
        <w:ind w:left="3912" w:hanging="269"/>
      </w:pPr>
      <w:rPr>
        <w:rFonts w:hint="default"/>
      </w:rPr>
    </w:lvl>
    <w:lvl w:ilvl="5">
      <w:start w:val="0"/>
      <w:numFmt w:val="bullet"/>
      <w:lvlText w:val="•"/>
      <w:lvlJc w:val="left"/>
      <w:pPr>
        <w:ind w:left="4860" w:hanging="269"/>
      </w:pPr>
      <w:rPr>
        <w:rFonts w:hint="default"/>
      </w:rPr>
    </w:lvl>
    <w:lvl w:ilvl="6">
      <w:start w:val="0"/>
      <w:numFmt w:val="bullet"/>
      <w:lvlText w:val="•"/>
      <w:lvlJc w:val="left"/>
      <w:pPr>
        <w:ind w:left="5808" w:hanging="269"/>
      </w:pPr>
      <w:rPr>
        <w:rFonts w:hint="default"/>
      </w:rPr>
    </w:lvl>
    <w:lvl w:ilvl="7">
      <w:start w:val="0"/>
      <w:numFmt w:val="bullet"/>
      <w:lvlText w:val="•"/>
      <w:lvlJc w:val="left"/>
      <w:pPr>
        <w:ind w:left="6756" w:hanging="269"/>
      </w:pPr>
      <w:rPr>
        <w:rFonts w:hint="default"/>
      </w:rPr>
    </w:lvl>
    <w:lvl w:ilvl="8">
      <w:start w:val="0"/>
      <w:numFmt w:val="bullet"/>
      <w:lvlText w:val="•"/>
      <w:lvlJc w:val="left"/>
      <w:pPr>
        <w:ind w:left="7704" w:hanging="269"/>
      </w:pPr>
      <w:rPr>
        <w:rFonts w:hint="default"/>
      </w:rPr>
    </w:lvl>
  </w:abstractNum>
  <w:abstractNum w:abstractNumId="185">
    <w:multiLevelType w:val="hybridMultilevel"/>
    <w:lvl w:ilvl="0">
      <w:start w:val="1"/>
      <w:numFmt w:val="decimal"/>
      <w:lvlText w:val="%1."/>
      <w:lvlJc w:val="left"/>
      <w:pPr>
        <w:ind w:left="119" w:hanging="257"/>
        <w:jc w:val="left"/>
      </w:pPr>
      <w:rPr>
        <w:rFonts w:hint="default" w:ascii="Times New Roman" w:hAnsi="Times New Roman" w:eastAsia="Times New Roman" w:cs="Times New Roman"/>
        <w:w w:val="100"/>
        <w:sz w:val="22"/>
        <w:szCs w:val="22"/>
      </w:rPr>
    </w:lvl>
    <w:lvl w:ilvl="1">
      <w:start w:val="0"/>
      <w:numFmt w:val="bullet"/>
      <w:lvlText w:val="•"/>
      <w:lvlJc w:val="left"/>
      <w:pPr>
        <w:ind w:left="1068" w:hanging="257"/>
      </w:pPr>
      <w:rPr>
        <w:rFonts w:hint="default"/>
      </w:rPr>
    </w:lvl>
    <w:lvl w:ilvl="2">
      <w:start w:val="0"/>
      <w:numFmt w:val="bullet"/>
      <w:lvlText w:val="•"/>
      <w:lvlJc w:val="left"/>
      <w:pPr>
        <w:ind w:left="2016" w:hanging="257"/>
      </w:pPr>
      <w:rPr>
        <w:rFonts w:hint="default"/>
      </w:rPr>
    </w:lvl>
    <w:lvl w:ilvl="3">
      <w:start w:val="0"/>
      <w:numFmt w:val="bullet"/>
      <w:lvlText w:val="•"/>
      <w:lvlJc w:val="left"/>
      <w:pPr>
        <w:ind w:left="2964" w:hanging="257"/>
      </w:pPr>
      <w:rPr>
        <w:rFonts w:hint="default"/>
      </w:rPr>
    </w:lvl>
    <w:lvl w:ilvl="4">
      <w:start w:val="0"/>
      <w:numFmt w:val="bullet"/>
      <w:lvlText w:val="•"/>
      <w:lvlJc w:val="left"/>
      <w:pPr>
        <w:ind w:left="3912" w:hanging="257"/>
      </w:pPr>
      <w:rPr>
        <w:rFonts w:hint="default"/>
      </w:rPr>
    </w:lvl>
    <w:lvl w:ilvl="5">
      <w:start w:val="0"/>
      <w:numFmt w:val="bullet"/>
      <w:lvlText w:val="•"/>
      <w:lvlJc w:val="left"/>
      <w:pPr>
        <w:ind w:left="4860" w:hanging="257"/>
      </w:pPr>
      <w:rPr>
        <w:rFonts w:hint="default"/>
      </w:rPr>
    </w:lvl>
    <w:lvl w:ilvl="6">
      <w:start w:val="0"/>
      <w:numFmt w:val="bullet"/>
      <w:lvlText w:val="•"/>
      <w:lvlJc w:val="left"/>
      <w:pPr>
        <w:ind w:left="5808" w:hanging="257"/>
      </w:pPr>
      <w:rPr>
        <w:rFonts w:hint="default"/>
      </w:rPr>
    </w:lvl>
    <w:lvl w:ilvl="7">
      <w:start w:val="0"/>
      <w:numFmt w:val="bullet"/>
      <w:lvlText w:val="•"/>
      <w:lvlJc w:val="left"/>
      <w:pPr>
        <w:ind w:left="6756" w:hanging="257"/>
      </w:pPr>
      <w:rPr>
        <w:rFonts w:hint="default"/>
      </w:rPr>
    </w:lvl>
    <w:lvl w:ilvl="8">
      <w:start w:val="0"/>
      <w:numFmt w:val="bullet"/>
      <w:lvlText w:val="•"/>
      <w:lvlJc w:val="left"/>
      <w:pPr>
        <w:ind w:left="7704" w:hanging="257"/>
      </w:pPr>
      <w:rPr>
        <w:rFonts w:hint="default"/>
      </w:rPr>
    </w:lvl>
  </w:abstractNum>
  <w:abstractNum w:abstractNumId="184">
    <w:multiLevelType w:val="hybridMultilevel"/>
    <w:lvl w:ilvl="0">
      <w:start w:val="1"/>
      <w:numFmt w:val="lowerLetter"/>
      <w:lvlText w:val="%1)"/>
      <w:lvlJc w:val="left"/>
      <w:pPr>
        <w:ind w:left="119" w:hanging="274"/>
        <w:jc w:val="left"/>
      </w:pPr>
      <w:rPr>
        <w:rFonts w:hint="default" w:ascii="Times New Roman" w:hAnsi="Times New Roman" w:eastAsia="Times New Roman" w:cs="Times New Roman"/>
        <w:w w:val="100"/>
        <w:sz w:val="22"/>
        <w:szCs w:val="22"/>
      </w:rPr>
    </w:lvl>
    <w:lvl w:ilvl="1">
      <w:start w:val="0"/>
      <w:numFmt w:val="bullet"/>
      <w:lvlText w:val="•"/>
      <w:lvlJc w:val="left"/>
      <w:pPr>
        <w:ind w:left="1068" w:hanging="274"/>
      </w:pPr>
      <w:rPr>
        <w:rFonts w:hint="default"/>
      </w:rPr>
    </w:lvl>
    <w:lvl w:ilvl="2">
      <w:start w:val="0"/>
      <w:numFmt w:val="bullet"/>
      <w:lvlText w:val="•"/>
      <w:lvlJc w:val="left"/>
      <w:pPr>
        <w:ind w:left="2016" w:hanging="274"/>
      </w:pPr>
      <w:rPr>
        <w:rFonts w:hint="default"/>
      </w:rPr>
    </w:lvl>
    <w:lvl w:ilvl="3">
      <w:start w:val="0"/>
      <w:numFmt w:val="bullet"/>
      <w:lvlText w:val="•"/>
      <w:lvlJc w:val="left"/>
      <w:pPr>
        <w:ind w:left="2964" w:hanging="274"/>
      </w:pPr>
      <w:rPr>
        <w:rFonts w:hint="default"/>
      </w:rPr>
    </w:lvl>
    <w:lvl w:ilvl="4">
      <w:start w:val="0"/>
      <w:numFmt w:val="bullet"/>
      <w:lvlText w:val="•"/>
      <w:lvlJc w:val="left"/>
      <w:pPr>
        <w:ind w:left="3912" w:hanging="274"/>
      </w:pPr>
      <w:rPr>
        <w:rFonts w:hint="default"/>
      </w:rPr>
    </w:lvl>
    <w:lvl w:ilvl="5">
      <w:start w:val="0"/>
      <w:numFmt w:val="bullet"/>
      <w:lvlText w:val="•"/>
      <w:lvlJc w:val="left"/>
      <w:pPr>
        <w:ind w:left="4860" w:hanging="274"/>
      </w:pPr>
      <w:rPr>
        <w:rFonts w:hint="default"/>
      </w:rPr>
    </w:lvl>
    <w:lvl w:ilvl="6">
      <w:start w:val="0"/>
      <w:numFmt w:val="bullet"/>
      <w:lvlText w:val="•"/>
      <w:lvlJc w:val="left"/>
      <w:pPr>
        <w:ind w:left="5808" w:hanging="274"/>
      </w:pPr>
      <w:rPr>
        <w:rFonts w:hint="default"/>
      </w:rPr>
    </w:lvl>
    <w:lvl w:ilvl="7">
      <w:start w:val="0"/>
      <w:numFmt w:val="bullet"/>
      <w:lvlText w:val="•"/>
      <w:lvlJc w:val="left"/>
      <w:pPr>
        <w:ind w:left="6756" w:hanging="274"/>
      </w:pPr>
      <w:rPr>
        <w:rFonts w:hint="default"/>
      </w:rPr>
    </w:lvl>
    <w:lvl w:ilvl="8">
      <w:start w:val="0"/>
      <w:numFmt w:val="bullet"/>
      <w:lvlText w:val="•"/>
      <w:lvlJc w:val="left"/>
      <w:pPr>
        <w:ind w:left="7704" w:hanging="274"/>
      </w:pPr>
      <w:rPr>
        <w:rFonts w:hint="default"/>
      </w:rPr>
    </w:lvl>
  </w:abstractNum>
  <w:abstractNum w:abstractNumId="183">
    <w:multiLevelType w:val="hybridMultilevel"/>
    <w:lvl w:ilvl="0">
      <w:start w:val="1"/>
      <w:numFmt w:val="lowerLetter"/>
      <w:lvlText w:val="%1)"/>
      <w:lvlJc w:val="left"/>
      <w:pPr>
        <w:ind w:left="119" w:hanging="231"/>
        <w:jc w:val="left"/>
      </w:pPr>
      <w:rPr>
        <w:rFonts w:hint="default" w:ascii="Times New Roman" w:hAnsi="Times New Roman" w:eastAsia="Times New Roman" w:cs="Times New Roman"/>
        <w:w w:val="100"/>
        <w:sz w:val="22"/>
        <w:szCs w:val="22"/>
      </w:rPr>
    </w:lvl>
    <w:lvl w:ilvl="1">
      <w:start w:val="0"/>
      <w:numFmt w:val="bullet"/>
      <w:lvlText w:val="•"/>
      <w:lvlJc w:val="left"/>
      <w:pPr>
        <w:ind w:left="1068" w:hanging="231"/>
      </w:pPr>
      <w:rPr>
        <w:rFonts w:hint="default"/>
      </w:rPr>
    </w:lvl>
    <w:lvl w:ilvl="2">
      <w:start w:val="0"/>
      <w:numFmt w:val="bullet"/>
      <w:lvlText w:val="•"/>
      <w:lvlJc w:val="left"/>
      <w:pPr>
        <w:ind w:left="2016" w:hanging="231"/>
      </w:pPr>
      <w:rPr>
        <w:rFonts w:hint="default"/>
      </w:rPr>
    </w:lvl>
    <w:lvl w:ilvl="3">
      <w:start w:val="0"/>
      <w:numFmt w:val="bullet"/>
      <w:lvlText w:val="•"/>
      <w:lvlJc w:val="left"/>
      <w:pPr>
        <w:ind w:left="2964" w:hanging="231"/>
      </w:pPr>
      <w:rPr>
        <w:rFonts w:hint="default"/>
      </w:rPr>
    </w:lvl>
    <w:lvl w:ilvl="4">
      <w:start w:val="0"/>
      <w:numFmt w:val="bullet"/>
      <w:lvlText w:val="•"/>
      <w:lvlJc w:val="left"/>
      <w:pPr>
        <w:ind w:left="3912" w:hanging="231"/>
      </w:pPr>
      <w:rPr>
        <w:rFonts w:hint="default"/>
      </w:rPr>
    </w:lvl>
    <w:lvl w:ilvl="5">
      <w:start w:val="0"/>
      <w:numFmt w:val="bullet"/>
      <w:lvlText w:val="•"/>
      <w:lvlJc w:val="left"/>
      <w:pPr>
        <w:ind w:left="4860" w:hanging="231"/>
      </w:pPr>
      <w:rPr>
        <w:rFonts w:hint="default"/>
      </w:rPr>
    </w:lvl>
    <w:lvl w:ilvl="6">
      <w:start w:val="0"/>
      <w:numFmt w:val="bullet"/>
      <w:lvlText w:val="•"/>
      <w:lvlJc w:val="left"/>
      <w:pPr>
        <w:ind w:left="5808" w:hanging="231"/>
      </w:pPr>
      <w:rPr>
        <w:rFonts w:hint="default"/>
      </w:rPr>
    </w:lvl>
    <w:lvl w:ilvl="7">
      <w:start w:val="0"/>
      <w:numFmt w:val="bullet"/>
      <w:lvlText w:val="•"/>
      <w:lvlJc w:val="left"/>
      <w:pPr>
        <w:ind w:left="6756" w:hanging="231"/>
      </w:pPr>
      <w:rPr>
        <w:rFonts w:hint="default"/>
      </w:rPr>
    </w:lvl>
    <w:lvl w:ilvl="8">
      <w:start w:val="0"/>
      <w:numFmt w:val="bullet"/>
      <w:lvlText w:val="•"/>
      <w:lvlJc w:val="left"/>
      <w:pPr>
        <w:ind w:left="7704" w:hanging="231"/>
      </w:pPr>
      <w:rPr>
        <w:rFonts w:hint="default"/>
      </w:rPr>
    </w:lvl>
  </w:abstractNum>
  <w:abstractNum w:abstractNumId="182">
    <w:multiLevelType w:val="hybridMultilevel"/>
    <w:lvl w:ilvl="0">
      <w:start w:val="1"/>
      <w:numFmt w:val="decimal"/>
      <w:lvlText w:val="%1."/>
      <w:lvlJc w:val="left"/>
      <w:pPr>
        <w:ind w:left="1060" w:hanging="221"/>
        <w:jc w:val="left"/>
      </w:pPr>
      <w:rPr>
        <w:rFonts w:hint="default" w:ascii="Times New Roman" w:hAnsi="Times New Roman" w:eastAsia="Times New Roman" w:cs="Times New Roman"/>
        <w:w w:val="100"/>
        <w:sz w:val="22"/>
        <w:szCs w:val="22"/>
      </w:rPr>
    </w:lvl>
    <w:lvl w:ilvl="1">
      <w:start w:val="0"/>
      <w:numFmt w:val="bullet"/>
      <w:lvlText w:val="•"/>
      <w:lvlJc w:val="left"/>
      <w:pPr>
        <w:ind w:left="1914" w:hanging="221"/>
      </w:pPr>
      <w:rPr>
        <w:rFonts w:hint="default"/>
      </w:rPr>
    </w:lvl>
    <w:lvl w:ilvl="2">
      <w:start w:val="0"/>
      <w:numFmt w:val="bullet"/>
      <w:lvlText w:val="•"/>
      <w:lvlJc w:val="left"/>
      <w:pPr>
        <w:ind w:left="2768" w:hanging="221"/>
      </w:pPr>
      <w:rPr>
        <w:rFonts w:hint="default"/>
      </w:rPr>
    </w:lvl>
    <w:lvl w:ilvl="3">
      <w:start w:val="0"/>
      <w:numFmt w:val="bullet"/>
      <w:lvlText w:val="•"/>
      <w:lvlJc w:val="left"/>
      <w:pPr>
        <w:ind w:left="3622" w:hanging="221"/>
      </w:pPr>
      <w:rPr>
        <w:rFonts w:hint="default"/>
      </w:rPr>
    </w:lvl>
    <w:lvl w:ilvl="4">
      <w:start w:val="0"/>
      <w:numFmt w:val="bullet"/>
      <w:lvlText w:val="•"/>
      <w:lvlJc w:val="left"/>
      <w:pPr>
        <w:ind w:left="4476" w:hanging="221"/>
      </w:pPr>
      <w:rPr>
        <w:rFonts w:hint="default"/>
      </w:rPr>
    </w:lvl>
    <w:lvl w:ilvl="5">
      <w:start w:val="0"/>
      <w:numFmt w:val="bullet"/>
      <w:lvlText w:val="•"/>
      <w:lvlJc w:val="left"/>
      <w:pPr>
        <w:ind w:left="5330" w:hanging="221"/>
      </w:pPr>
      <w:rPr>
        <w:rFonts w:hint="default"/>
      </w:rPr>
    </w:lvl>
    <w:lvl w:ilvl="6">
      <w:start w:val="0"/>
      <w:numFmt w:val="bullet"/>
      <w:lvlText w:val="•"/>
      <w:lvlJc w:val="left"/>
      <w:pPr>
        <w:ind w:left="6184" w:hanging="221"/>
      </w:pPr>
      <w:rPr>
        <w:rFonts w:hint="default"/>
      </w:rPr>
    </w:lvl>
    <w:lvl w:ilvl="7">
      <w:start w:val="0"/>
      <w:numFmt w:val="bullet"/>
      <w:lvlText w:val="•"/>
      <w:lvlJc w:val="left"/>
      <w:pPr>
        <w:ind w:left="7038" w:hanging="221"/>
      </w:pPr>
      <w:rPr>
        <w:rFonts w:hint="default"/>
      </w:rPr>
    </w:lvl>
    <w:lvl w:ilvl="8">
      <w:start w:val="0"/>
      <w:numFmt w:val="bullet"/>
      <w:lvlText w:val="•"/>
      <w:lvlJc w:val="left"/>
      <w:pPr>
        <w:ind w:left="7892" w:hanging="221"/>
      </w:pPr>
      <w:rPr>
        <w:rFonts w:hint="default"/>
      </w:rPr>
    </w:lvl>
  </w:abstractNum>
  <w:abstractNum w:abstractNumId="181">
    <w:multiLevelType w:val="hybridMultilevel"/>
    <w:lvl w:ilvl="0">
      <w:start w:val="1"/>
      <w:numFmt w:val="lowerLetter"/>
      <w:lvlText w:val="%1)"/>
      <w:lvlJc w:val="left"/>
      <w:pPr>
        <w:ind w:left="1068" w:hanging="229"/>
        <w:jc w:val="left"/>
      </w:pPr>
      <w:rPr>
        <w:rFonts w:hint="default" w:ascii="Times New Roman" w:hAnsi="Times New Roman" w:eastAsia="Times New Roman" w:cs="Times New Roman"/>
        <w:w w:val="100"/>
        <w:sz w:val="22"/>
        <w:szCs w:val="22"/>
      </w:rPr>
    </w:lvl>
    <w:lvl w:ilvl="1">
      <w:start w:val="0"/>
      <w:numFmt w:val="bullet"/>
      <w:lvlText w:val="•"/>
      <w:lvlJc w:val="left"/>
      <w:pPr>
        <w:ind w:left="1914" w:hanging="229"/>
      </w:pPr>
      <w:rPr>
        <w:rFonts w:hint="default"/>
      </w:rPr>
    </w:lvl>
    <w:lvl w:ilvl="2">
      <w:start w:val="0"/>
      <w:numFmt w:val="bullet"/>
      <w:lvlText w:val="•"/>
      <w:lvlJc w:val="left"/>
      <w:pPr>
        <w:ind w:left="2768" w:hanging="229"/>
      </w:pPr>
      <w:rPr>
        <w:rFonts w:hint="default"/>
      </w:rPr>
    </w:lvl>
    <w:lvl w:ilvl="3">
      <w:start w:val="0"/>
      <w:numFmt w:val="bullet"/>
      <w:lvlText w:val="•"/>
      <w:lvlJc w:val="left"/>
      <w:pPr>
        <w:ind w:left="3622" w:hanging="229"/>
      </w:pPr>
      <w:rPr>
        <w:rFonts w:hint="default"/>
      </w:rPr>
    </w:lvl>
    <w:lvl w:ilvl="4">
      <w:start w:val="0"/>
      <w:numFmt w:val="bullet"/>
      <w:lvlText w:val="•"/>
      <w:lvlJc w:val="left"/>
      <w:pPr>
        <w:ind w:left="4476" w:hanging="229"/>
      </w:pPr>
      <w:rPr>
        <w:rFonts w:hint="default"/>
      </w:rPr>
    </w:lvl>
    <w:lvl w:ilvl="5">
      <w:start w:val="0"/>
      <w:numFmt w:val="bullet"/>
      <w:lvlText w:val="•"/>
      <w:lvlJc w:val="left"/>
      <w:pPr>
        <w:ind w:left="5330" w:hanging="229"/>
      </w:pPr>
      <w:rPr>
        <w:rFonts w:hint="default"/>
      </w:rPr>
    </w:lvl>
    <w:lvl w:ilvl="6">
      <w:start w:val="0"/>
      <w:numFmt w:val="bullet"/>
      <w:lvlText w:val="•"/>
      <w:lvlJc w:val="left"/>
      <w:pPr>
        <w:ind w:left="6184" w:hanging="229"/>
      </w:pPr>
      <w:rPr>
        <w:rFonts w:hint="default"/>
      </w:rPr>
    </w:lvl>
    <w:lvl w:ilvl="7">
      <w:start w:val="0"/>
      <w:numFmt w:val="bullet"/>
      <w:lvlText w:val="•"/>
      <w:lvlJc w:val="left"/>
      <w:pPr>
        <w:ind w:left="7038" w:hanging="229"/>
      </w:pPr>
      <w:rPr>
        <w:rFonts w:hint="default"/>
      </w:rPr>
    </w:lvl>
    <w:lvl w:ilvl="8">
      <w:start w:val="0"/>
      <w:numFmt w:val="bullet"/>
      <w:lvlText w:val="•"/>
      <w:lvlJc w:val="left"/>
      <w:pPr>
        <w:ind w:left="7892" w:hanging="229"/>
      </w:pPr>
      <w:rPr>
        <w:rFonts w:hint="default"/>
      </w:rPr>
    </w:lvl>
  </w:abstractNum>
  <w:abstractNum w:abstractNumId="180">
    <w:multiLevelType w:val="hybridMultilevel"/>
    <w:lvl w:ilvl="0">
      <w:start w:val="1"/>
      <w:numFmt w:val="decimal"/>
      <w:lvlText w:val="%1."/>
      <w:lvlJc w:val="left"/>
      <w:pPr>
        <w:ind w:left="119" w:hanging="284"/>
        <w:jc w:val="left"/>
      </w:pPr>
      <w:rPr>
        <w:rFonts w:hint="default" w:ascii="Times New Roman" w:hAnsi="Times New Roman" w:eastAsia="Times New Roman" w:cs="Times New Roman"/>
        <w:w w:val="100"/>
        <w:sz w:val="22"/>
        <w:szCs w:val="22"/>
      </w:rPr>
    </w:lvl>
    <w:lvl w:ilvl="1">
      <w:start w:val="0"/>
      <w:numFmt w:val="bullet"/>
      <w:lvlText w:val="•"/>
      <w:lvlJc w:val="left"/>
      <w:pPr>
        <w:ind w:left="1068" w:hanging="284"/>
      </w:pPr>
      <w:rPr>
        <w:rFonts w:hint="default"/>
      </w:rPr>
    </w:lvl>
    <w:lvl w:ilvl="2">
      <w:start w:val="0"/>
      <w:numFmt w:val="bullet"/>
      <w:lvlText w:val="•"/>
      <w:lvlJc w:val="left"/>
      <w:pPr>
        <w:ind w:left="2016" w:hanging="284"/>
      </w:pPr>
      <w:rPr>
        <w:rFonts w:hint="default"/>
      </w:rPr>
    </w:lvl>
    <w:lvl w:ilvl="3">
      <w:start w:val="0"/>
      <w:numFmt w:val="bullet"/>
      <w:lvlText w:val="•"/>
      <w:lvlJc w:val="left"/>
      <w:pPr>
        <w:ind w:left="2964" w:hanging="284"/>
      </w:pPr>
      <w:rPr>
        <w:rFonts w:hint="default"/>
      </w:rPr>
    </w:lvl>
    <w:lvl w:ilvl="4">
      <w:start w:val="0"/>
      <w:numFmt w:val="bullet"/>
      <w:lvlText w:val="•"/>
      <w:lvlJc w:val="left"/>
      <w:pPr>
        <w:ind w:left="3912" w:hanging="284"/>
      </w:pPr>
      <w:rPr>
        <w:rFonts w:hint="default"/>
      </w:rPr>
    </w:lvl>
    <w:lvl w:ilvl="5">
      <w:start w:val="0"/>
      <w:numFmt w:val="bullet"/>
      <w:lvlText w:val="•"/>
      <w:lvlJc w:val="left"/>
      <w:pPr>
        <w:ind w:left="4860" w:hanging="284"/>
      </w:pPr>
      <w:rPr>
        <w:rFonts w:hint="default"/>
      </w:rPr>
    </w:lvl>
    <w:lvl w:ilvl="6">
      <w:start w:val="0"/>
      <w:numFmt w:val="bullet"/>
      <w:lvlText w:val="•"/>
      <w:lvlJc w:val="left"/>
      <w:pPr>
        <w:ind w:left="5808" w:hanging="284"/>
      </w:pPr>
      <w:rPr>
        <w:rFonts w:hint="default"/>
      </w:rPr>
    </w:lvl>
    <w:lvl w:ilvl="7">
      <w:start w:val="0"/>
      <w:numFmt w:val="bullet"/>
      <w:lvlText w:val="•"/>
      <w:lvlJc w:val="left"/>
      <w:pPr>
        <w:ind w:left="6756" w:hanging="284"/>
      </w:pPr>
      <w:rPr>
        <w:rFonts w:hint="default"/>
      </w:rPr>
    </w:lvl>
    <w:lvl w:ilvl="8">
      <w:start w:val="0"/>
      <w:numFmt w:val="bullet"/>
      <w:lvlText w:val="•"/>
      <w:lvlJc w:val="left"/>
      <w:pPr>
        <w:ind w:left="7704" w:hanging="284"/>
      </w:pPr>
      <w:rPr>
        <w:rFonts w:hint="default"/>
      </w:rPr>
    </w:lvl>
  </w:abstractNum>
  <w:abstractNum w:abstractNumId="179">
    <w:multiLevelType w:val="hybridMultilevel"/>
    <w:lvl w:ilvl="0">
      <w:start w:val="1"/>
      <w:numFmt w:val="lowerLetter"/>
      <w:lvlText w:val="%1)"/>
      <w:lvlJc w:val="left"/>
      <w:pPr>
        <w:ind w:left="119" w:hanging="284"/>
        <w:jc w:val="left"/>
      </w:pPr>
      <w:rPr>
        <w:rFonts w:hint="default" w:ascii="Times New Roman" w:hAnsi="Times New Roman" w:eastAsia="Times New Roman" w:cs="Times New Roman"/>
        <w:w w:val="100"/>
        <w:sz w:val="22"/>
        <w:szCs w:val="22"/>
      </w:rPr>
    </w:lvl>
    <w:lvl w:ilvl="1">
      <w:start w:val="0"/>
      <w:numFmt w:val="bullet"/>
      <w:lvlText w:val="•"/>
      <w:lvlJc w:val="left"/>
      <w:pPr>
        <w:ind w:left="1068" w:hanging="284"/>
      </w:pPr>
      <w:rPr>
        <w:rFonts w:hint="default"/>
      </w:rPr>
    </w:lvl>
    <w:lvl w:ilvl="2">
      <w:start w:val="0"/>
      <w:numFmt w:val="bullet"/>
      <w:lvlText w:val="•"/>
      <w:lvlJc w:val="left"/>
      <w:pPr>
        <w:ind w:left="2016" w:hanging="284"/>
      </w:pPr>
      <w:rPr>
        <w:rFonts w:hint="default"/>
      </w:rPr>
    </w:lvl>
    <w:lvl w:ilvl="3">
      <w:start w:val="0"/>
      <w:numFmt w:val="bullet"/>
      <w:lvlText w:val="•"/>
      <w:lvlJc w:val="left"/>
      <w:pPr>
        <w:ind w:left="2964" w:hanging="284"/>
      </w:pPr>
      <w:rPr>
        <w:rFonts w:hint="default"/>
      </w:rPr>
    </w:lvl>
    <w:lvl w:ilvl="4">
      <w:start w:val="0"/>
      <w:numFmt w:val="bullet"/>
      <w:lvlText w:val="•"/>
      <w:lvlJc w:val="left"/>
      <w:pPr>
        <w:ind w:left="3912" w:hanging="284"/>
      </w:pPr>
      <w:rPr>
        <w:rFonts w:hint="default"/>
      </w:rPr>
    </w:lvl>
    <w:lvl w:ilvl="5">
      <w:start w:val="0"/>
      <w:numFmt w:val="bullet"/>
      <w:lvlText w:val="•"/>
      <w:lvlJc w:val="left"/>
      <w:pPr>
        <w:ind w:left="4860" w:hanging="284"/>
      </w:pPr>
      <w:rPr>
        <w:rFonts w:hint="default"/>
      </w:rPr>
    </w:lvl>
    <w:lvl w:ilvl="6">
      <w:start w:val="0"/>
      <w:numFmt w:val="bullet"/>
      <w:lvlText w:val="•"/>
      <w:lvlJc w:val="left"/>
      <w:pPr>
        <w:ind w:left="5808" w:hanging="284"/>
      </w:pPr>
      <w:rPr>
        <w:rFonts w:hint="default"/>
      </w:rPr>
    </w:lvl>
    <w:lvl w:ilvl="7">
      <w:start w:val="0"/>
      <w:numFmt w:val="bullet"/>
      <w:lvlText w:val="•"/>
      <w:lvlJc w:val="left"/>
      <w:pPr>
        <w:ind w:left="6756" w:hanging="284"/>
      </w:pPr>
      <w:rPr>
        <w:rFonts w:hint="default"/>
      </w:rPr>
    </w:lvl>
    <w:lvl w:ilvl="8">
      <w:start w:val="0"/>
      <w:numFmt w:val="bullet"/>
      <w:lvlText w:val="•"/>
      <w:lvlJc w:val="left"/>
      <w:pPr>
        <w:ind w:left="7704" w:hanging="284"/>
      </w:pPr>
      <w:rPr>
        <w:rFonts w:hint="default"/>
      </w:rPr>
    </w:lvl>
  </w:abstractNum>
  <w:abstractNum w:abstractNumId="178">
    <w:multiLevelType w:val="hybridMultilevel"/>
    <w:lvl w:ilvl="0">
      <w:start w:val="1"/>
      <w:numFmt w:val="decimal"/>
      <w:lvlText w:val="%1."/>
      <w:lvlJc w:val="left"/>
      <w:pPr>
        <w:ind w:left="120" w:hanging="226"/>
        <w:jc w:val="left"/>
      </w:pPr>
      <w:rPr>
        <w:rFonts w:hint="default" w:ascii="Times New Roman" w:hAnsi="Times New Roman" w:eastAsia="Times New Roman" w:cs="Times New Roman"/>
        <w:w w:val="100"/>
        <w:sz w:val="22"/>
        <w:szCs w:val="22"/>
      </w:rPr>
    </w:lvl>
    <w:lvl w:ilvl="1">
      <w:start w:val="0"/>
      <w:numFmt w:val="bullet"/>
      <w:lvlText w:val="•"/>
      <w:lvlJc w:val="left"/>
      <w:pPr>
        <w:ind w:left="1068" w:hanging="226"/>
      </w:pPr>
      <w:rPr>
        <w:rFonts w:hint="default"/>
      </w:rPr>
    </w:lvl>
    <w:lvl w:ilvl="2">
      <w:start w:val="0"/>
      <w:numFmt w:val="bullet"/>
      <w:lvlText w:val="•"/>
      <w:lvlJc w:val="left"/>
      <w:pPr>
        <w:ind w:left="2016" w:hanging="226"/>
      </w:pPr>
      <w:rPr>
        <w:rFonts w:hint="default"/>
      </w:rPr>
    </w:lvl>
    <w:lvl w:ilvl="3">
      <w:start w:val="0"/>
      <w:numFmt w:val="bullet"/>
      <w:lvlText w:val="•"/>
      <w:lvlJc w:val="left"/>
      <w:pPr>
        <w:ind w:left="2964" w:hanging="226"/>
      </w:pPr>
      <w:rPr>
        <w:rFonts w:hint="default"/>
      </w:rPr>
    </w:lvl>
    <w:lvl w:ilvl="4">
      <w:start w:val="0"/>
      <w:numFmt w:val="bullet"/>
      <w:lvlText w:val="•"/>
      <w:lvlJc w:val="left"/>
      <w:pPr>
        <w:ind w:left="3912" w:hanging="226"/>
      </w:pPr>
      <w:rPr>
        <w:rFonts w:hint="default"/>
      </w:rPr>
    </w:lvl>
    <w:lvl w:ilvl="5">
      <w:start w:val="0"/>
      <w:numFmt w:val="bullet"/>
      <w:lvlText w:val="•"/>
      <w:lvlJc w:val="left"/>
      <w:pPr>
        <w:ind w:left="4860" w:hanging="226"/>
      </w:pPr>
      <w:rPr>
        <w:rFonts w:hint="default"/>
      </w:rPr>
    </w:lvl>
    <w:lvl w:ilvl="6">
      <w:start w:val="0"/>
      <w:numFmt w:val="bullet"/>
      <w:lvlText w:val="•"/>
      <w:lvlJc w:val="left"/>
      <w:pPr>
        <w:ind w:left="5808" w:hanging="226"/>
      </w:pPr>
      <w:rPr>
        <w:rFonts w:hint="default"/>
      </w:rPr>
    </w:lvl>
    <w:lvl w:ilvl="7">
      <w:start w:val="0"/>
      <w:numFmt w:val="bullet"/>
      <w:lvlText w:val="•"/>
      <w:lvlJc w:val="left"/>
      <w:pPr>
        <w:ind w:left="6756" w:hanging="226"/>
      </w:pPr>
      <w:rPr>
        <w:rFonts w:hint="default"/>
      </w:rPr>
    </w:lvl>
    <w:lvl w:ilvl="8">
      <w:start w:val="0"/>
      <w:numFmt w:val="bullet"/>
      <w:lvlText w:val="•"/>
      <w:lvlJc w:val="left"/>
      <w:pPr>
        <w:ind w:left="7704" w:hanging="226"/>
      </w:pPr>
      <w:rPr>
        <w:rFonts w:hint="default"/>
      </w:rPr>
    </w:lvl>
  </w:abstractNum>
  <w:abstractNum w:abstractNumId="177">
    <w:multiLevelType w:val="hybridMultilevel"/>
    <w:lvl w:ilvl="0">
      <w:start w:val="1"/>
      <w:numFmt w:val="lowerLetter"/>
      <w:lvlText w:val="%1)"/>
      <w:lvlJc w:val="left"/>
      <w:pPr>
        <w:ind w:left="1068" w:hanging="229"/>
        <w:jc w:val="left"/>
      </w:pPr>
      <w:rPr>
        <w:rFonts w:hint="default" w:ascii="Times New Roman" w:hAnsi="Times New Roman" w:eastAsia="Times New Roman" w:cs="Times New Roman"/>
        <w:w w:val="100"/>
        <w:sz w:val="22"/>
        <w:szCs w:val="22"/>
      </w:rPr>
    </w:lvl>
    <w:lvl w:ilvl="1">
      <w:start w:val="0"/>
      <w:numFmt w:val="bullet"/>
      <w:lvlText w:val="•"/>
      <w:lvlJc w:val="left"/>
      <w:pPr>
        <w:ind w:left="1914" w:hanging="229"/>
      </w:pPr>
      <w:rPr>
        <w:rFonts w:hint="default"/>
      </w:rPr>
    </w:lvl>
    <w:lvl w:ilvl="2">
      <w:start w:val="0"/>
      <w:numFmt w:val="bullet"/>
      <w:lvlText w:val="•"/>
      <w:lvlJc w:val="left"/>
      <w:pPr>
        <w:ind w:left="2768" w:hanging="229"/>
      </w:pPr>
      <w:rPr>
        <w:rFonts w:hint="default"/>
      </w:rPr>
    </w:lvl>
    <w:lvl w:ilvl="3">
      <w:start w:val="0"/>
      <w:numFmt w:val="bullet"/>
      <w:lvlText w:val="•"/>
      <w:lvlJc w:val="left"/>
      <w:pPr>
        <w:ind w:left="3622" w:hanging="229"/>
      </w:pPr>
      <w:rPr>
        <w:rFonts w:hint="default"/>
      </w:rPr>
    </w:lvl>
    <w:lvl w:ilvl="4">
      <w:start w:val="0"/>
      <w:numFmt w:val="bullet"/>
      <w:lvlText w:val="•"/>
      <w:lvlJc w:val="left"/>
      <w:pPr>
        <w:ind w:left="4476" w:hanging="229"/>
      </w:pPr>
      <w:rPr>
        <w:rFonts w:hint="default"/>
      </w:rPr>
    </w:lvl>
    <w:lvl w:ilvl="5">
      <w:start w:val="0"/>
      <w:numFmt w:val="bullet"/>
      <w:lvlText w:val="•"/>
      <w:lvlJc w:val="left"/>
      <w:pPr>
        <w:ind w:left="5330" w:hanging="229"/>
      </w:pPr>
      <w:rPr>
        <w:rFonts w:hint="default"/>
      </w:rPr>
    </w:lvl>
    <w:lvl w:ilvl="6">
      <w:start w:val="0"/>
      <w:numFmt w:val="bullet"/>
      <w:lvlText w:val="•"/>
      <w:lvlJc w:val="left"/>
      <w:pPr>
        <w:ind w:left="6184" w:hanging="229"/>
      </w:pPr>
      <w:rPr>
        <w:rFonts w:hint="default"/>
      </w:rPr>
    </w:lvl>
    <w:lvl w:ilvl="7">
      <w:start w:val="0"/>
      <w:numFmt w:val="bullet"/>
      <w:lvlText w:val="•"/>
      <w:lvlJc w:val="left"/>
      <w:pPr>
        <w:ind w:left="7038" w:hanging="229"/>
      </w:pPr>
      <w:rPr>
        <w:rFonts w:hint="default"/>
      </w:rPr>
    </w:lvl>
    <w:lvl w:ilvl="8">
      <w:start w:val="0"/>
      <w:numFmt w:val="bullet"/>
      <w:lvlText w:val="•"/>
      <w:lvlJc w:val="left"/>
      <w:pPr>
        <w:ind w:left="7892" w:hanging="229"/>
      </w:pPr>
      <w:rPr>
        <w:rFonts w:hint="default"/>
      </w:rPr>
    </w:lvl>
  </w:abstractNum>
  <w:abstractNum w:abstractNumId="176">
    <w:multiLevelType w:val="hybridMultilevel"/>
    <w:lvl w:ilvl="0">
      <w:start w:val="1"/>
      <w:numFmt w:val="lowerLetter"/>
      <w:lvlText w:val="%1)"/>
      <w:lvlJc w:val="left"/>
      <w:pPr>
        <w:ind w:left="1068" w:hanging="229"/>
        <w:jc w:val="left"/>
      </w:pPr>
      <w:rPr>
        <w:rFonts w:hint="default" w:ascii="Times New Roman" w:hAnsi="Times New Roman" w:eastAsia="Times New Roman" w:cs="Times New Roman"/>
        <w:w w:val="100"/>
        <w:sz w:val="22"/>
        <w:szCs w:val="22"/>
      </w:rPr>
    </w:lvl>
    <w:lvl w:ilvl="1">
      <w:start w:val="0"/>
      <w:numFmt w:val="bullet"/>
      <w:lvlText w:val="•"/>
      <w:lvlJc w:val="left"/>
      <w:pPr>
        <w:ind w:left="1914" w:hanging="229"/>
      </w:pPr>
      <w:rPr>
        <w:rFonts w:hint="default"/>
      </w:rPr>
    </w:lvl>
    <w:lvl w:ilvl="2">
      <w:start w:val="0"/>
      <w:numFmt w:val="bullet"/>
      <w:lvlText w:val="•"/>
      <w:lvlJc w:val="left"/>
      <w:pPr>
        <w:ind w:left="2768" w:hanging="229"/>
      </w:pPr>
      <w:rPr>
        <w:rFonts w:hint="default"/>
      </w:rPr>
    </w:lvl>
    <w:lvl w:ilvl="3">
      <w:start w:val="0"/>
      <w:numFmt w:val="bullet"/>
      <w:lvlText w:val="•"/>
      <w:lvlJc w:val="left"/>
      <w:pPr>
        <w:ind w:left="3622" w:hanging="229"/>
      </w:pPr>
      <w:rPr>
        <w:rFonts w:hint="default"/>
      </w:rPr>
    </w:lvl>
    <w:lvl w:ilvl="4">
      <w:start w:val="0"/>
      <w:numFmt w:val="bullet"/>
      <w:lvlText w:val="•"/>
      <w:lvlJc w:val="left"/>
      <w:pPr>
        <w:ind w:left="4476" w:hanging="229"/>
      </w:pPr>
      <w:rPr>
        <w:rFonts w:hint="default"/>
      </w:rPr>
    </w:lvl>
    <w:lvl w:ilvl="5">
      <w:start w:val="0"/>
      <w:numFmt w:val="bullet"/>
      <w:lvlText w:val="•"/>
      <w:lvlJc w:val="left"/>
      <w:pPr>
        <w:ind w:left="5330" w:hanging="229"/>
      </w:pPr>
      <w:rPr>
        <w:rFonts w:hint="default"/>
      </w:rPr>
    </w:lvl>
    <w:lvl w:ilvl="6">
      <w:start w:val="0"/>
      <w:numFmt w:val="bullet"/>
      <w:lvlText w:val="•"/>
      <w:lvlJc w:val="left"/>
      <w:pPr>
        <w:ind w:left="6184" w:hanging="229"/>
      </w:pPr>
      <w:rPr>
        <w:rFonts w:hint="default"/>
      </w:rPr>
    </w:lvl>
    <w:lvl w:ilvl="7">
      <w:start w:val="0"/>
      <w:numFmt w:val="bullet"/>
      <w:lvlText w:val="•"/>
      <w:lvlJc w:val="left"/>
      <w:pPr>
        <w:ind w:left="7038" w:hanging="229"/>
      </w:pPr>
      <w:rPr>
        <w:rFonts w:hint="default"/>
      </w:rPr>
    </w:lvl>
    <w:lvl w:ilvl="8">
      <w:start w:val="0"/>
      <w:numFmt w:val="bullet"/>
      <w:lvlText w:val="•"/>
      <w:lvlJc w:val="left"/>
      <w:pPr>
        <w:ind w:left="7892" w:hanging="229"/>
      </w:pPr>
      <w:rPr>
        <w:rFonts w:hint="default"/>
      </w:rPr>
    </w:lvl>
  </w:abstractNum>
  <w:abstractNum w:abstractNumId="175">
    <w:multiLevelType w:val="hybridMultilevel"/>
    <w:lvl w:ilvl="0">
      <w:start w:val="1"/>
      <w:numFmt w:val="decimal"/>
      <w:lvlText w:val="%1."/>
      <w:lvlJc w:val="left"/>
      <w:pPr>
        <w:ind w:left="120" w:hanging="284"/>
        <w:jc w:val="left"/>
      </w:pPr>
      <w:rPr>
        <w:rFonts w:hint="default" w:ascii="Times New Roman" w:hAnsi="Times New Roman" w:eastAsia="Times New Roman" w:cs="Times New Roman"/>
        <w:w w:val="100"/>
        <w:sz w:val="22"/>
        <w:szCs w:val="22"/>
      </w:rPr>
    </w:lvl>
    <w:lvl w:ilvl="1">
      <w:start w:val="0"/>
      <w:numFmt w:val="bullet"/>
      <w:lvlText w:val="•"/>
      <w:lvlJc w:val="left"/>
      <w:pPr>
        <w:ind w:left="1068" w:hanging="284"/>
      </w:pPr>
      <w:rPr>
        <w:rFonts w:hint="default"/>
      </w:rPr>
    </w:lvl>
    <w:lvl w:ilvl="2">
      <w:start w:val="0"/>
      <w:numFmt w:val="bullet"/>
      <w:lvlText w:val="•"/>
      <w:lvlJc w:val="left"/>
      <w:pPr>
        <w:ind w:left="2016" w:hanging="284"/>
      </w:pPr>
      <w:rPr>
        <w:rFonts w:hint="default"/>
      </w:rPr>
    </w:lvl>
    <w:lvl w:ilvl="3">
      <w:start w:val="0"/>
      <w:numFmt w:val="bullet"/>
      <w:lvlText w:val="•"/>
      <w:lvlJc w:val="left"/>
      <w:pPr>
        <w:ind w:left="2964" w:hanging="284"/>
      </w:pPr>
      <w:rPr>
        <w:rFonts w:hint="default"/>
      </w:rPr>
    </w:lvl>
    <w:lvl w:ilvl="4">
      <w:start w:val="0"/>
      <w:numFmt w:val="bullet"/>
      <w:lvlText w:val="•"/>
      <w:lvlJc w:val="left"/>
      <w:pPr>
        <w:ind w:left="3912" w:hanging="284"/>
      </w:pPr>
      <w:rPr>
        <w:rFonts w:hint="default"/>
      </w:rPr>
    </w:lvl>
    <w:lvl w:ilvl="5">
      <w:start w:val="0"/>
      <w:numFmt w:val="bullet"/>
      <w:lvlText w:val="•"/>
      <w:lvlJc w:val="left"/>
      <w:pPr>
        <w:ind w:left="4860" w:hanging="284"/>
      </w:pPr>
      <w:rPr>
        <w:rFonts w:hint="default"/>
      </w:rPr>
    </w:lvl>
    <w:lvl w:ilvl="6">
      <w:start w:val="0"/>
      <w:numFmt w:val="bullet"/>
      <w:lvlText w:val="•"/>
      <w:lvlJc w:val="left"/>
      <w:pPr>
        <w:ind w:left="5808" w:hanging="284"/>
      </w:pPr>
      <w:rPr>
        <w:rFonts w:hint="default"/>
      </w:rPr>
    </w:lvl>
    <w:lvl w:ilvl="7">
      <w:start w:val="0"/>
      <w:numFmt w:val="bullet"/>
      <w:lvlText w:val="•"/>
      <w:lvlJc w:val="left"/>
      <w:pPr>
        <w:ind w:left="6756" w:hanging="284"/>
      </w:pPr>
      <w:rPr>
        <w:rFonts w:hint="default"/>
      </w:rPr>
    </w:lvl>
    <w:lvl w:ilvl="8">
      <w:start w:val="0"/>
      <w:numFmt w:val="bullet"/>
      <w:lvlText w:val="•"/>
      <w:lvlJc w:val="left"/>
      <w:pPr>
        <w:ind w:left="7704" w:hanging="284"/>
      </w:pPr>
      <w:rPr>
        <w:rFonts w:hint="default"/>
      </w:rPr>
    </w:lvl>
  </w:abstractNum>
  <w:abstractNum w:abstractNumId="174">
    <w:multiLevelType w:val="hybridMultilevel"/>
    <w:lvl w:ilvl="0">
      <w:start w:val="1"/>
      <w:numFmt w:val="lowerLetter"/>
      <w:lvlText w:val="%1)"/>
      <w:lvlJc w:val="left"/>
      <w:pPr>
        <w:ind w:left="1068" w:hanging="229"/>
        <w:jc w:val="left"/>
      </w:pPr>
      <w:rPr>
        <w:rFonts w:hint="default" w:ascii="Times New Roman" w:hAnsi="Times New Roman" w:eastAsia="Times New Roman" w:cs="Times New Roman"/>
        <w:w w:val="100"/>
        <w:sz w:val="22"/>
        <w:szCs w:val="22"/>
      </w:rPr>
    </w:lvl>
    <w:lvl w:ilvl="1">
      <w:start w:val="0"/>
      <w:numFmt w:val="bullet"/>
      <w:lvlText w:val="•"/>
      <w:lvlJc w:val="left"/>
      <w:pPr>
        <w:ind w:left="1914" w:hanging="229"/>
      </w:pPr>
      <w:rPr>
        <w:rFonts w:hint="default"/>
      </w:rPr>
    </w:lvl>
    <w:lvl w:ilvl="2">
      <w:start w:val="0"/>
      <w:numFmt w:val="bullet"/>
      <w:lvlText w:val="•"/>
      <w:lvlJc w:val="left"/>
      <w:pPr>
        <w:ind w:left="2768" w:hanging="229"/>
      </w:pPr>
      <w:rPr>
        <w:rFonts w:hint="default"/>
      </w:rPr>
    </w:lvl>
    <w:lvl w:ilvl="3">
      <w:start w:val="0"/>
      <w:numFmt w:val="bullet"/>
      <w:lvlText w:val="•"/>
      <w:lvlJc w:val="left"/>
      <w:pPr>
        <w:ind w:left="3622" w:hanging="229"/>
      </w:pPr>
      <w:rPr>
        <w:rFonts w:hint="default"/>
      </w:rPr>
    </w:lvl>
    <w:lvl w:ilvl="4">
      <w:start w:val="0"/>
      <w:numFmt w:val="bullet"/>
      <w:lvlText w:val="•"/>
      <w:lvlJc w:val="left"/>
      <w:pPr>
        <w:ind w:left="4476" w:hanging="229"/>
      </w:pPr>
      <w:rPr>
        <w:rFonts w:hint="default"/>
      </w:rPr>
    </w:lvl>
    <w:lvl w:ilvl="5">
      <w:start w:val="0"/>
      <w:numFmt w:val="bullet"/>
      <w:lvlText w:val="•"/>
      <w:lvlJc w:val="left"/>
      <w:pPr>
        <w:ind w:left="5330" w:hanging="229"/>
      </w:pPr>
      <w:rPr>
        <w:rFonts w:hint="default"/>
      </w:rPr>
    </w:lvl>
    <w:lvl w:ilvl="6">
      <w:start w:val="0"/>
      <w:numFmt w:val="bullet"/>
      <w:lvlText w:val="•"/>
      <w:lvlJc w:val="left"/>
      <w:pPr>
        <w:ind w:left="6184" w:hanging="229"/>
      </w:pPr>
      <w:rPr>
        <w:rFonts w:hint="default"/>
      </w:rPr>
    </w:lvl>
    <w:lvl w:ilvl="7">
      <w:start w:val="0"/>
      <w:numFmt w:val="bullet"/>
      <w:lvlText w:val="•"/>
      <w:lvlJc w:val="left"/>
      <w:pPr>
        <w:ind w:left="7038" w:hanging="229"/>
      </w:pPr>
      <w:rPr>
        <w:rFonts w:hint="default"/>
      </w:rPr>
    </w:lvl>
    <w:lvl w:ilvl="8">
      <w:start w:val="0"/>
      <w:numFmt w:val="bullet"/>
      <w:lvlText w:val="•"/>
      <w:lvlJc w:val="left"/>
      <w:pPr>
        <w:ind w:left="7892" w:hanging="229"/>
      </w:pPr>
      <w:rPr>
        <w:rFonts w:hint="default"/>
      </w:rPr>
    </w:lvl>
  </w:abstractNum>
  <w:abstractNum w:abstractNumId="173">
    <w:multiLevelType w:val="hybridMultilevel"/>
    <w:lvl w:ilvl="0">
      <w:start w:val="1"/>
      <w:numFmt w:val="decimal"/>
      <w:lvlText w:val="%1."/>
      <w:lvlJc w:val="left"/>
      <w:pPr>
        <w:ind w:left="1061" w:hanging="221"/>
        <w:jc w:val="left"/>
      </w:pPr>
      <w:rPr>
        <w:rFonts w:hint="default" w:ascii="Times New Roman" w:hAnsi="Times New Roman" w:eastAsia="Times New Roman" w:cs="Times New Roman"/>
        <w:w w:val="100"/>
        <w:sz w:val="22"/>
        <w:szCs w:val="22"/>
      </w:rPr>
    </w:lvl>
    <w:lvl w:ilvl="1">
      <w:start w:val="0"/>
      <w:numFmt w:val="bullet"/>
      <w:lvlText w:val="•"/>
      <w:lvlJc w:val="left"/>
      <w:pPr>
        <w:ind w:left="1914" w:hanging="221"/>
      </w:pPr>
      <w:rPr>
        <w:rFonts w:hint="default"/>
      </w:rPr>
    </w:lvl>
    <w:lvl w:ilvl="2">
      <w:start w:val="0"/>
      <w:numFmt w:val="bullet"/>
      <w:lvlText w:val="•"/>
      <w:lvlJc w:val="left"/>
      <w:pPr>
        <w:ind w:left="2768" w:hanging="221"/>
      </w:pPr>
      <w:rPr>
        <w:rFonts w:hint="default"/>
      </w:rPr>
    </w:lvl>
    <w:lvl w:ilvl="3">
      <w:start w:val="0"/>
      <w:numFmt w:val="bullet"/>
      <w:lvlText w:val="•"/>
      <w:lvlJc w:val="left"/>
      <w:pPr>
        <w:ind w:left="3622" w:hanging="221"/>
      </w:pPr>
      <w:rPr>
        <w:rFonts w:hint="default"/>
      </w:rPr>
    </w:lvl>
    <w:lvl w:ilvl="4">
      <w:start w:val="0"/>
      <w:numFmt w:val="bullet"/>
      <w:lvlText w:val="•"/>
      <w:lvlJc w:val="left"/>
      <w:pPr>
        <w:ind w:left="4476" w:hanging="221"/>
      </w:pPr>
      <w:rPr>
        <w:rFonts w:hint="default"/>
      </w:rPr>
    </w:lvl>
    <w:lvl w:ilvl="5">
      <w:start w:val="0"/>
      <w:numFmt w:val="bullet"/>
      <w:lvlText w:val="•"/>
      <w:lvlJc w:val="left"/>
      <w:pPr>
        <w:ind w:left="5330" w:hanging="221"/>
      </w:pPr>
      <w:rPr>
        <w:rFonts w:hint="default"/>
      </w:rPr>
    </w:lvl>
    <w:lvl w:ilvl="6">
      <w:start w:val="0"/>
      <w:numFmt w:val="bullet"/>
      <w:lvlText w:val="•"/>
      <w:lvlJc w:val="left"/>
      <w:pPr>
        <w:ind w:left="6184" w:hanging="221"/>
      </w:pPr>
      <w:rPr>
        <w:rFonts w:hint="default"/>
      </w:rPr>
    </w:lvl>
    <w:lvl w:ilvl="7">
      <w:start w:val="0"/>
      <w:numFmt w:val="bullet"/>
      <w:lvlText w:val="•"/>
      <w:lvlJc w:val="left"/>
      <w:pPr>
        <w:ind w:left="7038" w:hanging="221"/>
      </w:pPr>
      <w:rPr>
        <w:rFonts w:hint="default"/>
      </w:rPr>
    </w:lvl>
    <w:lvl w:ilvl="8">
      <w:start w:val="0"/>
      <w:numFmt w:val="bullet"/>
      <w:lvlText w:val="•"/>
      <w:lvlJc w:val="left"/>
      <w:pPr>
        <w:ind w:left="7892" w:hanging="221"/>
      </w:pPr>
      <w:rPr>
        <w:rFonts w:hint="default"/>
      </w:rPr>
    </w:lvl>
  </w:abstractNum>
  <w:abstractNum w:abstractNumId="172">
    <w:multiLevelType w:val="hybridMultilevel"/>
    <w:lvl w:ilvl="0">
      <w:start w:val="1"/>
      <w:numFmt w:val="lowerLetter"/>
      <w:lvlText w:val="%1)"/>
      <w:lvlJc w:val="left"/>
      <w:pPr>
        <w:ind w:left="1065" w:hanging="226"/>
        <w:jc w:val="left"/>
      </w:pPr>
      <w:rPr>
        <w:rFonts w:hint="default" w:ascii="Times New Roman" w:hAnsi="Times New Roman" w:eastAsia="Times New Roman" w:cs="Times New Roman"/>
        <w:w w:val="100"/>
        <w:sz w:val="22"/>
        <w:szCs w:val="22"/>
      </w:rPr>
    </w:lvl>
    <w:lvl w:ilvl="1">
      <w:start w:val="0"/>
      <w:numFmt w:val="bullet"/>
      <w:lvlText w:val="•"/>
      <w:lvlJc w:val="left"/>
      <w:pPr>
        <w:ind w:left="1914" w:hanging="226"/>
      </w:pPr>
      <w:rPr>
        <w:rFonts w:hint="default"/>
      </w:rPr>
    </w:lvl>
    <w:lvl w:ilvl="2">
      <w:start w:val="0"/>
      <w:numFmt w:val="bullet"/>
      <w:lvlText w:val="•"/>
      <w:lvlJc w:val="left"/>
      <w:pPr>
        <w:ind w:left="2768" w:hanging="226"/>
      </w:pPr>
      <w:rPr>
        <w:rFonts w:hint="default"/>
      </w:rPr>
    </w:lvl>
    <w:lvl w:ilvl="3">
      <w:start w:val="0"/>
      <w:numFmt w:val="bullet"/>
      <w:lvlText w:val="•"/>
      <w:lvlJc w:val="left"/>
      <w:pPr>
        <w:ind w:left="3622" w:hanging="226"/>
      </w:pPr>
      <w:rPr>
        <w:rFonts w:hint="default"/>
      </w:rPr>
    </w:lvl>
    <w:lvl w:ilvl="4">
      <w:start w:val="0"/>
      <w:numFmt w:val="bullet"/>
      <w:lvlText w:val="•"/>
      <w:lvlJc w:val="left"/>
      <w:pPr>
        <w:ind w:left="4476" w:hanging="226"/>
      </w:pPr>
      <w:rPr>
        <w:rFonts w:hint="default"/>
      </w:rPr>
    </w:lvl>
    <w:lvl w:ilvl="5">
      <w:start w:val="0"/>
      <w:numFmt w:val="bullet"/>
      <w:lvlText w:val="•"/>
      <w:lvlJc w:val="left"/>
      <w:pPr>
        <w:ind w:left="5330" w:hanging="226"/>
      </w:pPr>
      <w:rPr>
        <w:rFonts w:hint="default"/>
      </w:rPr>
    </w:lvl>
    <w:lvl w:ilvl="6">
      <w:start w:val="0"/>
      <w:numFmt w:val="bullet"/>
      <w:lvlText w:val="•"/>
      <w:lvlJc w:val="left"/>
      <w:pPr>
        <w:ind w:left="6184" w:hanging="226"/>
      </w:pPr>
      <w:rPr>
        <w:rFonts w:hint="default"/>
      </w:rPr>
    </w:lvl>
    <w:lvl w:ilvl="7">
      <w:start w:val="0"/>
      <w:numFmt w:val="bullet"/>
      <w:lvlText w:val="•"/>
      <w:lvlJc w:val="left"/>
      <w:pPr>
        <w:ind w:left="7038" w:hanging="226"/>
      </w:pPr>
      <w:rPr>
        <w:rFonts w:hint="default"/>
      </w:rPr>
    </w:lvl>
    <w:lvl w:ilvl="8">
      <w:start w:val="0"/>
      <w:numFmt w:val="bullet"/>
      <w:lvlText w:val="•"/>
      <w:lvlJc w:val="left"/>
      <w:pPr>
        <w:ind w:left="7892" w:hanging="226"/>
      </w:pPr>
      <w:rPr>
        <w:rFonts w:hint="default"/>
      </w:rPr>
    </w:lvl>
  </w:abstractNum>
  <w:abstractNum w:abstractNumId="171">
    <w:multiLevelType w:val="hybridMultilevel"/>
    <w:lvl w:ilvl="0">
      <w:start w:val="1"/>
      <w:numFmt w:val="decimal"/>
      <w:lvlText w:val="%1."/>
      <w:lvlJc w:val="left"/>
      <w:pPr>
        <w:ind w:left="119" w:hanging="257"/>
        <w:jc w:val="left"/>
      </w:pPr>
      <w:rPr>
        <w:rFonts w:hint="default" w:ascii="Times New Roman" w:hAnsi="Times New Roman" w:eastAsia="Times New Roman" w:cs="Times New Roman"/>
        <w:w w:val="100"/>
        <w:sz w:val="22"/>
        <w:szCs w:val="22"/>
      </w:rPr>
    </w:lvl>
    <w:lvl w:ilvl="1">
      <w:start w:val="0"/>
      <w:numFmt w:val="bullet"/>
      <w:lvlText w:val="•"/>
      <w:lvlJc w:val="left"/>
      <w:pPr>
        <w:ind w:left="1068" w:hanging="257"/>
      </w:pPr>
      <w:rPr>
        <w:rFonts w:hint="default"/>
      </w:rPr>
    </w:lvl>
    <w:lvl w:ilvl="2">
      <w:start w:val="0"/>
      <w:numFmt w:val="bullet"/>
      <w:lvlText w:val="•"/>
      <w:lvlJc w:val="left"/>
      <w:pPr>
        <w:ind w:left="2016" w:hanging="257"/>
      </w:pPr>
      <w:rPr>
        <w:rFonts w:hint="default"/>
      </w:rPr>
    </w:lvl>
    <w:lvl w:ilvl="3">
      <w:start w:val="0"/>
      <w:numFmt w:val="bullet"/>
      <w:lvlText w:val="•"/>
      <w:lvlJc w:val="left"/>
      <w:pPr>
        <w:ind w:left="2964" w:hanging="257"/>
      </w:pPr>
      <w:rPr>
        <w:rFonts w:hint="default"/>
      </w:rPr>
    </w:lvl>
    <w:lvl w:ilvl="4">
      <w:start w:val="0"/>
      <w:numFmt w:val="bullet"/>
      <w:lvlText w:val="•"/>
      <w:lvlJc w:val="left"/>
      <w:pPr>
        <w:ind w:left="3912" w:hanging="257"/>
      </w:pPr>
      <w:rPr>
        <w:rFonts w:hint="default"/>
      </w:rPr>
    </w:lvl>
    <w:lvl w:ilvl="5">
      <w:start w:val="0"/>
      <w:numFmt w:val="bullet"/>
      <w:lvlText w:val="•"/>
      <w:lvlJc w:val="left"/>
      <w:pPr>
        <w:ind w:left="4860" w:hanging="257"/>
      </w:pPr>
      <w:rPr>
        <w:rFonts w:hint="default"/>
      </w:rPr>
    </w:lvl>
    <w:lvl w:ilvl="6">
      <w:start w:val="0"/>
      <w:numFmt w:val="bullet"/>
      <w:lvlText w:val="•"/>
      <w:lvlJc w:val="left"/>
      <w:pPr>
        <w:ind w:left="5808" w:hanging="257"/>
      </w:pPr>
      <w:rPr>
        <w:rFonts w:hint="default"/>
      </w:rPr>
    </w:lvl>
    <w:lvl w:ilvl="7">
      <w:start w:val="0"/>
      <w:numFmt w:val="bullet"/>
      <w:lvlText w:val="•"/>
      <w:lvlJc w:val="left"/>
      <w:pPr>
        <w:ind w:left="6756" w:hanging="257"/>
      </w:pPr>
      <w:rPr>
        <w:rFonts w:hint="default"/>
      </w:rPr>
    </w:lvl>
    <w:lvl w:ilvl="8">
      <w:start w:val="0"/>
      <w:numFmt w:val="bullet"/>
      <w:lvlText w:val="•"/>
      <w:lvlJc w:val="left"/>
      <w:pPr>
        <w:ind w:left="7704" w:hanging="257"/>
      </w:pPr>
      <w:rPr>
        <w:rFonts w:hint="default"/>
      </w:rPr>
    </w:lvl>
  </w:abstractNum>
  <w:abstractNum w:abstractNumId="170">
    <w:multiLevelType w:val="hybridMultilevel"/>
    <w:lvl w:ilvl="0">
      <w:start w:val="1"/>
      <w:numFmt w:val="decimal"/>
      <w:lvlText w:val="%1."/>
      <w:lvlJc w:val="left"/>
      <w:pPr>
        <w:ind w:left="121" w:hanging="236"/>
        <w:jc w:val="left"/>
      </w:pPr>
      <w:rPr>
        <w:rFonts w:hint="default" w:ascii="Times New Roman" w:hAnsi="Times New Roman" w:eastAsia="Times New Roman" w:cs="Times New Roman"/>
        <w:w w:val="100"/>
        <w:sz w:val="22"/>
        <w:szCs w:val="22"/>
      </w:rPr>
    </w:lvl>
    <w:lvl w:ilvl="1">
      <w:start w:val="0"/>
      <w:numFmt w:val="bullet"/>
      <w:lvlText w:val="•"/>
      <w:lvlJc w:val="left"/>
      <w:pPr>
        <w:ind w:left="1068" w:hanging="236"/>
      </w:pPr>
      <w:rPr>
        <w:rFonts w:hint="default"/>
      </w:rPr>
    </w:lvl>
    <w:lvl w:ilvl="2">
      <w:start w:val="0"/>
      <w:numFmt w:val="bullet"/>
      <w:lvlText w:val="•"/>
      <w:lvlJc w:val="left"/>
      <w:pPr>
        <w:ind w:left="2016" w:hanging="236"/>
      </w:pPr>
      <w:rPr>
        <w:rFonts w:hint="default"/>
      </w:rPr>
    </w:lvl>
    <w:lvl w:ilvl="3">
      <w:start w:val="0"/>
      <w:numFmt w:val="bullet"/>
      <w:lvlText w:val="•"/>
      <w:lvlJc w:val="left"/>
      <w:pPr>
        <w:ind w:left="2964" w:hanging="236"/>
      </w:pPr>
      <w:rPr>
        <w:rFonts w:hint="default"/>
      </w:rPr>
    </w:lvl>
    <w:lvl w:ilvl="4">
      <w:start w:val="0"/>
      <w:numFmt w:val="bullet"/>
      <w:lvlText w:val="•"/>
      <w:lvlJc w:val="left"/>
      <w:pPr>
        <w:ind w:left="3912" w:hanging="236"/>
      </w:pPr>
      <w:rPr>
        <w:rFonts w:hint="default"/>
      </w:rPr>
    </w:lvl>
    <w:lvl w:ilvl="5">
      <w:start w:val="0"/>
      <w:numFmt w:val="bullet"/>
      <w:lvlText w:val="•"/>
      <w:lvlJc w:val="left"/>
      <w:pPr>
        <w:ind w:left="4860" w:hanging="236"/>
      </w:pPr>
      <w:rPr>
        <w:rFonts w:hint="default"/>
      </w:rPr>
    </w:lvl>
    <w:lvl w:ilvl="6">
      <w:start w:val="0"/>
      <w:numFmt w:val="bullet"/>
      <w:lvlText w:val="•"/>
      <w:lvlJc w:val="left"/>
      <w:pPr>
        <w:ind w:left="5808" w:hanging="236"/>
      </w:pPr>
      <w:rPr>
        <w:rFonts w:hint="default"/>
      </w:rPr>
    </w:lvl>
    <w:lvl w:ilvl="7">
      <w:start w:val="0"/>
      <w:numFmt w:val="bullet"/>
      <w:lvlText w:val="•"/>
      <w:lvlJc w:val="left"/>
      <w:pPr>
        <w:ind w:left="6756" w:hanging="236"/>
      </w:pPr>
      <w:rPr>
        <w:rFonts w:hint="default"/>
      </w:rPr>
    </w:lvl>
    <w:lvl w:ilvl="8">
      <w:start w:val="0"/>
      <w:numFmt w:val="bullet"/>
      <w:lvlText w:val="•"/>
      <w:lvlJc w:val="left"/>
      <w:pPr>
        <w:ind w:left="7704" w:hanging="236"/>
      </w:pPr>
      <w:rPr>
        <w:rFonts w:hint="default"/>
      </w:rPr>
    </w:lvl>
  </w:abstractNum>
  <w:abstractNum w:abstractNumId="169">
    <w:multiLevelType w:val="hybridMultilevel"/>
    <w:lvl w:ilvl="0">
      <w:start w:val="1"/>
      <w:numFmt w:val="lowerLetter"/>
      <w:lvlText w:val="%1)"/>
      <w:lvlJc w:val="left"/>
      <w:pPr>
        <w:ind w:left="119" w:hanging="262"/>
        <w:jc w:val="right"/>
      </w:pPr>
      <w:rPr>
        <w:rFonts w:hint="default" w:ascii="Times New Roman" w:hAnsi="Times New Roman" w:eastAsia="Times New Roman" w:cs="Times New Roman"/>
        <w:w w:val="100"/>
        <w:sz w:val="22"/>
        <w:szCs w:val="22"/>
      </w:rPr>
    </w:lvl>
    <w:lvl w:ilvl="1">
      <w:start w:val="0"/>
      <w:numFmt w:val="bullet"/>
      <w:lvlText w:val="•"/>
      <w:lvlJc w:val="left"/>
      <w:pPr>
        <w:ind w:left="1068" w:hanging="262"/>
      </w:pPr>
      <w:rPr>
        <w:rFonts w:hint="default"/>
      </w:rPr>
    </w:lvl>
    <w:lvl w:ilvl="2">
      <w:start w:val="0"/>
      <w:numFmt w:val="bullet"/>
      <w:lvlText w:val="•"/>
      <w:lvlJc w:val="left"/>
      <w:pPr>
        <w:ind w:left="2016" w:hanging="262"/>
      </w:pPr>
      <w:rPr>
        <w:rFonts w:hint="default"/>
      </w:rPr>
    </w:lvl>
    <w:lvl w:ilvl="3">
      <w:start w:val="0"/>
      <w:numFmt w:val="bullet"/>
      <w:lvlText w:val="•"/>
      <w:lvlJc w:val="left"/>
      <w:pPr>
        <w:ind w:left="2964" w:hanging="262"/>
      </w:pPr>
      <w:rPr>
        <w:rFonts w:hint="default"/>
      </w:rPr>
    </w:lvl>
    <w:lvl w:ilvl="4">
      <w:start w:val="0"/>
      <w:numFmt w:val="bullet"/>
      <w:lvlText w:val="•"/>
      <w:lvlJc w:val="left"/>
      <w:pPr>
        <w:ind w:left="3912" w:hanging="262"/>
      </w:pPr>
      <w:rPr>
        <w:rFonts w:hint="default"/>
      </w:rPr>
    </w:lvl>
    <w:lvl w:ilvl="5">
      <w:start w:val="0"/>
      <w:numFmt w:val="bullet"/>
      <w:lvlText w:val="•"/>
      <w:lvlJc w:val="left"/>
      <w:pPr>
        <w:ind w:left="4860" w:hanging="262"/>
      </w:pPr>
      <w:rPr>
        <w:rFonts w:hint="default"/>
      </w:rPr>
    </w:lvl>
    <w:lvl w:ilvl="6">
      <w:start w:val="0"/>
      <w:numFmt w:val="bullet"/>
      <w:lvlText w:val="•"/>
      <w:lvlJc w:val="left"/>
      <w:pPr>
        <w:ind w:left="5808" w:hanging="262"/>
      </w:pPr>
      <w:rPr>
        <w:rFonts w:hint="default"/>
      </w:rPr>
    </w:lvl>
    <w:lvl w:ilvl="7">
      <w:start w:val="0"/>
      <w:numFmt w:val="bullet"/>
      <w:lvlText w:val="•"/>
      <w:lvlJc w:val="left"/>
      <w:pPr>
        <w:ind w:left="6756" w:hanging="262"/>
      </w:pPr>
      <w:rPr>
        <w:rFonts w:hint="default"/>
      </w:rPr>
    </w:lvl>
    <w:lvl w:ilvl="8">
      <w:start w:val="0"/>
      <w:numFmt w:val="bullet"/>
      <w:lvlText w:val="•"/>
      <w:lvlJc w:val="left"/>
      <w:pPr>
        <w:ind w:left="7704" w:hanging="262"/>
      </w:pPr>
      <w:rPr>
        <w:rFonts w:hint="default"/>
      </w:rPr>
    </w:lvl>
  </w:abstractNum>
  <w:abstractNum w:abstractNumId="168">
    <w:multiLevelType w:val="hybridMultilevel"/>
    <w:lvl w:ilvl="0">
      <w:start w:val="1"/>
      <w:numFmt w:val="decimal"/>
      <w:lvlText w:val="%1."/>
      <w:lvlJc w:val="left"/>
      <w:pPr>
        <w:ind w:left="1060" w:hanging="221"/>
        <w:jc w:val="right"/>
      </w:pPr>
      <w:rPr>
        <w:rFonts w:hint="default" w:ascii="Times New Roman" w:hAnsi="Times New Roman" w:eastAsia="Times New Roman" w:cs="Times New Roman"/>
        <w:w w:val="100"/>
        <w:sz w:val="22"/>
        <w:szCs w:val="22"/>
      </w:rPr>
    </w:lvl>
    <w:lvl w:ilvl="1">
      <w:start w:val="1"/>
      <w:numFmt w:val="decimal"/>
      <w:lvlText w:val="%2."/>
      <w:lvlJc w:val="left"/>
      <w:pPr>
        <w:ind w:left="120" w:hanging="229"/>
        <w:jc w:val="left"/>
      </w:pPr>
      <w:rPr>
        <w:rFonts w:hint="default" w:ascii="Times New Roman" w:hAnsi="Times New Roman" w:eastAsia="Times New Roman" w:cs="Times New Roman"/>
        <w:w w:val="100"/>
        <w:sz w:val="22"/>
        <w:szCs w:val="22"/>
      </w:rPr>
    </w:lvl>
    <w:lvl w:ilvl="2">
      <w:start w:val="0"/>
      <w:numFmt w:val="bullet"/>
      <w:lvlText w:val="•"/>
      <w:lvlJc w:val="left"/>
      <w:pPr>
        <w:ind w:left="2008" w:hanging="229"/>
      </w:pPr>
      <w:rPr>
        <w:rFonts w:hint="default"/>
      </w:rPr>
    </w:lvl>
    <w:lvl w:ilvl="3">
      <w:start w:val="0"/>
      <w:numFmt w:val="bullet"/>
      <w:lvlText w:val="•"/>
      <w:lvlJc w:val="left"/>
      <w:pPr>
        <w:ind w:left="2957" w:hanging="229"/>
      </w:pPr>
      <w:rPr>
        <w:rFonts w:hint="default"/>
      </w:rPr>
    </w:lvl>
    <w:lvl w:ilvl="4">
      <w:start w:val="0"/>
      <w:numFmt w:val="bullet"/>
      <w:lvlText w:val="•"/>
      <w:lvlJc w:val="left"/>
      <w:pPr>
        <w:ind w:left="3906" w:hanging="229"/>
      </w:pPr>
      <w:rPr>
        <w:rFonts w:hint="default"/>
      </w:rPr>
    </w:lvl>
    <w:lvl w:ilvl="5">
      <w:start w:val="0"/>
      <w:numFmt w:val="bullet"/>
      <w:lvlText w:val="•"/>
      <w:lvlJc w:val="left"/>
      <w:pPr>
        <w:ind w:left="4855" w:hanging="229"/>
      </w:pPr>
      <w:rPr>
        <w:rFonts w:hint="default"/>
      </w:rPr>
    </w:lvl>
    <w:lvl w:ilvl="6">
      <w:start w:val="0"/>
      <w:numFmt w:val="bullet"/>
      <w:lvlText w:val="•"/>
      <w:lvlJc w:val="left"/>
      <w:pPr>
        <w:ind w:left="5804" w:hanging="229"/>
      </w:pPr>
      <w:rPr>
        <w:rFonts w:hint="default"/>
      </w:rPr>
    </w:lvl>
    <w:lvl w:ilvl="7">
      <w:start w:val="0"/>
      <w:numFmt w:val="bullet"/>
      <w:lvlText w:val="•"/>
      <w:lvlJc w:val="left"/>
      <w:pPr>
        <w:ind w:left="6753" w:hanging="229"/>
      </w:pPr>
      <w:rPr>
        <w:rFonts w:hint="default"/>
      </w:rPr>
    </w:lvl>
    <w:lvl w:ilvl="8">
      <w:start w:val="0"/>
      <w:numFmt w:val="bullet"/>
      <w:lvlText w:val="•"/>
      <w:lvlJc w:val="left"/>
      <w:pPr>
        <w:ind w:left="7702" w:hanging="229"/>
      </w:pPr>
      <w:rPr>
        <w:rFonts w:hint="default"/>
      </w:rPr>
    </w:lvl>
  </w:abstractNum>
  <w:abstractNum w:abstractNumId="167">
    <w:multiLevelType w:val="hybridMultilevel"/>
    <w:lvl w:ilvl="0">
      <w:start w:val="1"/>
      <w:numFmt w:val="decimal"/>
      <w:lvlText w:val="%1."/>
      <w:lvlJc w:val="left"/>
      <w:pPr>
        <w:ind w:left="122" w:hanging="233"/>
        <w:jc w:val="left"/>
      </w:pPr>
      <w:rPr>
        <w:rFonts w:hint="default" w:ascii="Times New Roman" w:hAnsi="Times New Roman" w:eastAsia="Times New Roman" w:cs="Times New Roman"/>
        <w:w w:val="100"/>
        <w:sz w:val="22"/>
        <w:szCs w:val="22"/>
      </w:rPr>
    </w:lvl>
    <w:lvl w:ilvl="1">
      <w:start w:val="0"/>
      <w:numFmt w:val="bullet"/>
      <w:lvlText w:val="•"/>
      <w:lvlJc w:val="left"/>
      <w:pPr>
        <w:ind w:left="1068" w:hanging="233"/>
      </w:pPr>
      <w:rPr>
        <w:rFonts w:hint="default"/>
      </w:rPr>
    </w:lvl>
    <w:lvl w:ilvl="2">
      <w:start w:val="0"/>
      <w:numFmt w:val="bullet"/>
      <w:lvlText w:val="•"/>
      <w:lvlJc w:val="left"/>
      <w:pPr>
        <w:ind w:left="2016" w:hanging="233"/>
      </w:pPr>
      <w:rPr>
        <w:rFonts w:hint="default"/>
      </w:rPr>
    </w:lvl>
    <w:lvl w:ilvl="3">
      <w:start w:val="0"/>
      <w:numFmt w:val="bullet"/>
      <w:lvlText w:val="•"/>
      <w:lvlJc w:val="left"/>
      <w:pPr>
        <w:ind w:left="2964" w:hanging="233"/>
      </w:pPr>
      <w:rPr>
        <w:rFonts w:hint="default"/>
      </w:rPr>
    </w:lvl>
    <w:lvl w:ilvl="4">
      <w:start w:val="0"/>
      <w:numFmt w:val="bullet"/>
      <w:lvlText w:val="•"/>
      <w:lvlJc w:val="left"/>
      <w:pPr>
        <w:ind w:left="3912" w:hanging="233"/>
      </w:pPr>
      <w:rPr>
        <w:rFonts w:hint="default"/>
      </w:rPr>
    </w:lvl>
    <w:lvl w:ilvl="5">
      <w:start w:val="0"/>
      <w:numFmt w:val="bullet"/>
      <w:lvlText w:val="•"/>
      <w:lvlJc w:val="left"/>
      <w:pPr>
        <w:ind w:left="4860" w:hanging="233"/>
      </w:pPr>
      <w:rPr>
        <w:rFonts w:hint="default"/>
      </w:rPr>
    </w:lvl>
    <w:lvl w:ilvl="6">
      <w:start w:val="0"/>
      <w:numFmt w:val="bullet"/>
      <w:lvlText w:val="•"/>
      <w:lvlJc w:val="left"/>
      <w:pPr>
        <w:ind w:left="5808" w:hanging="233"/>
      </w:pPr>
      <w:rPr>
        <w:rFonts w:hint="default"/>
      </w:rPr>
    </w:lvl>
    <w:lvl w:ilvl="7">
      <w:start w:val="0"/>
      <w:numFmt w:val="bullet"/>
      <w:lvlText w:val="•"/>
      <w:lvlJc w:val="left"/>
      <w:pPr>
        <w:ind w:left="6756" w:hanging="233"/>
      </w:pPr>
      <w:rPr>
        <w:rFonts w:hint="default"/>
      </w:rPr>
    </w:lvl>
    <w:lvl w:ilvl="8">
      <w:start w:val="0"/>
      <w:numFmt w:val="bullet"/>
      <w:lvlText w:val="•"/>
      <w:lvlJc w:val="left"/>
      <w:pPr>
        <w:ind w:left="7704" w:hanging="233"/>
      </w:pPr>
      <w:rPr>
        <w:rFonts w:hint="default"/>
      </w:rPr>
    </w:lvl>
  </w:abstractNum>
  <w:abstractNum w:abstractNumId="166">
    <w:multiLevelType w:val="hybridMultilevel"/>
    <w:lvl w:ilvl="0">
      <w:start w:val="1"/>
      <w:numFmt w:val="lowerLetter"/>
      <w:lvlText w:val="%1)"/>
      <w:lvlJc w:val="left"/>
      <w:pPr>
        <w:ind w:left="1070" w:hanging="229"/>
        <w:jc w:val="left"/>
      </w:pPr>
      <w:rPr>
        <w:rFonts w:hint="default" w:ascii="Times New Roman" w:hAnsi="Times New Roman" w:eastAsia="Times New Roman" w:cs="Times New Roman"/>
        <w:w w:val="100"/>
        <w:sz w:val="22"/>
        <w:szCs w:val="22"/>
      </w:rPr>
    </w:lvl>
    <w:lvl w:ilvl="1">
      <w:start w:val="0"/>
      <w:numFmt w:val="bullet"/>
      <w:lvlText w:val="•"/>
      <w:lvlJc w:val="left"/>
      <w:pPr>
        <w:ind w:left="1932" w:hanging="229"/>
      </w:pPr>
      <w:rPr>
        <w:rFonts w:hint="default"/>
      </w:rPr>
    </w:lvl>
    <w:lvl w:ilvl="2">
      <w:start w:val="0"/>
      <w:numFmt w:val="bullet"/>
      <w:lvlText w:val="•"/>
      <w:lvlJc w:val="left"/>
      <w:pPr>
        <w:ind w:left="2784" w:hanging="229"/>
      </w:pPr>
      <w:rPr>
        <w:rFonts w:hint="default"/>
      </w:rPr>
    </w:lvl>
    <w:lvl w:ilvl="3">
      <w:start w:val="0"/>
      <w:numFmt w:val="bullet"/>
      <w:lvlText w:val="•"/>
      <w:lvlJc w:val="left"/>
      <w:pPr>
        <w:ind w:left="3636" w:hanging="229"/>
      </w:pPr>
      <w:rPr>
        <w:rFonts w:hint="default"/>
      </w:rPr>
    </w:lvl>
    <w:lvl w:ilvl="4">
      <w:start w:val="0"/>
      <w:numFmt w:val="bullet"/>
      <w:lvlText w:val="•"/>
      <w:lvlJc w:val="left"/>
      <w:pPr>
        <w:ind w:left="4488" w:hanging="229"/>
      </w:pPr>
      <w:rPr>
        <w:rFonts w:hint="default"/>
      </w:rPr>
    </w:lvl>
    <w:lvl w:ilvl="5">
      <w:start w:val="0"/>
      <w:numFmt w:val="bullet"/>
      <w:lvlText w:val="•"/>
      <w:lvlJc w:val="left"/>
      <w:pPr>
        <w:ind w:left="5340" w:hanging="229"/>
      </w:pPr>
      <w:rPr>
        <w:rFonts w:hint="default"/>
      </w:rPr>
    </w:lvl>
    <w:lvl w:ilvl="6">
      <w:start w:val="0"/>
      <w:numFmt w:val="bullet"/>
      <w:lvlText w:val="•"/>
      <w:lvlJc w:val="left"/>
      <w:pPr>
        <w:ind w:left="6192" w:hanging="229"/>
      </w:pPr>
      <w:rPr>
        <w:rFonts w:hint="default"/>
      </w:rPr>
    </w:lvl>
    <w:lvl w:ilvl="7">
      <w:start w:val="0"/>
      <w:numFmt w:val="bullet"/>
      <w:lvlText w:val="•"/>
      <w:lvlJc w:val="left"/>
      <w:pPr>
        <w:ind w:left="7044" w:hanging="229"/>
      </w:pPr>
      <w:rPr>
        <w:rFonts w:hint="default"/>
      </w:rPr>
    </w:lvl>
    <w:lvl w:ilvl="8">
      <w:start w:val="0"/>
      <w:numFmt w:val="bullet"/>
      <w:lvlText w:val="•"/>
      <w:lvlJc w:val="left"/>
      <w:pPr>
        <w:ind w:left="7896" w:hanging="229"/>
      </w:pPr>
      <w:rPr>
        <w:rFonts w:hint="default"/>
      </w:rPr>
    </w:lvl>
  </w:abstractNum>
  <w:abstractNum w:abstractNumId="165">
    <w:multiLevelType w:val="hybridMultilevel"/>
    <w:lvl w:ilvl="0">
      <w:start w:val="1"/>
      <w:numFmt w:val="decimal"/>
      <w:lvlText w:val="%1."/>
      <w:lvlJc w:val="left"/>
      <w:pPr>
        <w:ind w:left="122" w:hanging="233"/>
        <w:jc w:val="left"/>
      </w:pPr>
      <w:rPr>
        <w:rFonts w:hint="default" w:ascii="Times New Roman" w:hAnsi="Times New Roman" w:eastAsia="Times New Roman" w:cs="Times New Roman"/>
        <w:w w:val="100"/>
        <w:sz w:val="22"/>
        <w:szCs w:val="22"/>
      </w:rPr>
    </w:lvl>
    <w:lvl w:ilvl="1">
      <w:start w:val="0"/>
      <w:numFmt w:val="bullet"/>
      <w:lvlText w:val="•"/>
      <w:lvlJc w:val="left"/>
      <w:pPr>
        <w:ind w:left="1068" w:hanging="233"/>
      </w:pPr>
      <w:rPr>
        <w:rFonts w:hint="default"/>
      </w:rPr>
    </w:lvl>
    <w:lvl w:ilvl="2">
      <w:start w:val="0"/>
      <w:numFmt w:val="bullet"/>
      <w:lvlText w:val="•"/>
      <w:lvlJc w:val="left"/>
      <w:pPr>
        <w:ind w:left="2016" w:hanging="233"/>
      </w:pPr>
      <w:rPr>
        <w:rFonts w:hint="default"/>
      </w:rPr>
    </w:lvl>
    <w:lvl w:ilvl="3">
      <w:start w:val="0"/>
      <w:numFmt w:val="bullet"/>
      <w:lvlText w:val="•"/>
      <w:lvlJc w:val="left"/>
      <w:pPr>
        <w:ind w:left="2964" w:hanging="233"/>
      </w:pPr>
      <w:rPr>
        <w:rFonts w:hint="default"/>
      </w:rPr>
    </w:lvl>
    <w:lvl w:ilvl="4">
      <w:start w:val="0"/>
      <w:numFmt w:val="bullet"/>
      <w:lvlText w:val="•"/>
      <w:lvlJc w:val="left"/>
      <w:pPr>
        <w:ind w:left="3912" w:hanging="233"/>
      </w:pPr>
      <w:rPr>
        <w:rFonts w:hint="default"/>
      </w:rPr>
    </w:lvl>
    <w:lvl w:ilvl="5">
      <w:start w:val="0"/>
      <w:numFmt w:val="bullet"/>
      <w:lvlText w:val="•"/>
      <w:lvlJc w:val="left"/>
      <w:pPr>
        <w:ind w:left="4860" w:hanging="233"/>
      </w:pPr>
      <w:rPr>
        <w:rFonts w:hint="default"/>
      </w:rPr>
    </w:lvl>
    <w:lvl w:ilvl="6">
      <w:start w:val="0"/>
      <w:numFmt w:val="bullet"/>
      <w:lvlText w:val="•"/>
      <w:lvlJc w:val="left"/>
      <w:pPr>
        <w:ind w:left="5808" w:hanging="233"/>
      </w:pPr>
      <w:rPr>
        <w:rFonts w:hint="default"/>
      </w:rPr>
    </w:lvl>
    <w:lvl w:ilvl="7">
      <w:start w:val="0"/>
      <w:numFmt w:val="bullet"/>
      <w:lvlText w:val="•"/>
      <w:lvlJc w:val="left"/>
      <w:pPr>
        <w:ind w:left="6756" w:hanging="233"/>
      </w:pPr>
      <w:rPr>
        <w:rFonts w:hint="default"/>
      </w:rPr>
    </w:lvl>
    <w:lvl w:ilvl="8">
      <w:start w:val="0"/>
      <w:numFmt w:val="bullet"/>
      <w:lvlText w:val="•"/>
      <w:lvlJc w:val="left"/>
      <w:pPr>
        <w:ind w:left="7704" w:hanging="233"/>
      </w:pPr>
      <w:rPr>
        <w:rFonts w:hint="default"/>
      </w:rPr>
    </w:lvl>
  </w:abstractNum>
  <w:abstractNum w:abstractNumId="164">
    <w:multiLevelType w:val="hybridMultilevel"/>
    <w:lvl w:ilvl="0">
      <w:start w:val="1"/>
      <w:numFmt w:val="decimal"/>
      <w:lvlText w:val="%1."/>
      <w:lvlJc w:val="left"/>
      <w:pPr>
        <w:ind w:left="121" w:hanging="255"/>
        <w:jc w:val="left"/>
      </w:pPr>
      <w:rPr>
        <w:rFonts w:hint="default" w:ascii="Times New Roman" w:hAnsi="Times New Roman" w:eastAsia="Times New Roman" w:cs="Times New Roman"/>
        <w:w w:val="100"/>
        <w:sz w:val="22"/>
        <w:szCs w:val="22"/>
      </w:rPr>
    </w:lvl>
    <w:lvl w:ilvl="1">
      <w:start w:val="0"/>
      <w:numFmt w:val="bullet"/>
      <w:lvlText w:val="•"/>
      <w:lvlJc w:val="left"/>
      <w:pPr>
        <w:ind w:left="1068" w:hanging="255"/>
      </w:pPr>
      <w:rPr>
        <w:rFonts w:hint="default"/>
      </w:rPr>
    </w:lvl>
    <w:lvl w:ilvl="2">
      <w:start w:val="0"/>
      <w:numFmt w:val="bullet"/>
      <w:lvlText w:val="•"/>
      <w:lvlJc w:val="left"/>
      <w:pPr>
        <w:ind w:left="2016" w:hanging="255"/>
      </w:pPr>
      <w:rPr>
        <w:rFonts w:hint="default"/>
      </w:rPr>
    </w:lvl>
    <w:lvl w:ilvl="3">
      <w:start w:val="0"/>
      <w:numFmt w:val="bullet"/>
      <w:lvlText w:val="•"/>
      <w:lvlJc w:val="left"/>
      <w:pPr>
        <w:ind w:left="2964" w:hanging="255"/>
      </w:pPr>
      <w:rPr>
        <w:rFonts w:hint="default"/>
      </w:rPr>
    </w:lvl>
    <w:lvl w:ilvl="4">
      <w:start w:val="0"/>
      <w:numFmt w:val="bullet"/>
      <w:lvlText w:val="•"/>
      <w:lvlJc w:val="left"/>
      <w:pPr>
        <w:ind w:left="3912" w:hanging="255"/>
      </w:pPr>
      <w:rPr>
        <w:rFonts w:hint="default"/>
      </w:rPr>
    </w:lvl>
    <w:lvl w:ilvl="5">
      <w:start w:val="0"/>
      <w:numFmt w:val="bullet"/>
      <w:lvlText w:val="•"/>
      <w:lvlJc w:val="left"/>
      <w:pPr>
        <w:ind w:left="4860" w:hanging="255"/>
      </w:pPr>
      <w:rPr>
        <w:rFonts w:hint="default"/>
      </w:rPr>
    </w:lvl>
    <w:lvl w:ilvl="6">
      <w:start w:val="0"/>
      <w:numFmt w:val="bullet"/>
      <w:lvlText w:val="•"/>
      <w:lvlJc w:val="left"/>
      <w:pPr>
        <w:ind w:left="5808" w:hanging="255"/>
      </w:pPr>
      <w:rPr>
        <w:rFonts w:hint="default"/>
      </w:rPr>
    </w:lvl>
    <w:lvl w:ilvl="7">
      <w:start w:val="0"/>
      <w:numFmt w:val="bullet"/>
      <w:lvlText w:val="•"/>
      <w:lvlJc w:val="left"/>
      <w:pPr>
        <w:ind w:left="6756" w:hanging="255"/>
      </w:pPr>
      <w:rPr>
        <w:rFonts w:hint="default"/>
      </w:rPr>
    </w:lvl>
    <w:lvl w:ilvl="8">
      <w:start w:val="0"/>
      <w:numFmt w:val="bullet"/>
      <w:lvlText w:val="•"/>
      <w:lvlJc w:val="left"/>
      <w:pPr>
        <w:ind w:left="7704" w:hanging="255"/>
      </w:pPr>
      <w:rPr>
        <w:rFonts w:hint="default"/>
      </w:rPr>
    </w:lvl>
  </w:abstractNum>
  <w:abstractNum w:abstractNumId="163">
    <w:multiLevelType w:val="hybridMultilevel"/>
    <w:lvl w:ilvl="0">
      <w:start w:val="1"/>
      <w:numFmt w:val="decimal"/>
      <w:lvlText w:val="%1."/>
      <w:lvlJc w:val="left"/>
      <w:pPr>
        <w:ind w:left="120" w:hanging="243"/>
        <w:jc w:val="left"/>
      </w:pPr>
      <w:rPr>
        <w:rFonts w:hint="default" w:ascii="Times New Roman" w:hAnsi="Times New Roman" w:eastAsia="Times New Roman" w:cs="Times New Roman"/>
        <w:w w:val="100"/>
        <w:sz w:val="22"/>
        <w:szCs w:val="22"/>
      </w:rPr>
    </w:lvl>
    <w:lvl w:ilvl="1">
      <w:start w:val="0"/>
      <w:numFmt w:val="bullet"/>
      <w:lvlText w:val="•"/>
      <w:lvlJc w:val="left"/>
      <w:pPr>
        <w:ind w:left="1068" w:hanging="243"/>
      </w:pPr>
      <w:rPr>
        <w:rFonts w:hint="default"/>
      </w:rPr>
    </w:lvl>
    <w:lvl w:ilvl="2">
      <w:start w:val="0"/>
      <w:numFmt w:val="bullet"/>
      <w:lvlText w:val="•"/>
      <w:lvlJc w:val="left"/>
      <w:pPr>
        <w:ind w:left="2016" w:hanging="243"/>
      </w:pPr>
      <w:rPr>
        <w:rFonts w:hint="default"/>
      </w:rPr>
    </w:lvl>
    <w:lvl w:ilvl="3">
      <w:start w:val="0"/>
      <w:numFmt w:val="bullet"/>
      <w:lvlText w:val="•"/>
      <w:lvlJc w:val="left"/>
      <w:pPr>
        <w:ind w:left="2964" w:hanging="243"/>
      </w:pPr>
      <w:rPr>
        <w:rFonts w:hint="default"/>
      </w:rPr>
    </w:lvl>
    <w:lvl w:ilvl="4">
      <w:start w:val="0"/>
      <w:numFmt w:val="bullet"/>
      <w:lvlText w:val="•"/>
      <w:lvlJc w:val="left"/>
      <w:pPr>
        <w:ind w:left="3912" w:hanging="243"/>
      </w:pPr>
      <w:rPr>
        <w:rFonts w:hint="default"/>
      </w:rPr>
    </w:lvl>
    <w:lvl w:ilvl="5">
      <w:start w:val="0"/>
      <w:numFmt w:val="bullet"/>
      <w:lvlText w:val="•"/>
      <w:lvlJc w:val="left"/>
      <w:pPr>
        <w:ind w:left="4860" w:hanging="243"/>
      </w:pPr>
      <w:rPr>
        <w:rFonts w:hint="default"/>
      </w:rPr>
    </w:lvl>
    <w:lvl w:ilvl="6">
      <w:start w:val="0"/>
      <w:numFmt w:val="bullet"/>
      <w:lvlText w:val="•"/>
      <w:lvlJc w:val="left"/>
      <w:pPr>
        <w:ind w:left="5808" w:hanging="243"/>
      </w:pPr>
      <w:rPr>
        <w:rFonts w:hint="default"/>
      </w:rPr>
    </w:lvl>
    <w:lvl w:ilvl="7">
      <w:start w:val="0"/>
      <w:numFmt w:val="bullet"/>
      <w:lvlText w:val="•"/>
      <w:lvlJc w:val="left"/>
      <w:pPr>
        <w:ind w:left="6756" w:hanging="243"/>
      </w:pPr>
      <w:rPr>
        <w:rFonts w:hint="default"/>
      </w:rPr>
    </w:lvl>
    <w:lvl w:ilvl="8">
      <w:start w:val="0"/>
      <w:numFmt w:val="bullet"/>
      <w:lvlText w:val="•"/>
      <w:lvlJc w:val="left"/>
      <w:pPr>
        <w:ind w:left="7704" w:hanging="243"/>
      </w:pPr>
      <w:rPr>
        <w:rFonts w:hint="default"/>
      </w:rPr>
    </w:lvl>
  </w:abstractNum>
  <w:abstractNum w:abstractNumId="162">
    <w:multiLevelType w:val="hybridMultilevel"/>
    <w:lvl w:ilvl="0">
      <w:start w:val="1"/>
      <w:numFmt w:val="decimal"/>
      <w:lvlText w:val="%1."/>
      <w:lvlJc w:val="left"/>
      <w:pPr>
        <w:ind w:left="121" w:hanging="296"/>
        <w:jc w:val="left"/>
      </w:pPr>
      <w:rPr>
        <w:rFonts w:hint="default" w:ascii="Times New Roman" w:hAnsi="Times New Roman" w:eastAsia="Times New Roman" w:cs="Times New Roman"/>
        <w:w w:val="100"/>
        <w:sz w:val="22"/>
        <w:szCs w:val="22"/>
      </w:rPr>
    </w:lvl>
    <w:lvl w:ilvl="1">
      <w:start w:val="0"/>
      <w:numFmt w:val="bullet"/>
      <w:lvlText w:val="•"/>
      <w:lvlJc w:val="left"/>
      <w:pPr>
        <w:ind w:left="1068" w:hanging="296"/>
      </w:pPr>
      <w:rPr>
        <w:rFonts w:hint="default"/>
      </w:rPr>
    </w:lvl>
    <w:lvl w:ilvl="2">
      <w:start w:val="0"/>
      <w:numFmt w:val="bullet"/>
      <w:lvlText w:val="•"/>
      <w:lvlJc w:val="left"/>
      <w:pPr>
        <w:ind w:left="2016" w:hanging="296"/>
      </w:pPr>
      <w:rPr>
        <w:rFonts w:hint="default"/>
      </w:rPr>
    </w:lvl>
    <w:lvl w:ilvl="3">
      <w:start w:val="0"/>
      <w:numFmt w:val="bullet"/>
      <w:lvlText w:val="•"/>
      <w:lvlJc w:val="left"/>
      <w:pPr>
        <w:ind w:left="2964" w:hanging="296"/>
      </w:pPr>
      <w:rPr>
        <w:rFonts w:hint="default"/>
      </w:rPr>
    </w:lvl>
    <w:lvl w:ilvl="4">
      <w:start w:val="0"/>
      <w:numFmt w:val="bullet"/>
      <w:lvlText w:val="•"/>
      <w:lvlJc w:val="left"/>
      <w:pPr>
        <w:ind w:left="3912" w:hanging="296"/>
      </w:pPr>
      <w:rPr>
        <w:rFonts w:hint="default"/>
      </w:rPr>
    </w:lvl>
    <w:lvl w:ilvl="5">
      <w:start w:val="0"/>
      <w:numFmt w:val="bullet"/>
      <w:lvlText w:val="•"/>
      <w:lvlJc w:val="left"/>
      <w:pPr>
        <w:ind w:left="4860" w:hanging="296"/>
      </w:pPr>
      <w:rPr>
        <w:rFonts w:hint="default"/>
      </w:rPr>
    </w:lvl>
    <w:lvl w:ilvl="6">
      <w:start w:val="0"/>
      <w:numFmt w:val="bullet"/>
      <w:lvlText w:val="•"/>
      <w:lvlJc w:val="left"/>
      <w:pPr>
        <w:ind w:left="5808" w:hanging="296"/>
      </w:pPr>
      <w:rPr>
        <w:rFonts w:hint="default"/>
      </w:rPr>
    </w:lvl>
    <w:lvl w:ilvl="7">
      <w:start w:val="0"/>
      <w:numFmt w:val="bullet"/>
      <w:lvlText w:val="•"/>
      <w:lvlJc w:val="left"/>
      <w:pPr>
        <w:ind w:left="6756" w:hanging="296"/>
      </w:pPr>
      <w:rPr>
        <w:rFonts w:hint="default"/>
      </w:rPr>
    </w:lvl>
    <w:lvl w:ilvl="8">
      <w:start w:val="0"/>
      <w:numFmt w:val="bullet"/>
      <w:lvlText w:val="•"/>
      <w:lvlJc w:val="left"/>
      <w:pPr>
        <w:ind w:left="7704" w:hanging="296"/>
      </w:pPr>
      <w:rPr>
        <w:rFonts w:hint="default"/>
      </w:rPr>
    </w:lvl>
  </w:abstractNum>
  <w:abstractNum w:abstractNumId="161">
    <w:multiLevelType w:val="hybridMultilevel"/>
    <w:lvl w:ilvl="0">
      <w:start w:val="1"/>
      <w:numFmt w:val="decimal"/>
      <w:lvlText w:val="%1."/>
      <w:lvlJc w:val="left"/>
      <w:pPr>
        <w:ind w:left="120" w:hanging="262"/>
        <w:jc w:val="left"/>
      </w:pPr>
      <w:rPr>
        <w:rFonts w:hint="default" w:ascii="Times New Roman" w:hAnsi="Times New Roman" w:eastAsia="Times New Roman" w:cs="Times New Roman"/>
        <w:w w:val="100"/>
        <w:sz w:val="22"/>
        <w:szCs w:val="22"/>
      </w:rPr>
    </w:lvl>
    <w:lvl w:ilvl="1">
      <w:start w:val="0"/>
      <w:numFmt w:val="bullet"/>
      <w:lvlText w:val="•"/>
      <w:lvlJc w:val="left"/>
      <w:pPr>
        <w:ind w:left="1068" w:hanging="262"/>
      </w:pPr>
      <w:rPr>
        <w:rFonts w:hint="default"/>
      </w:rPr>
    </w:lvl>
    <w:lvl w:ilvl="2">
      <w:start w:val="0"/>
      <w:numFmt w:val="bullet"/>
      <w:lvlText w:val="•"/>
      <w:lvlJc w:val="left"/>
      <w:pPr>
        <w:ind w:left="2016" w:hanging="262"/>
      </w:pPr>
      <w:rPr>
        <w:rFonts w:hint="default"/>
      </w:rPr>
    </w:lvl>
    <w:lvl w:ilvl="3">
      <w:start w:val="0"/>
      <w:numFmt w:val="bullet"/>
      <w:lvlText w:val="•"/>
      <w:lvlJc w:val="left"/>
      <w:pPr>
        <w:ind w:left="2964" w:hanging="262"/>
      </w:pPr>
      <w:rPr>
        <w:rFonts w:hint="default"/>
      </w:rPr>
    </w:lvl>
    <w:lvl w:ilvl="4">
      <w:start w:val="0"/>
      <w:numFmt w:val="bullet"/>
      <w:lvlText w:val="•"/>
      <w:lvlJc w:val="left"/>
      <w:pPr>
        <w:ind w:left="3912" w:hanging="262"/>
      </w:pPr>
      <w:rPr>
        <w:rFonts w:hint="default"/>
      </w:rPr>
    </w:lvl>
    <w:lvl w:ilvl="5">
      <w:start w:val="0"/>
      <w:numFmt w:val="bullet"/>
      <w:lvlText w:val="•"/>
      <w:lvlJc w:val="left"/>
      <w:pPr>
        <w:ind w:left="4860" w:hanging="262"/>
      </w:pPr>
      <w:rPr>
        <w:rFonts w:hint="default"/>
      </w:rPr>
    </w:lvl>
    <w:lvl w:ilvl="6">
      <w:start w:val="0"/>
      <w:numFmt w:val="bullet"/>
      <w:lvlText w:val="•"/>
      <w:lvlJc w:val="left"/>
      <w:pPr>
        <w:ind w:left="5808" w:hanging="262"/>
      </w:pPr>
      <w:rPr>
        <w:rFonts w:hint="default"/>
      </w:rPr>
    </w:lvl>
    <w:lvl w:ilvl="7">
      <w:start w:val="0"/>
      <w:numFmt w:val="bullet"/>
      <w:lvlText w:val="•"/>
      <w:lvlJc w:val="left"/>
      <w:pPr>
        <w:ind w:left="6756" w:hanging="262"/>
      </w:pPr>
      <w:rPr>
        <w:rFonts w:hint="default"/>
      </w:rPr>
    </w:lvl>
    <w:lvl w:ilvl="8">
      <w:start w:val="0"/>
      <w:numFmt w:val="bullet"/>
      <w:lvlText w:val="•"/>
      <w:lvlJc w:val="left"/>
      <w:pPr>
        <w:ind w:left="7704" w:hanging="262"/>
      </w:pPr>
      <w:rPr>
        <w:rFonts w:hint="default"/>
      </w:rPr>
    </w:lvl>
  </w:abstractNum>
  <w:abstractNum w:abstractNumId="160">
    <w:multiLevelType w:val="hybridMultilevel"/>
    <w:lvl w:ilvl="0">
      <w:start w:val="1"/>
      <w:numFmt w:val="lowerLetter"/>
      <w:lvlText w:val="%1)"/>
      <w:lvlJc w:val="left"/>
      <w:pPr>
        <w:ind w:left="1068" w:hanging="229"/>
        <w:jc w:val="left"/>
      </w:pPr>
      <w:rPr>
        <w:rFonts w:hint="default" w:ascii="Times New Roman" w:hAnsi="Times New Roman" w:eastAsia="Times New Roman" w:cs="Times New Roman"/>
        <w:w w:val="100"/>
        <w:sz w:val="22"/>
        <w:szCs w:val="22"/>
      </w:rPr>
    </w:lvl>
    <w:lvl w:ilvl="1">
      <w:start w:val="0"/>
      <w:numFmt w:val="bullet"/>
      <w:lvlText w:val="•"/>
      <w:lvlJc w:val="left"/>
      <w:pPr>
        <w:ind w:left="1914" w:hanging="229"/>
      </w:pPr>
      <w:rPr>
        <w:rFonts w:hint="default"/>
      </w:rPr>
    </w:lvl>
    <w:lvl w:ilvl="2">
      <w:start w:val="0"/>
      <w:numFmt w:val="bullet"/>
      <w:lvlText w:val="•"/>
      <w:lvlJc w:val="left"/>
      <w:pPr>
        <w:ind w:left="2768" w:hanging="229"/>
      </w:pPr>
      <w:rPr>
        <w:rFonts w:hint="default"/>
      </w:rPr>
    </w:lvl>
    <w:lvl w:ilvl="3">
      <w:start w:val="0"/>
      <w:numFmt w:val="bullet"/>
      <w:lvlText w:val="•"/>
      <w:lvlJc w:val="left"/>
      <w:pPr>
        <w:ind w:left="3622" w:hanging="229"/>
      </w:pPr>
      <w:rPr>
        <w:rFonts w:hint="default"/>
      </w:rPr>
    </w:lvl>
    <w:lvl w:ilvl="4">
      <w:start w:val="0"/>
      <w:numFmt w:val="bullet"/>
      <w:lvlText w:val="•"/>
      <w:lvlJc w:val="left"/>
      <w:pPr>
        <w:ind w:left="4476" w:hanging="229"/>
      </w:pPr>
      <w:rPr>
        <w:rFonts w:hint="default"/>
      </w:rPr>
    </w:lvl>
    <w:lvl w:ilvl="5">
      <w:start w:val="0"/>
      <w:numFmt w:val="bullet"/>
      <w:lvlText w:val="•"/>
      <w:lvlJc w:val="left"/>
      <w:pPr>
        <w:ind w:left="5330" w:hanging="229"/>
      </w:pPr>
      <w:rPr>
        <w:rFonts w:hint="default"/>
      </w:rPr>
    </w:lvl>
    <w:lvl w:ilvl="6">
      <w:start w:val="0"/>
      <w:numFmt w:val="bullet"/>
      <w:lvlText w:val="•"/>
      <w:lvlJc w:val="left"/>
      <w:pPr>
        <w:ind w:left="6184" w:hanging="229"/>
      </w:pPr>
      <w:rPr>
        <w:rFonts w:hint="default"/>
      </w:rPr>
    </w:lvl>
    <w:lvl w:ilvl="7">
      <w:start w:val="0"/>
      <w:numFmt w:val="bullet"/>
      <w:lvlText w:val="•"/>
      <w:lvlJc w:val="left"/>
      <w:pPr>
        <w:ind w:left="7038" w:hanging="229"/>
      </w:pPr>
      <w:rPr>
        <w:rFonts w:hint="default"/>
      </w:rPr>
    </w:lvl>
    <w:lvl w:ilvl="8">
      <w:start w:val="0"/>
      <w:numFmt w:val="bullet"/>
      <w:lvlText w:val="•"/>
      <w:lvlJc w:val="left"/>
      <w:pPr>
        <w:ind w:left="7892" w:hanging="229"/>
      </w:pPr>
      <w:rPr>
        <w:rFonts w:hint="default"/>
      </w:rPr>
    </w:lvl>
  </w:abstractNum>
  <w:abstractNum w:abstractNumId="159">
    <w:multiLevelType w:val="hybridMultilevel"/>
    <w:lvl w:ilvl="0">
      <w:start w:val="1"/>
      <w:numFmt w:val="decimal"/>
      <w:lvlText w:val="%1."/>
      <w:lvlJc w:val="left"/>
      <w:pPr>
        <w:ind w:left="120" w:hanging="229"/>
        <w:jc w:val="left"/>
      </w:pPr>
      <w:rPr>
        <w:rFonts w:hint="default" w:ascii="Times New Roman" w:hAnsi="Times New Roman" w:eastAsia="Times New Roman" w:cs="Times New Roman"/>
        <w:w w:val="100"/>
        <w:sz w:val="22"/>
        <w:szCs w:val="22"/>
      </w:rPr>
    </w:lvl>
    <w:lvl w:ilvl="1">
      <w:start w:val="0"/>
      <w:numFmt w:val="bullet"/>
      <w:lvlText w:val="•"/>
      <w:lvlJc w:val="left"/>
      <w:pPr>
        <w:ind w:left="1068" w:hanging="229"/>
      </w:pPr>
      <w:rPr>
        <w:rFonts w:hint="default"/>
      </w:rPr>
    </w:lvl>
    <w:lvl w:ilvl="2">
      <w:start w:val="0"/>
      <w:numFmt w:val="bullet"/>
      <w:lvlText w:val="•"/>
      <w:lvlJc w:val="left"/>
      <w:pPr>
        <w:ind w:left="2016" w:hanging="229"/>
      </w:pPr>
      <w:rPr>
        <w:rFonts w:hint="default"/>
      </w:rPr>
    </w:lvl>
    <w:lvl w:ilvl="3">
      <w:start w:val="0"/>
      <w:numFmt w:val="bullet"/>
      <w:lvlText w:val="•"/>
      <w:lvlJc w:val="left"/>
      <w:pPr>
        <w:ind w:left="2964" w:hanging="229"/>
      </w:pPr>
      <w:rPr>
        <w:rFonts w:hint="default"/>
      </w:rPr>
    </w:lvl>
    <w:lvl w:ilvl="4">
      <w:start w:val="0"/>
      <w:numFmt w:val="bullet"/>
      <w:lvlText w:val="•"/>
      <w:lvlJc w:val="left"/>
      <w:pPr>
        <w:ind w:left="3912" w:hanging="229"/>
      </w:pPr>
      <w:rPr>
        <w:rFonts w:hint="default"/>
      </w:rPr>
    </w:lvl>
    <w:lvl w:ilvl="5">
      <w:start w:val="0"/>
      <w:numFmt w:val="bullet"/>
      <w:lvlText w:val="•"/>
      <w:lvlJc w:val="left"/>
      <w:pPr>
        <w:ind w:left="4860" w:hanging="229"/>
      </w:pPr>
      <w:rPr>
        <w:rFonts w:hint="default"/>
      </w:rPr>
    </w:lvl>
    <w:lvl w:ilvl="6">
      <w:start w:val="0"/>
      <w:numFmt w:val="bullet"/>
      <w:lvlText w:val="•"/>
      <w:lvlJc w:val="left"/>
      <w:pPr>
        <w:ind w:left="5808" w:hanging="229"/>
      </w:pPr>
      <w:rPr>
        <w:rFonts w:hint="default"/>
      </w:rPr>
    </w:lvl>
    <w:lvl w:ilvl="7">
      <w:start w:val="0"/>
      <w:numFmt w:val="bullet"/>
      <w:lvlText w:val="•"/>
      <w:lvlJc w:val="left"/>
      <w:pPr>
        <w:ind w:left="6756" w:hanging="229"/>
      </w:pPr>
      <w:rPr>
        <w:rFonts w:hint="default"/>
      </w:rPr>
    </w:lvl>
    <w:lvl w:ilvl="8">
      <w:start w:val="0"/>
      <w:numFmt w:val="bullet"/>
      <w:lvlText w:val="•"/>
      <w:lvlJc w:val="left"/>
      <w:pPr>
        <w:ind w:left="7704" w:hanging="229"/>
      </w:pPr>
      <w:rPr>
        <w:rFonts w:hint="default"/>
      </w:rPr>
    </w:lvl>
  </w:abstractNum>
  <w:abstractNum w:abstractNumId="158">
    <w:multiLevelType w:val="hybridMultilevel"/>
    <w:lvl w:ilvl="0">
      <w:start w:val="1"/>
      <w:numFmt w:val="decimal"/>
      <w:lvlText w:val="%1."/>
      <w:lvlJc w:val="left"/>
      <w:pPr>
        <w:ind w:left="120" w:hanging="236"/>
        <w:jc w:val="left"/>
      </w:pPr>
      <w:rPr>
        <w:rFonts w:hint="default" w:ascii="Times New Roman" w:hAnsi="Times New Roman" w:eastAsia="Times New Roman" w:cs="Times New Roman"/>
        <w:w w:val="100"/>
        <w:sz w:val="22"/>
        <w:szCs w:val="22"/>
      </w:rPr>
    </w:lvl>
    <w:lvl w:ilvl="1">
      <w:start w:val="0"/>
      <w:numFmt w:val="bullet"/>
      <w:lvlText w:val="•"/>
      <w:lvlJc w:val="left"/>
      <w:pPr>
        <w:ind w:left="1068" w:hanging="236"/>
      </w:pPr>
      <w:rPr>
        <w:rFonts w:hint="default"/>
      </w:rPr>
    </w:lvl>
    <w:lvl w:ilvl="2">
      <w:start w:val="0"/>
      <w:numFmt w:val="bullet"/>
      <w:lvlText w:val="•"/>
      <w:lvlJc w:val="left"/>
      <w:pPr>
        <w:ind w:left="2016" w:hanging="236"/>
      </w:pPr>
      <w:rPr>
        <w:rFonts w:hint="default"/>
      </w:rPr>
    </w:lvl>
    <w:lvl w:ilvl="3">
      <w:start w:val="0"/>
      <w:numFmt w:val="bullet"/>
      <w:lvlText w:val="•"/>
      <w:lvlJc w:val="left"/>
      <w:pPr>
        <w:ind w:left="2964" w:hanging="236"/>
      </w:pPr>
      <w:rPr>
        <w:rFonts w:hint="default"/>
      </w:rPr>
    </w:lvl>
    <w:lvl w:ilvl="4">
      <w:start w:val="0"/>
      <w:numFmt w:val="bullet"/>
      <w:lvlText w:val="•"/>
      <w:lvlJc w:val="left"/>
      <w:pPr>
        <w:ind w:left="3912" w:hanging="236"/>
      </w:pPr>
      <w:rPr>
        <w:rFonts w:hint="default"/>
      </w:rPr>
    </w:lvl>
    <w:lvl w:ilvl="5">
      <w:start w:val="0"/>
      <w:numFmt w:val="bullet"/>
      <w:lvlText w:val="•"/>
      <w:lvlJc w:val="left"/>
      <w:pPr>
        <w:ind w:left="4860" w:hanging="236"/>
      </w:pPr>
      <w:rPr>
        <w:rFonts w:hint="default"/>
      </w:rPr>
    </w:lvl>
    <w:lvl w:ilvl="6">
      <w:start w:val="0"/>
      <w:numFmt w:val="bullet"/>
      <w:lvlText w:val="•"/>
      <w:lvlJc w:val="left"/>
      <w:pPr>
        <w:ind w:left="5808" w:hanging="236"/>
      </w:pPr>
      <w:rPr>
        <w:rFonts w:hint="default"/>
      </w:rPr>
    </w:lvl>
    <w:lvl w:ilvl="7">
      <w:start w:val="0"/>
      <w:numFmt w:val="bullet"/>
      <w:lvlText w:val="•"/>
      <w:lvlJc w:val="left"/>
      <w:pPr>
        <w:ind w:left="6756" w:hanging="236"/>
      </w:pPr>
      <w:rPr>
        <w:rFonts w:hint="default"/>
      </w:rPr>
    </w:lvl>
    <w:lvl w:ilvl="8">
      <w:start w:val="0"/>
      <w:numFmt w:val="bullet"/>
      <w:lvlText w:val="•"/>
      <w:lvlJc w:val="left"/>
      <w:pPr>
        <w:ind w:left="7704" w:hanging="236"/>
      </w:pPr>
      <w:rPr>
        <w:rFonts w:hint="default"/>
      </w:rPr>
    </w:lvl>
  </w:abstractNum>
  <w:abstractNum w:abstractNumId="157">
    <w:multiLevelType w:val="hybridMultilevel"/>
    <w:lvl w:ilvl="0">
      <w:start w:val="1"/>
      <w:numFmt w:val="lowerLetter"/>
      <w:lvlText w:val="%1)"/>
      <w:lvlJc w:val="left"/>
      <w:pPr>
        <w:ind w:left="120" w:hanging="284"/>
        <w:jc w:val="left"/>
      </w:pPr>
      <w:rPr>
        <w:rFonts w:hint="default" w:ascii="Times New Roman" w:hAnsi="Times New Roman" w:eastAsia="Times New Roman" w:cs="Times New Roman"/>
        <w:w w:val="100"/>
        <w:sz w:val="22"/>
        <w:szCs w:val="22"/>
      </w:rPr>
    </w:lvl>
    <w:lvl w:ilvl="1">
      <w:start w:val="0"/>
      <w:numFmt w:val="bullet"/>
      <w:lvlText w:val="•"/>
      <w:lvlJc w:val="left"/>
      <w:pPr>
        <w:ind w:left="1068" w:hanging="284"/>
      </w:pPr>
      <w:rPr>
        <w:rFonts w:hint="default"/>
      </w:rPr>
    </w:lvl>
    <w:lvl w:ilvl="2">
      <w:start w:val="0"/>
      <w:numFmt w:val="bullet"/>
      <w:lvlText w:val="•"/>
      <w:lvlJc w:val="left"/>
      <w:pPr>
        <w:ind w:left="2016" w:hanging="284"/>
      </w:pPr>
      <w:rPr>
        <w:rFonts w:hint="default"/>
      </w:rPr>
    </w:lvl>
    <w:lvl w:ilvl="3">
      <w:start w:val="0"/>
      <w:numFmt w:val="bullet"/>
      <w:lvlText w:val="•"/>
      <w:lvlJc w:val="left"/>
      <w:pPr>
        <w:ind w:left="2964" w:hanging="284"/>
      </w:pPr>
      <w:rPr>
        <w:rFonts w:hint="default"/>
      </w:rPr>
    </w:lvl>
    <w:lvl w:ilvl="4">
      <w:start w:val="0"/>
      <w:numFmt w:val="bullet"/>
      <w:lvlText w:val="•"/>
      <w:lvlJc w:val="left"/>
      <w:pPr>
        <w:ind w:left="3912" w:hanging="284"/>
      </w:pPr>
      <w:rPr>
        <w:rFonts w:hint="default"/>
      </w:rPr>
    </w:lvl>
    <w:lvl w:ilvl="5">
      <w:start w:val="0"/>
      <w:numFmt w:val="bullet"/>
      <w:lvlText w:val="•"/>
      <w:lvlJc w:val="left"/>
      <w:pPr>
        <w:ind w:left="4860" w:hanging="284"/>
      </w:pPr>
      <w:rPr>
        <w:rFonts w:hint="default"/>
      </w:rPr>
    </w:lvl>
    <w:lvl w:ilvl="6">
      <w:start w:val="0"/>
      <w:numFmt w:val="bullet"/>
      <w:lvlText w:val="•"/>
      <w:lvlJc w:val="left"/>
      <w:pPr>
        <w:ind w:left="5808" w:hanging="284"/>
      </w:pPr>
      <w:rPr>
        <w:rFonts w:hint="default"/>
      </w:rPr>
    </w:lvl>
    <w:lvl w:ilvl="7">
      <w:start w:val="0"/>
      <w:numFmt w:val="bullet"/>
      <w:lvlText w:val="•"/>
      <w:lvlJc w:val="left"/>
      <w:pPr>
        <w:ind w:left="6756" w:hanging="284"/>
      </w:pPr>
      <w:rPr>
        <w:rFonts w:hint="default"/>
      </w:rPr>
    </w:lvl>
    <w:lvl w:ilvl="8">
      <w:start w:val="0"/>
      <w:numFmt w:val="bullet"/>
      <w:lvlText w:val="•"/>
      <w:lvlJc w:val="left"/>
      <w:pPr>
        <w:ind w:left="7704" w:hanging="284"/>
      </w:pPr>
      <w:rPr>
        <w:rFonts w:hint="default"/>
      </w:rPr>
    </w:lvl>
  </w:abstractNum>
  <w:abstractNum w:abstractNumId="156">
    <w:multiLevelType w:val="hybridMultilevel"/>
    <w:lvl w:ilvl="0">
      <w:start w:val="1"/>
      <w:numFmt w:val="decimal"/>
      <w:lvlText w:val="%1."/>
      <w:lvlJc w:val="left"/>
      <w:pPr>
        <w:ind w:left="120" w:hanging="255"/>
        <w:jc w:val="left"/>
      </w:pPr>
      <w:rPr>
        <w:rFonts w:hint="default" w:ascii="Times New Roman" w:hAnsi="Times New Roman" w:eastAsia="Times New Roman" w:cs="Times New Roman"/>
        <w:w w:val="100"/>
        <w:sz w:val="22"/>
        <w:szCs w:val="22"/>
      </w:rPr>
    </w:lvl>
    <w:lvl w:ilvl="1">
      <w:start w:val="0"/>
      <w:numFmt w:val="bullet"/>
      <w:lvlText w:val="•"/>
      <w:lvlJc w:val="left"/>
      <w:pPr>
        <w:ind w:left="1068" w:hanging="255"/>
      </w:pPr>
      <w:rPr>
        <w:rFonts w:hint="default"/>
      </w:rPr>
    </w:lvl>
    <w:lvl w:ilvl="2">
      <w:start w:val="0"/>
      <w:numFmt w:val="bullet"/>
      <w:lvlText w:val="•"/>
      <w:lvlJc w:val="left"/>
      <w:pPr>
        <w:ind w:left="2016" w:hanging="255"/>
      </w:pPr>
      <w:rPr>
        <w:rFonts w:hint="default"/>
      </w:rPr>
    </w:lvl>
    <w:lvl w:ilvl="3">
      <w:start w:val="0"/>
      <w:numFmt w:val="bullet"/>
      <w:lvlText w:val="•"/>
      <w:lvlJc w:val="left"/>
      <w:pPr>
        <w:ind w:left="2964" w:hanging="255"/>
      </w:pPr>
      <w:rPr>
        <w:rFonts w:hint="default"/>
      </w:rPr>
    </w:lvl>
    <w:lvl w:ilvl="4">
      <w:start w:val="0"/>
      <w:numFmt w:val="bullet"/>
      <w:lvlText w:val="•"/>
      <w:lvlJc w:val="left"/>
      <w:pPr>
        <w:ind w:left="3912" w:hanging="255"/>
      </w:pPr>
      <w:rPr>
        <w:rFonts w:hint="default"/>
      </w:rPr>
    </w:lvl>
    <w:lvl w:ilvl="5">
      <w:start w:val="0"/>
      <w:numFmt w:val="bullet"/>
      <w:lvlText w:val="•"/>
      <w:lvlJc w:val="left"/>
      <w:pPr>
        <w:ind w:left="4860" w:hanging="255"/>
      </w:pPr>
      <w:rPr>
        <w:rFonts w:hint="default"/>
      </w:rPr>
    </w:lvl>
    <w:lvl w:ilvl="6">
      <w:start w:val="0"/>
      <w:numFmt w:val="bullet"/>
      <w:lvlText w:val="•"/>
      <w:lvlJc w:val="left"/>
      <w:pPr>
        <w:ind w:left="5808" w:hanging="255"/>
      </w:pPr>
      <w:rPr>
        <w:rFonts w:hint="default"/>
      </w:rPr>
    </w:lvl>
    <w:lvl w:ilvl="7">
      <w:start w:val="0"/>
      <w:numFmt w:val="bullet"/>
      <w:lvlText w:val="•"/>
      <w:lvlJc w:val="left"/>
      <w:pPr>
        <w:ind w:left="6756" w:hanging="255"/>
      </w:pPr>
      <w:rPr>
        <w:rFonts w:hint="default"/>
      </w:rPr>
    </w:lvl>
    <w:lvl w:ilvl="8">
      <w:start w:val="0"/>
      <w:numFmt w:val="bullet"/>
      <w:lvlText w:val="•"/>
      <w:lvlJc w:val="left"/>
      <w:pPr>
        <w:ind w:left="7704" w:hanging="255"/>
      </w:pPr>
      <w:rPr>
        <w:rFonts w:hint="default"/>
      </w:rPr>
    </w:lvl>
  </w:abstractNum>
  <w:abstractNum w:abstractNumId="155">
    <w:multiLevelType w:val="hybridMultilevel"/>
    <w:lvl w:ilvl="0">
      <w:start w:val="1"/>
      <w:numFmt w:val="lowerLetter"/>
      <w:lvlText w:val="%1)"/>
      <w:lvlJc w:val="left"/>
      <w:pPr>
        <w:ind w:left="119" w:hanging="248"/>
        <w:jc w:val="left"/>
      </w:pPr>
      <w:rPr>
        <w:rFonts w:hint="default" w:ascii="Times New Roman" w:hAnsi="Times New Roman" w:eastAsia="Times New Roman" w:cs="Times New Roman"/>
        <w:w w:val="100"/>
        <w:sz w:val="22"/>
        <w:szCs w:val="22"/>
      </w:rPr>
    </w:lvl>
    <w:lvl w:ilvl="1">
      <w:start w:val="0"/>
      <w:numFmt w:val="bullet"/>
      <w:lvlText w:val="•"/>
      <w:lvlJc w:val="left"/>
      <w:pPr>
        <w:ind w:left="1068" w:hanging="248"/>
      </w:pPr>
      <w:rPr>
        <w:rFonts w:hint="default"/>
      </w:rPr>
    </w:lvl>
    <w:lvl w:ilvl="2">
      <w:start w:val="0"/>
      <w:numFmt w:val="bullet"/>
      <w:lvlText w:val="•"/>
      <w:lvlJc w:val="left"/>
      <w:pPr>
        <w:ind w:left="2016" w:hanging="248"/>
      </w:pPr>
      <w:rPr>
        <w:rFonts w:hint="default"/>
      </w:rPr>
    </w:lvl>
    <w:lvl w:ilvl="3">
      <w:start w:val="0"/>
      <w:numFmt w:val="bullet"/>
      <w:lvlText w:val="•"/>
      <w:lvlJc w:val="left"/>
      <w:pPr>
        <w:ind w:left="2964" w:hanging="248"/>
      </w:pPr>
      <w:rPr>
        <w:rFonts w:hint="default"/>
      </w:rPr>
    </w:lvl>
    <w:lvl w:ilvl="4">
      <w:start w:val="0"/>
      <w:numFmt w:val="bullet"/>
      <w:lvlText w:val="•"/>
      <w:lvlJc w:val="left"/>
      <w:pPr>
        <w:ind w:left="3912" w:hanging="248"/>
      </w:pPr>
      <w:rPr>
        <w:rFonts w:hint="default"/>
      </w:rPr>
    </w:lvl>
    <w:lvl w:ilvl="5">
      <w:start w:val="0"/>
      <w:numFmt w:val="bullet"/>
      <w:lvlText w:val="•"/>
      <w:lvlJc w:val="left"/>
      <w:pPr>
        <w:ind w:left="4860" w:hanging="248"/>
      </w:pPr>
      <w:rPr>
        <w:rFonts w:hint="default"/>
      </w:rPr>
    </w:lvl>
    <w:lvl w:ilvl="6">
      <w:start w:val="0"/>
      <w:numFmt w:val="bullet"/>
      <w:lvlText w:val="•"/>
      <w:lvlJc w:val="left"/>
      <w:pPr>
        <w:ind w:left="5808" w:hanging="248"/>
      </w:pPr>
      <w:rPr>
        <w:rFonts w:hint="default"/>
      </w:rPr>
    </w:lvl>
    <w:lvl w:ilvl="7">
      <w:start w:val="0"/>
      <w:numFmt w:val="bullet"/>
      <w:lvlText w:val="•"/>
      <w:lvlJc w:val="left"/>
      <w:pPr>
        <w:ind w:left="6756" w:hanging="248"/>
      </w:pPr>
      <w:rPr>
        <w:rFonts w:hint="default"/>
      </w:rPr>
    </w:lvl>
    <w:lvl w:ilvl="8">
      <w:start w:val="0"/>
      <w:numFmt w:val="bullet"/>
      <w:lvlText w:val="•"/>
      <w:lvlJc w:val="left"/>
      <w:pPr>
        <w:ind w:left="7704" w:hanging="248"/>
      </w:pPr>
      <w:rPr>
        <w:rFonts w:hint="default"/>
      </w:rPr>
    </w:lvl>
  </w:abstractNum>
  <w:abstractNum w:abstractNumId="154">
    <w:multiLevelType w:val="hybridMultilevel"/>
    <w:lvl w:ilvl="0">
      <w:start w:val="1"/>
      <w:numFmt w:val="decimal"/>
      <w:lvlText w:val="%1."/>
      <w:lvlJc w:val="left"/>
      <w:pPr>
        <w:ind w:left="120" w:hanging="265"/>
        <w:jc w:val="left"/>
      </w:pPr>
      <w:rPr>
        <w:rFonts w:hint="default" w:ascii="Times New Roman" w:hAnsi="Times New Roman" w:eastAsia="Times New Roman" w:cs="Times New Roman"/>
        <w:w w:val="100"/>
        <w:sz w:val="22"/>
        <w:szCs w:val="22"/>
      </w:rPr>
    </w:lvl>
    <w:lvl w:ilvl="1">
      <w:start w:val="0"/>
      <w:numFmt w:val="bullet"/>
      <w:lvlText w:val="•"/>
      <w:lvlJc w:val="left"/>
      <w:pPr>
        <w:ind w:left="1068" w:hanging="265"/>
      </w:pPr>
      <w:rPr>
        <w:rFonts w:hint="default"/>
      </w:rPr>
    </w:lvl>
    <w:lvl w:ilvl="2">
      <w:start w:val="0"/>
      <w:numFmt w:val="bullet"/>
      <w:lvlText w:val="•"/>
      <w:lvlJc w:val="left"/>
      <w:pPr>
        <w:ind w:left="2016" w:hanging="265"/>
      </w:pPr>
      <w:rPr>
        <w:rFonts w:hint="default"/>
      </w:rPr>
    </w:lvl>
    <w:lvl w:ilvl="3">
      <w:start w:val="0"/>
      <w:numFmt w:val="bullet"/>
      <w:lvlText w:val="•"/>
      <w:lvlJc w:val="left"/>
      <w:pPr>
        <w:ind w:left="2964" w:hanging="265"/>
      </w:pPr>
      <w:rPr>
        <w:rFonts w:hint="default"/>
      </w:rPr>
    </w:lvl>
    <w:lvl w:ilvl="4">
      <w:start w:val="0"/>
      <w:numFmt w:val="bullet"/>
      <w:lvlText w:val="•"/>
      <w:lvlJc w:val="left"/>
      <w:pPr>
        <w:ind w:left="3912" w:hanging="265"/>
      </w:pPr>
      <w:rPr>
        <w:rFonts w:hint="default"/>
      </w:rPr>
    </w:lvl>
    <w:lvl w:ilvl="5">
      <w:start w:val="0"/>
      <w:numFmt w:val="bullet"/>
      <w:lvlText w:val="•"/>
      <w:lvlJc w:val="left"/>
      <w:pPr>
        <w:ind w:left="4860" w:hanging="265"/>
      </w:pPr>
      <w:rPr>
        <w:rFonts w:hint="default"/>
      </w:rPr>
    </w:lvl>
    <w:lvl w:ilvl="6">
      <w:start w:val="0"/>
      <w:numFmt w:val="bullet"/>
      <w:lvlText w:val="•"/>
      <w:lvlJc w:val="left"/>
      <w:pPr>
        <w:ind w:left="5808" w:hanging="265"/>
      </w:pPr>
      <w:rPr>
        <w:rFonts w:hint="default"/>
      </w:rPr>
    </w:lvl>
    <w:lvl w:ilvl="7">
      <w:start w:val="0"/>
      <w:numFmt w:val="bullet"/>
      <w:lvlText w:val="•"/>
      <w:lvlJc w:val="left"/>
      <w:pPr>
        <w:ind w:left="6756" w:hanging="265"/>
      </w:pPr>
      <w:rPr>
        <w:rFonts w:hint="default"/>
      </w:rPr>
    </w:lvl>
    <w:lvl w:ilvl="8">
      <w:start w:val="0"/>
      <w:numFmt w:val="bullet"/>
      <w:lvlText w:val="•"/>
      <w:lvlJc w:val="left"/>
      <w:pPr>
        <w:ind w:left="7704" w:hanging="265"/>
      </w:pPr>
      <w:rPr>
        <w:rFonts w:hint="default"/>
      </w:rPr>
    </w:lvl>
  </w:abstractNum>
  <w:abstractNum w:abstractNumId="153">
    <w:multiLevelType w:val="hybridMultilevel"/>
    <w:lvl w:ilvl="0">
      <w:start w:val="1"/>
      <w:numFmt w:val="decimal"/>
      <w:lvlText w:val="%1."/>
      <w:lvlJc w:val="left"/>
      <w:pPr>
        <w:ind w:left="120" w:hanging="243"/>
        <w:jc w:val="left"/>
      </w:pPr>
      <w:rPr>
        <w:rFonts w:hint="default" w:ascii="Times New Roman" w:hAnsi="Times New Roman" w:eastAsia="Times New Roman" w:cs="Times New Roman"/>
        <w:w w:val="100"/>
        <w:sz w:val="22"/>
        <w:szCs w:val="22"/>
      </w:rPr>
    </w:lvl>
    <w:lvl w:ilvl="1">
      <w:start w:val="0"/>
      <w:numFmt w:val="bullet"/>
      <w:lvlText w:val="•"/>
      <w:lvlJc w:val="left"/>
      <w:pPr>
        <w:ind w:left="1068" w:hanging="243"/>
      </w:pPr>
      <w:rPr>
        <w:rFonts w:hint="default"/>
      </w:rPr>
    </w:lvl>
    <w:lvl w:ilvl="2">
      <w:start w:val="0"/>
      <w:numFmt w:val="bullet"/>
      <w:lvlText w:val="•"/>
      <w:lvlJc w:val="left"/>
      <w:pPr>
        <w:ind w:left="2016" w:hanging="243"/>
      </w:pPr>
      <w:rPr>
        <w:rFonts w:hint="default"/>
      </w:rPr>
    </w:lvl>
    <w:lvl w:ilvl="3">
      <w:start w:val="0"/>
      <w:numFmt w:val="bullet"/>
      <w:lvlText w:val="•"/>
      <w:lvlJc w:val="left"/>
      <w:pPr>
        <w:ind w:left="2964" w:hanging="243"/>
      </w:pPr>
      <w:rPr>
        <w:rFonts w:hint="default"/>
      </w:rPr>
    </w:lvl>
    <w:lvl w:ilvl="4">
      <w:start w:val="0"/>
      <w:numFmt w:val="bullet"/>
      <w:lvlText w:val="•"/>
      <w:lvlJc w:val="left"/>
      <w:pPr>
        <w:ind w:left="3912" w:hanging="243"/>
      </w:pPr>
      <w:rPr>
        <w:rFonts w:hint="default"/>
      </w:rPr>
    </w:lvl>
    <w:lvl w:ilvl="5">
      <w:start w:val="0"/>
      <w:numFmt w:val="bullet"/>
      <w:lvlText w:val="•"/>
      <w:lvlJc w:val="left"/>
      <w:pPr>
        <w:ind w:left="4860" w:hanging="243"/>
      </w:pPr>
      <w:rPr>
        <w:rFonts w:hint="default"/>
      </w:rPr>
    </w:lvl>
    <w:lvl w:ilvl="6">
      <w:start w:val="0"/>
      <w:numFmt w:val="bullet"/>
      <w:lvlText w:val="•"/>
      <w:lvlJc w:val="left"/>
      <w:pPr>
        <w:ind w:left="5808" w:hanging="243"/>
      </w:pPr>
      <w:rPr>
        <w:rFonts w:hint="default"/>
      </w:rPr>
    </w:lvl>
    <w:lvl w:ilvl="7">
      <w:start w:val="0"/>
      <w:numFmt w:val="bullet"/>
      <w:lvlText w:val="•"/>
      <w:lvlJc w:val="left"/>
      <w:pPr>
        <w:ind w:left="6756" w:hanging="243"/>
      </w:pPr>
      <w:rPr>
        <w:rFonts w:hint="default"/>
      </w:rPr>
    </w:lvl>
    <w:lvl w:ilvl="8">
      <w:start w:val="0"/>
      <w:numFmt w:val="bullet"/>
      <w:lvlText w:val="•"/>
      <w:lvlJc w:val="left"/>
      <w:pPr>
        <w:ind w:left="7704" w:hanging="243"/>
      </w:pPr>
      <w:rPr>
        <w:rFonts w:hint="default"/>
      </w:rPr>
    </w:lvl>
  </w:abstractNum>
  <w:abstractNum w:abstractNumId="152">
    <w:multiLevelType w:val="hybridMultilevel"/>
    <w:lvl w:ilvl="0">
      <w:start w:val="1"/>
      <w:numFmt w:val="decimal"/>
      <w:lvlText w:val="%1."/>
      <w:lvlJc w:val="left"/>
      <w:pPr>
        <w:ind w:left="120" w:hanging="224"/>
        <w:jc w:val="left"/>
      </w:pPr>
      <w:rPr>
        <w:rFonts w:hint="default" w:ascii="Times New Roman" w:hAnsi="Times New Roman" w:eastAsia="Times New Roman" w:cs="Times New Roman"/>
        <w:w w:val="100"/>
        <w:sz w:val="22"/>
        <w:szCs w:val="22"/>
      </w:rPr>
    </w:lvl>
    <w:lvl w:ilvl="1">
      <w:start w:val="0"/>
      <w:numFmt w:val="bullet"/>
      <w:lvlText w:val="•"/>
      <w:lvlJc w:val="left"/>
      <w:pPr>
        <w:ind w:left="1068" w:hanging="224"/>
      </w:pPr>
      <w:rPr>
        <w:rFonts w:hint="default"/>
      </w:rPr>
    </w:lvl>
    <w:lvl w:ilvl="2">
      <w:start w:val="0"/>
      <w:numFmt w:val="bullet"/>
      <w:lvlText w:val="•"/>
      <w:lvlJc w:val="left"/>
      <w:pPr>
        <w:ind w:left="2016" w:hanging="224"/>
      </w:pPr>
      <w:rPr>
        <w:rFonts w:hint="default"/>
      </w:rPr>
    </w:lvl>
    <w:lvl w:ilvl="3">
      <w:start w:val="0"/>
      <w:numFmt w:val="bullet"/>
      <w:lvlText w:val="•"/>
      <w:lvlJc w:val="left"/>
      <w:pPr>
        <w:ind w:left="2964" w:hanging="224"/>
      </w:pPr>
      <w:rPr>
        <w:rFonts w:hint="default"/>
      </w:rPr>
    </w:lvl>
    <w:lvl w:ilvl="4">
      <w:start w:val="0"/>
      <w:numFmt w:val="bullet"/>
      <w:lvlText w:val="•"/>
      <w:lvlJc w:val="left"/>
      <w:pPr>
        <w:ind w:left="3912" w:hanging="224"/>
      </w:pPr>
      <w:rPr>
        <w:rFonts w:hint="default"/>
      </w:rPr>
    </w:lvl>
    <w:lvl w:ilvl="5">
      <w:start w:val="0"/>
      <w:numFmt w:val="bullet"/>
      <w:lvlText w:val="•"/>
      <w:lvlJc w:val="left"/>
      <w:pPr>
        <w:ind w:left="4860" w:hanging="224"/>
      </w:pPr>
      <w:rPr>
        <w:rFonts w:hint="default"/>
      </w:rPr>
    </w:lvl>
    <w:lvl w:ilvl="6">
      <w:start w:val="0"/>
      <w:numFmt w:val="bullet"/>
      <w:lvlText w:val="•"/>
      <w:lvlJc w:val="left"/>
      <w:pPr>
        <w:ind w:left="5808" w:hanging="224"/>
      </w:pPr>
      <w:rPr>
        <w:rFonts w:hint="default"/>
      </w:rPr>
    </w:lvl>
    <w:lvl w:ilvl="7">
      <w:start w:val="0"/>
      <w:numFmt w:val="bullet"/>
      <w:lvlText w:val="•"/>
      <w:lvlJc w:val="left"/>
      <w:pPr>
        <w:ind w:left="6756" w:hanging="224"/>
      </w:pPr>
      <w:rPr>
        <w:rFonts w:hint="default"/>
      </w:rPr>
    </w:lvl>
    <w:lvl w:ilvl="8">
      <w:start w:val="0"/>
      <w:numFmt w:val="bullet"/>
      <w:lvlText w:val="•"/>
      <w:lvlJc w:val="left"/>
      <w:pPr>
        <w:ind w:left="7704" w:hanging="224"/>
      </w:pPr>
      <w:rPr>
        <w:rFonts w:hint="default"/>
      </w:rPr>
    </w:lvl>
  </w:abstractNum>
  <w:abstractNum w:abstractNumId="151">
    <w:multiLevelType w:val="hybridMultilevel"/>
    <w:lvl w:ilvl="0">
      <w:start w:val="1"/>
      <w:numFmt w:val="lowerLetter"/>
      <w:lvlText w:val="%1)"/>
      <w:lvlJc w:val="left"/>
      <w:pPr>
        <w:ind w:left="1067" w:hanging="229"/>
        <w:jc w:val="left"/>
      </w:pPr>
      <w:rPr>
        <w:rFonts w:hint="default" w:ascii="Times New Roman" w:hAnsi="Times New Roman" w:eastAsia="Times New Roman" w:cs="Times New Roman"/>
        <w:w w:val="100"/>
        <w:sz w:val="22"/>
        <w:szCs w:val="22"/>
      </w:rPr>
    </w:lvl>
    <w:lvl w:ilvl="1">
      <w:start w:val="0"/>
      <w:numFmt w:val="bullet"/>
      <w:lvlText w:val="•"/>
      <w:lvlJc w:val="left"/>
      <w:pPr>
        <w:ind w:left="1914" w:hanging="229"/>
      </w:pPr>
      <w:rPr>
        <w:rFonts w:hint="default"/>
      </w:rPr>
    </w:lvl>
    <w:lvl w:ilvl="2">
      <w:start w:val="0"/>
      <w:numFmt w:val="bullet"/>
      <w:lvlText w:val="•"/>
      <w:lvlJc w:val="left"/>
      <w:pPr>
        <w:ind w:left="2768" w:hanging="229"/>
      </w:pPr>
      <w:rPr>
        <w:rFonts w:hint="default"/>
      </w:rPr>
    </w:lvl>
    <w:lvl w:ilvl="3">
      <w:start w:val="0"/>
      <w:numFmt w:val="bullet"/>
      <w:lvlText w:val="•"/>
      <w:lvlJc w:val="left"/>
      <w:pPr>
        <w:ind w:left="3622" w:hanging="229"/>
      </w:pPr>
      <w:rPr>
        <w:rFonts w:hint="default"/>
      </w:rPr>
    </w:lvl>
    <w:lvl w:ilvl="4">
      <w:start w:val="0"/>
      <w:numFmt w:val="bullet"/>
      <w:lvlText w:val="•"/>
      <w:lvlJc w:val="left"/>
      <w:pPr>
        <w:ind w:left="4476" w:hanging="229"/>
      </w:pPr>
      <w:rPr>
        <w:rFonts w:hint="default"/>
      </w:rPr>
    </w:lvl>
    <w:lvl w:ilvl="5">
      <w:start w:val="0"/>
      <w:numFmt w:val="bullet"/>
      <w:lvlText w:val="•"/>
      <w:lvlJc w:val="left"/>
      <w:pPr>
        <w:ind w:left="5330" w:hanging="229"/>
      </w:pPr>
      <w:rPr>
        <w:rFonts w:hint="default"/>
      </w:rPr>
    </w:lvl>
    <w:lvl w:ilvl="6">
      <w:start w:val="0"/>
      <w:numFmt w:val="bullet"/>
      <w:lvlText w:val="•"/>
      <w:lvlJc w:val="left"/>
      <w:pPr>
        <w:ind w:left="6184" w:hanging="229"/>
      </w:pPr>
      <w:rPr>
        <w:rFonts w:hint="default"/>
      </w:rPr>
    </w:lvl>
    <w:lvl w:ilvl="7">
      <w:start w:val="0"/>
      <w:numFmt w:val="bullet"/>
      <w:lvlText w:val="•"/>
      <w:lvlJc w:val="left"/>
      <w:pPr>
        <w:ind w:left="7038" w:hanging="229"/>
      </w:pPr>
      <w:rPr>
        <w:rFonts w:hint="default"/>
      </w:rPr>
    </w:lvl>
    <w:lvl w:ilvl="8">
      <w:start w:val="0"/>
      <w:numFmt w:val="bullet"/>
      <w:lvlText w:val="•"/>
      <w:lvlJc w:val="left"/>
      <w:pPr>
        <w:ind w:left="7892" w:hanging="229"/>
      </w:pPr>
      <w:rPr>
        <w:rFonts w:hint="default"/>
      </w:rPr>
    </w:lvl>
  </w:abstractNum>
  <w:abstractNum w:abstractNumId="150">
    <w:multiLevelType w:val="hybridMultilevel"/>
    <w:lvl w:ilvl="0">
      <w:start w:val="1"/>
      <w:numFmt w:val="lowerLetter"/>
      <w:lvlText w:val="%1)"/>
      <w:lvlJc w:val="left"/>
      <w:pPr>
        <w:ind w:left="119" w:hanging="245"/>
        <w:jc w:val="left"/>
      </w:pPr>
      <w:rPr>
        <w:rFonts w:hint="default" w:ascii="Times New Roman" w:hAnsi="Times New Roman" w:eastAsia="Times New Roman" w:cs="Times New Roman"/>
        <w:w w:val="100"/>
        <w:sz w:val="22"/>
        <w:szCs w:val="22"/>
      </w:rPr>
    </w:lvl>
    <w:lvl w:ilvl="1">
      <w:start w:val="0"/>
      <w:numFmt w:val="bullet"/>
      <w:lvlText w:val="•"/>
      <w:lvlJc w:val="left"/>
      <w:pPr>
        <w:ind w:left="1068" w:hanging="245"/>
      </w:pPr>
      <w:rPr>
        <w:rFonts w:hint="default"/>
      </w:rPr>
    </w:lvl>
    <w:lvl w:ilvl="2">
      <w:start w:val="0"/>
      <w:numFmt w:val="bullet"/>
      <w:lvlText w:val="•"/>
      <w:lvlJc w:val="left"/>
      <w:pPr>
        <w:ind w:left="2016" w:hanging="245"/>
      </w:pPr>
      <w:rPr>
        <w:rFonts w:hint="default"/>
      </w:rPr>
    </w:lvl>
    <w:lvl w:ilvl="3">
      <w:start w:val="0"/>
      <w:numFmt w:val="bullet"/>
      <w:lvlText w:val="•"/>
      <w:lvlJc w:val="left"/>
      <w:pPr>
        <w:ind w:left="2964" w:hanging="245"/>
      </w:pPr>
      <w:rPr>
        <w:rFonts w:hint="default"/>
      </w:rPr>
    </w:lvl>
    <w:lvl w:ilvl="4">
      <w:start w:val="0"/>
      <w:numFmt w:val="bullet"/>
      <w:lvlText w:val="•"/>
      <w:lvlJc w:val="left"/>
      <w:pPr>
        <w:ind w:left="3912" w:hanging="245"/>
      </w:pPr>
      <w:rPr>
        <w:rFonts w:hint="default"/>
      </w:rPr>
    </w:lvl>
    <w:lvl w:ilvl="5">
      <w:start w:val="0"/>
      <w:numFmt w:val="bullet"/>
      <w:lvlText w:val="•"/>
      <w:lvlJc w:val="left"/>
      <w:pPr>
        <w:ind w:left="4860" w:hanging="245"/>
      </w:pPr>
      <w:rPr>
        <w:rFonts w:hint="default"/>
      </w:rPr>
    </w:lvl>
    <w:lvl w:ilvl="6">
      <w:start w:val="0"/>
      <w:numFmt w:val="bullet"/>
      <w:lvlText w:val="•"/>
      <w:lvlJc w:val="left"/>
      <w:pPr>
        <w:ind w:left="5808" w:hanging="245"/>
      </w:pPr>
      <w:rPr>
        <w:rFonts w:hint="default"/>
      </w:rPr>
    </w:lvl>
    <w:lvl w:ilvl="7">
      <w:start w:val="0"/>
      <w:numFmt w:val="bullet"/>
      <w:lvlText w:val="•"/>
      <w:lvlJc w:val="left"/>
      <w:pPr>
        <w:ind w:left="6756" w:hanging="245"/>
      </w:pPr>
      <w:rPr>
        <w:rFonts w:hint="default"/>
      </w:rPr>
    </w:lvl>
    <w:lvl w:ilvl="8">
      <w:start w:val="0"/>
      <w:numFmt w:val="bullet"/>
      <w:lvlText w:val="•"/>
      <w:lvlJc w:val="left"/>
      <w:pPr>
        <w:ind w:left="7704" w:hanging="245"/>
      </w:pPr>
      <w:rPr>
        <w:rFonts w:hint="default"/>
      </w:rPr>
    </w:lvl>
  </w:abstractNum>
  <w:abstractNum w:abstractNumId="149">
    <w:multiLevelType w:val="hybridMultilevel"/>
    <w:lvl w:ilvl="0">
      <w:start w:val="1"/>
      <w:numFmt w:val="decimal"/>
      <w:lvlText w:val="%1."/>
      <w:lvlJc w:val="left"/>
      <w:pPr>
        <w:ind w:left="119" w:hanging="231"/>
        <w:jc w:val="left"/>
      </w:pPr>
      <w:rPr>
        <w:rFonts w:hint="default" w:ascii="Times New Roman" w:hAnsi="Times New Roman" w:eastAsia="Times New Roman" w:cs="Times New Roman"/>
        <w:w w:val="100"/>
        <w:sz w:val="22"/>
        <w:szCs w:val="22"/>
      </w:rPr>
    </w:lvl>
    <w:lvl w:ilvl="1">
      <w:start w:val="0"/>
      <w:numFmt w:val="bullet"/>
      <w:lvlText w:val="•"/>
      <w:lvlJc w:val="left"/>
      <w:pPr>
        <w:ind w:left="1068" w:hanging="231"/>
      </w:pPr>
      <w:rPr>
        <w:rFonts w:hint="default"/>
      </w:rPr>
    </w:lvl>
    <w:lvl w:ilvl="2">
      <w:start w:val="0"/>
      <w:numFmt w:val="bullet"/>
      <w:lvlText w:val="•"/>
      <w:lvlJc w:val="left"/>
      <w:pPr>
        <w:ind w:left="2016" w:hanging="231"/>
      </w:pPr>
      <w:rPr>
        <w:rFonts w:hint="default"/>
      </w:rPr>
    </w:lvl>
    <w:lvl w:ilvl="3">
      <w:start w:val="0"/>
      <w:numFmt w:val="bullet"/>
      <w:lvlText w:val="•"/>
      <w:lvlJc w:val="left"/>
      <w:pPr>
        <w:ind w:left="2964" w:hanging="231"/>
      </w:pPr>
      <w:rPr>
        <w:rFonts w:hint="default"/>
      </w:rPr>
    </w:lvl>
    <w:lvl w:ilvl="4">
      <w:start w:val="0"/>
      <w:numFmt w:val="bullet"/>
      <w:lvlText w:val="•"/>
      <w:lvlJc w:val="left"/>
      <w:pPr>
        <w:ind w:left="3912" w:hanging="231"/>
      </w:pPr>
      <w:rPr>
        <w:rFonts w:hint="default"/>
      </w:rPr>
    </w:lvl>
    <w:lvl w:ilvl="5">
      <w:start w:val="0"/>
      <w:numFmt w:val="bullet"/>
      <w:lvlText w:val="•"/>
      <w:lvlJc w:val="left"/>
      <w:pPr>
        <w:ind w:left="4860" w:hanging="231"/>
      </w:pPr>
      <w:rPr>
        <w:rFonts w:hint="default"/>
      </w:rPr>
    </w:lvl>
    <w:lvl w:ilvl="6">
      <w:start w:val="0"/>
      <w:numFmt w:val="bullet"/>
      <w:lvlText w:val="•"/>
      <w:lvlJc w:val="left"/>
      <w:pPr>
        <w:ind w:left="5808" w:hanging="231"/>
      </w:pPr>
      <w:rPr>
        <w:rFonts w:hint="default"/>
      </w:rPr>
    </w:lvl>
    <w:lvl w:ilvl="7">
      <w:start w:val="0"/>
      <w:numFmt w:val="bullet"/>
      <w:lvlText w:val="•"/>
      <w:lvlJc w:val="left"/>
      <w:pPr>
        <w:ind w:left="6756" w:hanging="231"/>
      </w:pPr>
      <w:rPr>
        <w:rFonts w:hint="default"/>
      </w:rPr>
    </w:lvl>
    <w:lvl w:ilvl="8">
      <w:start w:val="0"/>
      <w:numFmt w:val="bullet"/>
      <w:lvlText w:val="•"/>
      <w:lvlJc w:val="left"/>
      <w:pPr>
        <w:ind w:left="7704" w:hanging="231"/>
      </w:pPr>
      <w:rPr>
        <w:rFonts w:hint="default"/>
      </w:rPr>
    </w:lvl>
  </w:abstractNum>
  <w:abstractNum w:abstractNumId="148">
    <w:multiLevelType w:val="hybridMultilevel"/>
    <w:lvl w:ilvl="0">
      <w:start w:val="1"/>
      <w:numFmt w:val="lowerLetter"/>
      <w:lvlText w:val="%1)"/>
      <w:lvlJc w:val="left"/>
      <w:pPr>
        <w:ind w:left="1068" w:hanging="229"/>
        <w:jc w:val="left"/>
      </w:pPr>
      <w:rPr>
        <w:rFonts w:hint="default" w:ascii="Times New Roman" w:hAnsi="Times New Roman" w:eastAsia="Times New Roman" w:cs="Times New Roman"/>
        <w:w w:val="100"/>
        <w:sz w:val="22"/>
        <w:szCs w:val="22"/>
      </w:rPr>
    </w:lvl>
    <w:lvl w:ilvl="1">
      <w:start w:val="0"/>
      <w:numFmt w:val="bullet"/>
      <w:lvlText w:val="•"/>
      <w:lvlJc w:val="left"/>
      <w:pPr>
        <w:ind w:left="1914" w:hanging="229"/>
      </w:pPr>
      <w:rPr>
        <w:rFonts w:hint="default"/>
      </w:rPr>
    </w:lvl>
    <w:lvl w:ilvl="2">
      <w:start w:val="0"/>
      <w:numFmt w:val="bullet"/>
      <w:lvlText w:val="•"/>
      <w:lvlJc w:val="left"/>
      <w:pPr>
        <w:ind w:left="2768" w:hanging="229"/>
      </w:pPr>
      <w:rPr>
        <w:rFonts w:hint="default"/>
      </w:rPr>
    </w:lvl>
    <w:lvl w:ilvl="3">
      <w:start w:val="0"/>
      <w:numFmt w:val="bullet"/>
      <w:lvlText w:val="•"/>
      <w:lvlJc w:val="left"/>
      <w:pPr>
        <w:ind w:left="3622" w:hanging="229"/>
      </w:pPr>
      <w:rPr>
        <w:rFonts w:hint="default"/>
      </w:rPr>
    </w:lvl>
    <w:lvl w:ilvl="4">
      <w:start w:val="0"/>
      <w:numFmt w:val="bullet"/>
      <w:lvlText w:val="•"/>
      <w:lvlJc w:val="left"/>
      <w:pPr>
        <w:ind w:left="4476" w:hanging="229"/>
      </w:pPr>
      <w:rPr>
        <w:rFonts w:hint="default"/>
      </w:rPr>
    </w:lvl>
    <w:lvl w:ilvl="5">
      <w:start w:val="0"/>
      <w:numFmt w:val="bullet"/>
      <w:lvlText w:val="•"/>
      <w:lvlJc w:val="left"/>
      <w:pPr>
        <w:ind w:left="5330" w:hanging="229"/>
      </w:pPr>
      <w:rPr>
        <w:rFonts w:hint="default"/>
      </w:rPr>
    </w:lvl>
    <w:lvl w:ilvl="6">
      <w:start w:val="0"/>
      <w:numFmt w:val="bullet"/>
      <w:lvlText w:val="•"/>
      <w:lvlJc w:val="left"/>
      <w:pPr>
        <w:ind w:left="6184" w:hanging="229"/>
      </w:pPr>
      <w:rPr>
        <w:rFonts w:hint="default"/>
      </w:rPr>
    </w:lvl>
    <w:lvl w:ilvl="7">
      <w:start w:val="0"/>
      <w:numFmt w:val="bullet"/>
      <w:lvlText w:val="•"/>
      <w:lvlJc w:val="left"/>
      <w:pPr>
        <w:ind w:left="7038" w:hanging="229"/>
      </w:pPr>
      <w:rPr>
        <w:rFonts w:hint="default"/>
      </w:rPr>
    </w:lvl>
    <w:lvl w:ilvl="8">
      <w:start w:val="0"/>
      <w:numFmt w:val="bullet"/>
      <w:lvlText w:val="•"/>
      <w:lvlJc w:val="left"/>
      <w:pPr>
        <w:ind w:left="7892" w:hanging="229"/>
      </w:pPr>
      <w:rPr>
        <w:rFonts w:hint="default"/>
      </w:rPr>
    </w:lvl>
  </w:abstractNum>
  <w:abstractNum w:abstractNumId="147">
    <w:multiLevelType w:val="hybridMultilevel"/>
    <w:lvl w:ilvl="0">
      <w:start w:val="1"/>
      <w:numFmt w:val="decimal"/>
      <w:lvlText w:val="%1."/>
      <w:lvlJc w:val="left"/>
      <w:pPr>
        <w:ind w:left="1061" w:hanging="221"/>
        <w:jc w:val="left"/>
      </w:pPr>
      <w:rPr>
        <w:rFonts w:hint="default" w:ascii="Times New Roman" w:hAnsi="Times New Roman" w:eastAsia="Times New Roman" w:cs="Times New Roman"/>
        <w:w w:val="100"/>
        <w:sz w:val="22"/>
        <w:szCs w:val="22"/>
      </w:rPr>
    </w:lvl>
    <w:lvl w:ilvl="1">
      <w:start w:val="0"/>
      <w:numFmt w:val="bullet"/>
      <w:lvlText w:val="•"/>
      <w:lvlJc w:val="left"/>
      <w:pPr>
        <w:ind w:left="1914" w:hanging="221"/>
      </w:pPr>
      <w:rPr>
        <w:rFonts w:hint="default"/>
      </w:rPr>
    </w:lvl>
    <w:lvl w:ilvl="2">
      <w:start w:val="0"/>
      <w:numFmt w:val="bullet"/>
      <w:lvlText w:val="•"/>
      <w:lvlJc w:val="left"/>
      <w:pPr>
        <w:ind w:left="2768" w:hanging="221"/>
      </w:pPr>
      <w:rPr>
        <w:rFonts w:hint="default"/>
      </w:rPr>
    </w:lvl>
    <w:lvl w:ilvl="3">
      <w:start w:val="0"/>
      <w:numFmt w:val="bullet"/>
      <w:lvlText w:val="•"/>
      <w:lvlJc w:val="left"/>
      <w:pPr>
        <w:ind w:left="3622" w:hanging="221"/>
      </w:pPr>
      <w:rPr>
        <w:rFonts w:hint="default"/>
      </w:rPr>
    </w:lvl>
    <w:lvl w:ilvl="4">
      <w:start w:val="0"/>
      <w:numFmt w:val="bullet"/>
      <w:lvlText w:val="•"/>
      <w:lvlJc w:val="left"/>
      <w:pPr>
        <w:ind w:left="4476" w:hanging="221"/>
      </w:pPr>
      <w:rPr>
        <w:rFonts w:hint="default"/>
      </w:rPr>
    </w:lvl>
    <w:lvl w:ilvl="5">
      <w:start w:val="0"/>
      <w:numFmt w:val="bullet"/>
      <w:lvlText w:val="•"/>
      <w:lvlJc w:val="left"/>
      <w:pPr>
        <w:ind w:left="5330" w:hanging="221"/>
      </w:pPr>
      <w:rPr>
        <w:rFonts w:hint="default"/>
      </w:rPr>
    </w:lvl>
    <w:lvl w:ilvl="6">
      <w:start w:val="0"/>
      <w:numFmt w:val="bullet"/>
      <w:lvlText w:val="•"/>
      <w:lvlJc w:val="left"/>
      <w:pPr>
        <w:ind w:left="6184" w:hanging="221"/>
      </w:pPr>
      <w:rPr>
        <w:rFonts w:hint="default"/>
      </w:rPr>
    </w:lvl>
    <w:lvl w:ilvl="7">
      <w:start w:val="0"/>
      <w:numFmt w:val="bullet"/>
      <w:lvlText w:val="•"/>
      <w:lvlJc w:val="left"/>
      <w:pPr>
        <w:ind w:left="7038" w:hanging="221"/>
      </w:pPr>
      <w:rPr>
        <w:rFonts w:hint="default"/>
      </w:rPr>
    </w:lvl>
    <w:lvl w:ilvl="8">
      <w:start w:val="0"/>
      <w:numFmt w:val="bullet"/>
      <w:lvlText w:val="•"/>
      <w:lvlJc w:val="left"/>
      <w:pPr>
        <w:ind w:left="7892" w:hanging="221"/>
      </w:pPr>
      <w:rPr>
        <w:rFonts w:hint="default"/>
      </w:rPr>
    </w:lvl>
  </w:abstractNum>
  <w:abstractNum w:abstractNumId="146">
    <w:multiLevelType w:val="hybridMultilevel"/>
    <w:lvl w:ilvl="0">
      <w:start w:val="1"/>
      <w:numFmt w:val="decimal"/>
      <w:lvlText w:val="%1."/>
      <w:lvlJc w:val="left"/>
      <w:pPr>
        <w:ind w:left="120" w:hanging="229"/>
        <w:jc w:val="left"/>
      </w:pPr>
      <w:rPr>
        <w:rFonts w:hint="default" w:ascii="Times New Roman" w:hAnsi="Times New Roman" w:eastAsia="Times New Roman" w:cs="Times New Roman"/>
        <w:w w:val="100"/>
        <w:sz w:val="22"/>
        <w:szCs w:val="22"/>
      </w:rPr>
    </w:lvl>
    <w:lvl w:ilvl="1">
      <w:start w:val="0"/>
      <w:numFmt w:val="bullet"/>
      <w:lvlText w:val="•"/>
      <w:lvlJc w:val="left"/>
      <w:pPr>
        <w:ind w:left="1068" w:hanging="229"/>
      </w:pPr>
      <w:rPr>
        <w:rFonts w:hint="default"/>
      </w:rPr>
    </w:lvl>
    <w:lvl w:ilvl="2">
      <w:start w:val="0"/>
      <w:numFmt w:val="bullet"/>
      <w:lvlText w:val="•"/>
      <w:lvlJc w:val="left"/>
      <w:pPr>
        <w:ind w:left="2016" w:hanging="229"/>
      </w:pPr>
      <w:rPr>
        <w:rFonts w:hint="default"/>
      </w:rPr>
    </w:lvl>
    <w:lvl w:ilvl="3">
      <w:start w:val="0"/>
      <w:numFmt w:val="bullet"/>
      <w:lvlText w:val="•"/>
      <w:lvlJc w:val="left"/>
      <w:pPr>
        <w:ind w:left="2964" w:hanging="229"/>
      </w:pPr>
      <w:rPr>
        <w:rFonts w:hint="default"/>
      </w:rPr>
    </w:lvl>
    <w:lvl w:ilvl="4">
      <w:start w:val="0"/>
      <w:numFmt w:val="bullet"/>
      <w:lvlText w:val="•"/>
      <w:lvlJc w:val="left"/>
      <w:pPr>
        <w:ind w:left="3912" w:hanging="229"/>
      </w:pPr>
      <w:rPr>
        <w:rFonts w:hint="default"/>
      </w:rPr>
    </w:lvl>
    <w:lvl w:ilvl="5">
      <w:start w:val="0"/>
      <w:numFmt w:val="bullet"/>
      <w:lvlText w:val="•"/>
      <w:lvlJc w:val="left"/>
      <w:pPr>
        <w:ind w:left="4860" w:hanging="229"/>
      </w:pPr>
      <w:rPr>
        <w:rFonts w:hint="default"/>
      </w:rPr>
    </w:lvl>
    <w:lvl w:ilvl="6">
      <w:start w:val="0"/>
      <w:numFmt w:val="bullet"/>
      <w:lvlText w:val="•"/>
      <w:lvlJc w:val="left"/>
      <w:pPr>
        <w:ind w:left="5808" w:hanging="229"/>
      </w:pPr>
      <w:rPr>
        <w:rFonts w:hint="default"/>
      </w:rPr>
    </w:lvl>
    <w:lvl w:ilvl="7">
      <w:start w:val="0"/>
      <w:numFmt w:val="bullet"/>
      <w:lvlText w:val="•"/>
      <w:lvlJc w:val="left"/>
      <w:pPr>
        <w:ind w:left="6756" w:hanging="229"/>
      </w:pPr>
      <w:rPr>
        <w:rFonts w:hint="default"/>
      </w:rPr>
    </w:lvl>
    <w:lvl w:ilvl="8">
      <w:start w:val="0"/>
      <w:numFmt w:val="bullet"/>
      <w:lvlText w:val="•"/>
      <w:lvlJc w:val="left"/>
      <w:pPr>
        <w:ind w:left="7704" w:hanging="229"/>
      </w:pPr>
      <w:rPr>
        <w:rFonts w:hint="default"/>
      </w:rPr>
    </w:lvl>
  </w:abstractNum>
  <w:abstractNum w:abstractNumId="145">
    <w:multiLevelType w:val="hybridMultilevel"/>
    <w:lvl w:ilvl="0">
      <w:start w:val="1"/>
      <w:numFmt w:val="lowerLetter"/>
      <w:lvlText w:val="%1)"/>
      <w:lvlJc w:val="left"/>
      <w:pPr>
        <w:ind w:left="120" w:hanging="236"/>
        <w:jc w:val="left"/>
      </w:pPr>
      <w:rPr>
        <w:rFonts w:hint="default" w:ascii="Times New Roman" w:hAnsi="Times New Roman" w:eastAsia="Times New Roman" w:cs="Times New Roman"/>
        <w:w w:val="100"/>
        <w:sz w:val="22"/>
        <w:szCs w:val="22"/>
      </w:rPr>
    </w:lvl>
    <w:lvl w:ilvl="1">
      <w:start w:val="0"/>
      <w:numFmt w:val="bullet"/>
      <w:lvlText w:val="•"/>
      <w:lvlJc w:val="left"/>
      <w:pPr>
        <w:ind w:left="1068" w:hanging="236"/>
      </w:pPr>
      <w:rPr>
        <w:rFonts w:hint="default"/>
      </w:rPr>
    </w:lvl>
    <w:lvl w:ilvl="2">
      <w:start w:val="0"/>
      <w:numFmt w:val="bullet"/>
      <w:lvlText w:val="•"/>
      <w:lvlJc w:val="left"/>
      <w:pPr>
        <w:ind w:left="2016" w:hanging="236"/>
      </w:pPr>
      <w:rPr>
        <w:rFonts w:hint="default"/>
      </w:rPr>
    </w:lvl>
    <w:lvl w:ilvl="3">
      <w:start w:val="0"/>
      <w:numFmt w:val="bullet"/>
      <w:lvlText w:val="•"/>
      <w:lvlJc w:val="left"/>
      <w:pPr>
        <w:ind w:left="2964" w:hanging="236"/>
      </w:pPr>
      <w:rPr>
        <w:rFonts w:hint="default"/>
      </w:rPr>
    </w:lvl>
    <w:lvl w:ilvl="4">
      <w:start w:val="0"/>
      <w:numFmt w:val="bullet"/>
      <w:lvlText w:val="•"/>
      <w:lvlJc w:val="left"/>
      <w:pPr>
        <w:ind w:left="3912" w:hanging="236"/>
      </w:pPr>
      <w:rPr>
        <w:rFonts w:hint="default"/>
      </w:rPr>
    </w:lvl>
    <w:lvl w:ilvl="5">
      <w:start w:val="0"/>
      <w:numFmt w:val="bullet"/>
      <w:lvlText w:val="•"/>
      <w:lvlJc w:val="left"/>
      <w:pPr>
        <w:ind w:left="4860" w:hanging="236"/>
      </w:pPr>
      <w:rPr>
        <w:rFonts w:hint="default"/>
      </w:rPr>
    </w:lvl>
    <w:lvl w:ilvl="6">
      <w:start w:val="0"/>
      <w:numFmt w:val="bullet"/>
      <w:lvlText w:val="•"/>
      <w:lvlJc w:val="left"/>
      <w:pPr>
        <w:ind w:left="5808" w:hanging="236"/>
      </w:pPr>
      <w:rPr>
        <w:rFonts w:hint="default"/>
      </w:rPr>
    </w:lvl>
    <w:lvl w:ilvl="7">
      <w:start w:val="0"/>
      <w:numFmt w:val="bullet"/>
      <w:lvlText w:val="•"/>
      <w:lvlJc w:val="left"/>
      <w:pPr>
        <w:ind w:left="6756" w:hanging="236"/>
      </w:pPr>
      <w:rPr>
        <w:rFonts w:hint="default"/>
      </w:rPr>
    </w:lvl>
    <w:lvl w:ilvl="8">
      <w:start w:val="0"/>
      <w:numFmt w:val="bullet"/>
      <w:lvlText w:val="•"/>
      <w:lvlJc w:val="left"/>
      <w:pPr>
        <w:ind w:left="7704" w:hanging="236"/>
      </w:pPr>
      <w:rPr>
        <w:rFonts w:hint="default"/>
      </w:rPr>
    </w:lvl>
  </w:abstractNum>
  <w:abstractNum w:abstractNumId="144">
    <w:multiLevelType w:val="hybridMultilevel"/>
    <w:lvl w:ilvl="0">
      <w:start w:val="1"/>
      <w:numFmt w:val="lowerLetter"/>
      <w:lvlText w:val="%1)"/>
      <w:lvlJc w:val="left"/>
      <w:pPr>
        <w:ind w:left="120" w:hanging="255"/>
        <w:jc w:val="left"/>
      </w:pPr>
      <w:rPr>
        <w:rFonts w:hint="default" w:ascii="Times New Roman" w:hAnsi="Times New Roman" w:eastAsia="Times New Roman" w:cs="Times New Roman"/>
        <w:w w:val="100"/>
        <w:sz w:val="22"/>
        <w:szCs w:val="22"/>
      </w:rPr>
    </w:lvl>
    <w:lvl w:ilvl="1">
      <w:start w:val="0"/>
      <w:numFmt w:val="bullet"/>
      <w:lvlText w:val="•"/>
      <w:lvlJc w:val="left"/>
      <w:pPr>
        <w:ind w:left="1068" w:hanging="255"/>
      </w:pPr>
      <w:rPr>
        <w:rFonts w:hint="default"/>
      </w:rPr>
    </w:lvl>
    <w:lvl w:ilvl="2">
      <w:start w:val="0"/>
      <w:numFmt w:val="bullet"/>
      <w:lvlText w:val="•"/>
      <w:lvlJc w:val="left"/>
      <w:pPr>
        <w:ind w:left="2016" w:hanging="255"/>
      </w:pPr>
      <w:rPr>
        <w:rFonts w:hint="default"/>
      </w:rPr>
    </w:lvl>
    <w:lvl w:ilvl="3">
      <w:start w:val="0"/>
      <w:numFmt w:val="bullet"/>
      <w:lvlText w:val="•"/>
      <w:lvlJc w:val="left"/>
      <w:pPr>
        <w:ind w:left="2964" w:hanging="255"/>
      </w:pPr>
      <w:rPr>
        <w:rFonts w:hint="default"/>
      </w:rPr>
    </w:lvl>
    <w:lvl w:ilvl="4">
      <w:start w:val="0"/>
      <w:numFmt w:val="bullet"/>
      <w:lvlText w:val="•"/>
      <w:lvlJc w:val="left"/>
      <w:pPr>
        <w:ind w:left="3912" w:hanging="255"/>
      </w:pPr>
      <w:rPr>
        <w:rFonts w:hint="default"/>
      </w:rPr>
    </w:lvl>
    <w:lvl w:ilvl="5">
      <w:start w:val="0"/>
      <w:numFmt w:val="bullet"/>
      <w:lvlText w:val="•"/>
      <w:lvlJc w:val="left"/>
      <w:pPr>
        <w:ind w:left="4860" w:hanging="255"/>
      </w:pPr>
      <w:rPr>
        <w:rFonts w:hint="default"/>
      </w:rPr>
    </w:lvl>
    <w:lvl w:ilvl="6">
      <w:start w:val="0"/>
      <w:numFmt w:val="bullet"/>
      <w:lvlText w:val="•"/>
      <w:lvlJc w:val="left"/>
      <w:pPr>
        <w:ind w:left="5808" w:hanging="255"/>
      </w:pPr>
      <w:rPr>
        <w:rFonts w:hint="default"/>
      </w:rPr>
    </w:lvl>
    <w:lvl w:ilvl="7">
      <w:start w:val="0"/>
      <w:numFmt w:val="bullet"/>
      <w:lvlText w:val="•"/>
      <w:lvlJc w:val="left"/>
      <w:pPr>
        <w:ind w:left="6756" w:hanging="255"/>
      </w:pPr>
      <w:rPr>
        <w:rFonts w:hint="default"/>
      </w:rPr>
    </w:lvl>
    <w:lvl w:ilvl="8">
      <w:start w:val="0"/>
      <w:numFmt w:val="bullet"/>
      <w:lvlText w:val="•"/>
      <w:lvlJc w:val="left"/>
      <w:pPr>
        <w:ind w:left="7704" w:hanging="255"/>
      </w:pPr>
      <w:rPr>
        <w:rFonts w:hint="default"/>
      </w:rPr>
    </w:lvl>
  </w:abstractNum>
  <w:abstractNum w:abstractNumId="143">
    <w:multiLevelType w:val="hybridMultilevel"/>
    <w:lvl w:ilvl="0">
      <w:start w:val="1"/>
      <w:numFmt w:val="decimal"/>
      <w:lvlText w:val="%1."/>
      <w:lvlJc w:val="left"/>
      <w:pPr>
        <w:ind w:left="1060" w:hanging="221"/>
        <w:jc w:val="left"/>
      </w:pPr>
      <w:rPr>
        <w:rFonts w:hint="default" w:ascii="Times New Roman" w:hAnsi="Times New Roman" w:eastAsia="Times New Roman" w:cs="Times New Roman"/>
        <w:w w:val="100"/>
        <w:sz w:val="22"/>
        <w:szCs w:val="22"/>
      </w:rPr>
    </w:lvl>
    <w:lvl w:ilvl="1">
      <w:start w:val="0"/>
      <w:numFmt w:val="bullet"/>
      <w:lvlText w:val="•"/>
      <w:lvlJc w:val="left"/>
      <w:pPr>
        <w:ind w:left="1914" w:hanging="221"/>
      </w:pPr>
      <w:rPr>
        <w:rFonts w:hint="default"/>
      </w:rPr>
    </w:lvl>
    <w:lvl w:ilvl="2">
      <w:start w:val="0"/>
      <w:numFmt w:val="bullet"/>
      <w:lvlText w:val="•"/>
      <w:lvlJc w:val="left"/>
      <w:pPr>
        <w:ind w:left="2768" w:hanging="221"/>
      </w:pPr>
      <w:rPr>
        <w:rFonts w:hint="default"/>
      </w:rPr>
    </w:lvl>
    <w:lvl w:ilvl="3">
      <w:start w:val="0"/>
      <w:numFmt w:val="bullet"/>
      <w:lvlText w:val="•"/>
      <w:lvlJc w:val="left"/>
      <w:pPr>
        <w:ind w:left="3622" w:hanging="221"/>
      </w:pPr>
      <w:rPr>
        <w:rFonts w:hint="default"/>
      </w:rPr>
    </w:lvl>
    <w:lvl w:ilvl="4">
      <w:start w:val="0"/>
      <w:numFmt w:val="bullet"/>
      <w:lvlText w:val="•"/>
      <w:lvlJc w:val="left"/>
      <w:pPr>
        <w:ind w:left="4476" w:hanging="221"/>
      </w:pPr>
      <w:rPr>
        <w:rFonts w:hint="default"/>
      </w:rPr>
    </w:lvl>
    <w:lvl w:ilvl="5">
      <w:start w:val="0"/>
      <w:numFmt w:val="bullet"/>
      <w:lvlText w:val="•"/>
      <w:lvlJc w:val="left"/>
      <w:pPr>
        <w:ind w:left="5330" w:hanging="221"/>
      </w:pPr>
      <w:rPr>
        <w:rFonts w:hint="default"/>
      </w:rPr>
    </w:lvl>
    <w:lvl w:ilvl="6">
      <w:start w:val="0"/>
      <w:numFmt w:val="bullet"/>
      <w:lvlText w:val="•"/>
      <w:lvlJc w:val="left"/>
      <w:pPr>
        <w:ind w:left="6184" w:hanging="221"/>
      </w:pPr>
      <w:rPr>
        <w:rFonts w:hint="default"/>
      </w:rPr>
    </w:lvl>
    <w:lvl w:ilvl="7">
      <w:start w:val="0"/>
      <w:numFmt w:val="bullet"/>
      <w:lvlText w:val="•"/>
      <w:lvlJc w:val="left"/>
      <w:pPr>
        <w:ind w:left="7038" w:hanging="221"/>
      </w:pPr>
      <w:rPr>
        <w:rFonts w:hint="default"/>
      </w:rPr>
    </w:lvl>
    <w:lvl w:ilvl="8">
      <w:start w:val="0"/>
      <w:numFmt w:val="bullet"/>
      <w:lvlText w:val="•"/>
      <w:lvlJc w:val="left"/>
      <w:pPr>
        <w:ind w:left="7892" w:hanging="221"/>
      </w:pPr>
      <w:rPr>
        <w:rFonts w:hint="default"/>
      </w:rPr>
    </w:lvl>
  </w:abstractNum>
  <w:abstractNum w:abstractNumId="142">
    <w:multiLevelType w:val="hybridMultilevel"/>
    <w:lvl w:ilvl="0">
      <w:start w:val="1"/>
      <w:numFmt w:val="lowerLetter"/>
      <w:lvlText w:val="%1)"/>
      <w:lvlJc w:val="left"/>
      <w:pPr>
        <w:ind w:left="120" w:hanging="325"/>
        <w:jc w:val="left"/>
      </w:pPr>
      <w:rPr>
        <w:rFonts w:hint="default" w:ascii="Times New Roman" w:hAnsi="Times New Roman" w:eastAsia="Times New Roman" w:cs="Times New Roman"/>
        <w:w w:val="100"/>
        <w:sz w:val="22"/>
        <w:szCs w:val="22"/>
      </w:rPr>
    </w:lvl>
    <w:lvl w:ilvl="1">
      <w:start w:val="0"/>
      <w:numFmt w:val="bullet"/>
      <w:lvlText w:val="•"/>
      <w:lvlJc w:val="left"/>
      <w:pPr>
        <w:ind w:left="1068" w:hanging="325"/>
      </w:pPr>
      <w:rPr>
        <w:rFonts w:hint="default"/>
      </w:rPr>
    </w:lvl>
    <w:lvl w:ilvl="2">
      <w:start w:val="0"/>
      <w:numFmt w:val="bullet"/>
      <w:lvlText w:val="•"/>
      <w:lvlJc w:val="left"/>
      <w:pPr>
        <w:ind w:left="2016" w:hanging="325"/>
      </w:pPr>
      <w:rPr>
        <w:rFonts w:hint="default"/>
      </w:rPr>
    </w:lvl>
    <w:lvl w:ilvl="3">
      <w:start w:val="0"/>
      <w:numFmt w:val="bullet"/>
      <w:lvlText w:val="•"/>
      <w:lvlJc w:val="left"/>
      <w:pPr>
        <w:ind w:left="2964" w:hanging="325"/>
      </w:pPr>
      <w:rPr>
        <w:rFonts w:hint="default"/>
      </w:rPr>
    </w:lvl>
    <w:lvl w:ilvl="4">
      <w:start w:val="0"/>
      <w:numFmt w:val="bullet"/>
      <w:lvlText w:val="•"/>
      <w:lvlJc w:val="left"/>
      <w:pPr>
        <w:ind w:left="3912" w:hanging="325"/>
      </w:pPr>
      <w:rPr>
        <w:rFonts w:hint="default"/>
      </w:rPr>
    </w:lvl>
    <w:lvl w:ilvl="5">
      <w:start w:val="0"/>
      <w:numFmt w:val="bullet"/>
      <w:lvlText w:val="•"/>
      <w:lvlJc w:val="left"/>
      <w:pPr>
        <w:ind w:left="4860" w:hanging="325"/>
      </w:pPr>
      <w:rPr>
        <w:rFonts w:hint="default"/>
      </w:rPr>
    </w:lvl>
    <w:lvl w:ilvl="6">
      <w:start w:val="0"/>
      <w:numFmt w:val="bullet"/>
      <w:lvlText w:val="•"/>
      <w:lvlJc w:val="left"/>
      <w:pPr>
        <w:ind w:left="5808" w:hanging="325"/>
      </w:pPr>
      <w:rPr>
        <w:rFonts w:hint="default"/>
      </w:rPr>
    </w:lvl>
    <w:lvl w:ilvl="7">
      <w:start w:val="0"/>
      <w:numFmt w:val="bullet"/>
      <w:lvlText w:val="•"/>
      <w:lvlJc w:val="left"/>
      <w:pPr>
        <w:ind w:left="6756" w:hanging="325"/>
      </w:pPr>
      <w:rPr>
        <w:rFonts w:hint="default"/>
      </w:rPr>
    </w:lvl>
    <w:lvl w:ilvl="8">
      <w:start w:val="0"/>
      <w:numFmt w:val="bullet"/>
      <w:lvlText w:val="•"/>
      <w:lvlJc w:val="left"/>
      <w:pPr>
        <w:ind w:left="7704" w:hanging="325"/>
      </w:pPr>
      <w:rPr>
        <w:rFonts w:hint="default"/>
      </w:rPr>
    </w:lvl>
  </w:abstractNum>
  <w:abstractNum w:abstractNumId="141">
    <w:multiLevelType w:val="hybridMultilevel"/>
    <w:lvl w:ilvl="0">
      <w:start w:val="1"/>
      <w:numFmt w:val="decimal"/>
      <w:lvlText w:val="%1."/>
      <w:lvlJc w:val="left"/>
      <w:pPr>
        <w:ind w:left="120" w:hanging="252"/>
        <w:jc w:val="left"/>
      </w:pPr>
      <w:rPr>
        <w:rFonts w:hint="default" w:ascii="Times New Roman" w:hAnsi="Times New Roman" w:eastAsia="Times New Roman" w:cs="Times New Roman"/>
        <w:w w:val="100"/>
        <w:sz w:val="22"/>
        <w:szCs w:val="22"/>
      </w:rPr>
    </w:lvl>
    <w:lvl w:ilvl="1">
      <w:start w:val="0"/>
      <w:numFmt w:val="bullet"/>
      <w:lvlText w:val="•"/>
      <w:lvlJc w:val="left"/>
      <w:pPr>
        <w:ind w:left="1068" w:hanging="252"/>
      </w:pPr>
      <w:rPr>
        <w:rFonts w:hint="default"/>
      </w:rPr>
    </w:lvl>
    <w:lvl w:ilvl="2">
      <w:start w:val="0"/>
      <w:numFmt w:val="bullet"/>
      <w:lvlText w:val="•"/>
      <w:lvlJc w:val="left"/>
      <w:pPr>
        <w:ind w:left="2016" w:hanging="252"/>
      </w:pPr>
      <w:rPr>
        <w:rFonts w:hint="default"/>
      </w:rPr>
    </w:lvl>
    <w:lvl w:ilvl="3">
      <w:start w:val="0"/>
      <w:numFmt w:val="bullet"/>
      <w:lvlText w:val="•"/>
      <w:lvlJc w:val="left"/>
      <w:pPr>
        <w:ind w:left="2964" w:hanging="252"/>
      </w:pPr>
      <w:rPr>
        <w:rFonts w:hint="default"/>
      </w:rPr>
    </w:lvl>
    <w:lvl w:ilvl="4">
      <w:start w:val="0"/>
      <w:numFmt w:val="bullet"/>
      <w:lvlText w:val="•"/>
      <w:lvlJc w:val="left"/>
      <w:pPr>
        <w:ind w:left="3912" w:hanging="252"/>
      </w:pPr>
      <w:rPr>
        <w:rFonts w:hint="default"/>
      </w:rPr>
    </w:lvl>
    <w:lvl w:ilvl="5">
      <w:start w:val="0"/>
      <w:numFmt w:val="bullet"/>
      <w:lvlText w:val="•"/>
      <w:lvlJc w:val="left"/>
      <w:pPr>
        <w:ind w:left="4860" w:hanging="252"/>
      </w:pPr>
      <w:rPr>
        <w:rFonts w:hint="default"/>
      </w:rPr>
    </w:lvl>
    <w:lvl w:ilvl="6">
      <w:start w:val="0"/>
      <w:numFmt w:val="bullet"/>
      <w:lvlText w:val="•"/>
      <w:lvlJc w:val="left"/>
      <w:pPr>
        <w:ind w:left="5808" w:hanging="252"/>
      </w:pPr>
      <w:rPr>
        <w:rFonts w:hint="default"/>
      </w:rPr>
    </w:lvl>
    <w:lvl w:ilvl="7">
      <w:start w:val="0"/>
      <w:numFmt w:val="bullet"/>
      <w:lvlText w:val="•"/>
      <w:lvlJc w:val="left"/>
      <w:pPr>
        <w:ind w:left="6756" w:hanging="252"/>
      </w:pPr>
      <w:rPr>
        <w:rFonts w:hint="default"/>
      </w:rPr>
    </w:lvl>
    <w:lvl w:ilvl="8">
      <w:start w:val="0"/>
      <w:numFmt w:val="bullet"/>
      <w:lvlText w:val="•"/>
      <w:lvlJc w:val="left"/>
      <w:pPr>
        <w:ind w:left="7704" w:hanging="252"/>
      </w:pPr>
      <w:rPr>
        <w:rFonts w:hint="default"/>
      </w:rPr>
    </w:lvl>
  </w:abstractNum>
  <w:abstractNum w:abstractNumId="140">
    <w:multiLevelType w:val="hybridMultilevel"/>
    <w:lvl w:ilvl="0">
      <w:start w:val="1"/>
      <w:numFmt w:val="lowerLetter"/>
      <w:lvlText w:val="%1)"/>
      <w:lvlJc w:val="left"/>
      <w:pPr>
        <w:ind w:left="120" w:hanging="245"/>
        <w:jc w:val="right"/>
      </w:pPr>
      <w:rPr>
        <w:rFonts w:hint="default" w:ascii="Times New Roman" w:hAnsi="Times New Roman" w:eastAsia="Times New Roman" w:cs="Times New Roman"/>
        <w:w w:val="100"/>
        <w:sz w:val="22"/>
        <w:szCs w:val="22"/>
      </w:rPr>
    </w:lvl>
    <w:lvl w:ilvl="1">
      <w:start w:val="0"/>
      <w:numFmt w:val="bullet"/>
      <w:lvlText w:val="•"/>
      <w:lvlJc w:val="left"/>
      <w:pPr>
        <w:ind w:left="1068" w:hanging="245"/>
      </w:pPr>
      <w:rPr>
        <w:rFonts w:hint="default"/>
      </w:rPr>
    </w:lvl>
    <w:lvl w:ilvl="2">
      <w:start w:val="0"/>
      <w:numFmt w:val="bullet"/>
      <w:lvlText w:val="•"/>
      <w:lvlJc w:val="left"/>
      <w:pPr>
        <w:ind w:left="2016" w:hanging="245"/>
      </w:pPr>
      <w:rPr>
        <w:rFonts w:hint="default"/>
      </w:rPr>
    </w:lvl>
    <w:lvl w:ilvl="3">
      <w:start w:val="0"/>
      <w:numFmt w:val="bullet"/>
      <w:lvlText w:val="•"/>
      <w:lvlJc w:val="left"/>
      <w:pPr>
        <w:ind w:left="2964" w:hanging="245"/>
      </w:pPr>
      <w:rPr>
        <w:rFonts w:hint="default"/>
      </w:rPr>
    </w:lvl>
    <w:lvl w:ilvl="4">
      <w:start w:val="0"/>
      <w:numFmt w:val="bullet"/>
      <w:lvlText w:val="•"/>
      <w:lvlJc w:val="left"/>
      <w:pPr>
        <w:ind w:left="3912" w:hanging="245"/>
      </w:pPr>
      <w:rPr>
        <w:rFonts w:hint="default"/>
      </w:rPr>
    </w:lvl>
    <w:lvl w:ilvl="5">
      <w:start w:val="0"/>
      <w:numFmt w:val="bullet"/>
      <w:lvlText w:val="•"/>
      <w:lvlJc w:val="left"/>
      <w:pPr>
        <w:ind w:left="4860" w:hanging="245"/>
      </w:pPr>
      <w:rPr>
        <w:rFonts w:hint="default"/>
      </w:rPr>
    </w:lvl>
    <w:lvl w:ilvl="6">
      <w:start w:val="0"/>
      <w:numFmt w:val="bullet"/>
      <w:lvlText w:val="•"/>
      <w:lvlJc w:val="left"/>
      <w:pPr>
        <w:ind w:left="5808" w:hanging="245"/>
      </w:pPr>
      <w:rPr>
        <w:rFonts w:hint="default"/>
      </w:rPr>
    </w:lvl>
    <w:lvl w:ilvl="7">
      <w:start w:val="0"/>
      <w:numFmt w:val="bullet"/>
      <w:lvlText w:val="•"/>
      <w:lvlJc w:val="left"/>
      <w:pPr>
        <w:ind w:left="6756" w:hanging="245"/>
      </w:pPr>
      <w:rPr>
        <w:rFonts w:hint="default"/>
      </w:rPr>
    </w:lvl>
    <w:lvl w:ilvl="8">
      <w:start w:val="0"/>
      <w:numFmt w:val="bullet"/>
      <w:lvlText w:val="•"/>
      <w:lvlJc w:val="left"/>
      <w:pPr>
        <w:ind w:left="7704" w:hanging="245"/>
      </w:pPr>
      <w:rPr>
        <w:rFonts w:hint="default"/>
      </w:rPr>
    </w:lvl>
  </w:abstractNum>
  <w:abstractNum w:abstractNumId="139">
    <w:multiLevelType w:val="hybridMultilevel"/>
    <w:lvl w:ilvl="0">
      <w:start w:val="1"/>
      <w:numFmt w:val="lowerLetter"/>
      <w:lvlText w:val="%1)"/>
      <w:lvlJc w:val="left"/>
      <w:pPr>
        <w:ind w:left="120" w:hanging="233"/>
        <w:jc w:val="left"/>
      </w:pPr>
      <w:rPr>
        <w:rFonts w:hint="default" w:ascii="Times New Roman" w:hAnsi="Times New Roman" w:eastAsia="Times New Roman" w:cs="Times New Roman"/>
        <w:w w:val="100"/>
        <w:sz w:val="22"/>
        <w:szCs w:val="22"/>
      </w:rPr>
    </w:lvl>
    <w:lvl w:ilvl="1">
      <w:start w:val="0"/>
      <w:numFmt w:val="bullet"/>
      <w:lvlText w:val="•"/>
      <w:lvlJc w:val="left"/>
      <w:pPr>
        <w:ind w:left="1068" w:hanging="233"/>
      </w:pPr>
      <w:rPr>
        <w:rFonts w:hint="default"/>
      </w:rPr>
    </w:lvl>
    <w:lvl w:ilvl="2">
      <w:start w:val="0"/>
      <w:numFmt w:val="bullet"/>
      <w:lvlText w:val="•"/>
      <w:lvlJc w:val="left"/>
      <w:pPr>
        <w:ind w:left="2016" w:hanging="233"/>
      </w:pPr>
      <w:rPr>
        <w:rFonts w:hint="default"/>
      </w:rPr>
    </w:lvl>
    <w:lvl w:ilvl="3">
      <w:start w:val="0"/>
      <w:numFmt w:val="bullet"/>
      <w:lvlText w:val="•"/>
      <w:lvlJc w:val="left"/>
      <w:pPr>
        <w:ind w:left="2964" w:hanging="233"/>
      </w:pPr>
      <w:rPr>
        <w:rFonts w:hint="default"/>
      </w:rPr>
    </w:lvl>
    <w:lvl w:ilvl="4">
      <w:start w:val="0"/>
      <w:numFmt w:val="bullet"/>
      <w:lvlText w:val="•"/>
      <w:lvlJc w:val="left"/>
      <w:pPr>
        <w:ind w:left="3912" w:hanging="233"/>
      </w:pPr>
      <w:rPr>
        <w:rFonts w:hint="default"/>
      </w:rPr>
    </w:lvl>
    <w:lvl w:ilvl="5">
      <w:start w:val="0"/>
      <w:numFmt w:val="bullet"/>
      <w:lvlText w:val="•"/>
      <w:lvlJc w:val="left"/>
      <w:pPr>
        <w:ind w:left="4860" w:hanging="233"/>
      </w:pPr>
      <w:rPr>
        <w:rFonts w:hint="default"/>
      </w:rPr>
    </w:lvl>
    <w:lvl w:ilvl="6">
      <w:start w:val="0"/>
      <w:numFmt w:val="bullet"/>
      <w:lvlText w:val="•"/>
      <w:lvlJc w:val="left"/>
      <w:pPr>
        <w:ind w:left="5808" w:hanging="233"/>
      </w:pPr>
      <w:rPr>
        <w:rFonts w:hint="default"/>
      </w:rPr>
    </w:lvl>
    <w:lvl w:ilvl="7">
      <w:start w:val="0"/>
      <w:numFmt w:val="bullet"/>
      <w:lvlText w:val="•"/>
      <w:lvlJc w:val="left"/>
      <w:pPr>
        <w:ind w:left="6756" w:hanging="233"/>
      </w:pPr>
      <w:rPr>
        <w:rFonts w:hint="default"/>
      </w:rPr>
    </w:lvl>
    <w:lvl w:ilvl="8">
      <w:start w:val="0"/>
      <w:numFmt w:val="bullet"/>
      <w:lvlText w:val="•"/>
      <w:lvlJc w:val="left"/>
      <w:pPr>
        <w:ind w:left="7704" w:hanging="233"/>
      </w:pPr>
      <w:rPr>
        <w:rFonts w:hint="default"/>
      </w:rPr>
    </w:lvl>
  </w:abstractNum>
  <w:abstractNum w:abstractNumId="138">
    <w:multiLevelType w:val="hybridMultilevel"/>
    <w:lvl w:ilvl="0">
      <w:start w:val="1"/>
      <w:numFmt w:val="decimal"/>
      <w:lvlText w:val="%1."/>
      <w:lvlJc w:val="left"/>
      <w:pPr>
        <w:ind w:left="120" w:hanging="262"/>
        <w:jc w:val="right"/>
      </w:pPr>
      <w:rPr>
        <w:rFonts w:hint="default" w:ascii="Times New Roman" w:hAnsi="Times New Roman" w:eastAsia="Times New Roman" w:cs="Times New Roman"/>
        <w:w w:val="100"/>
        <w:sz w:val="22"/>
        <w:szCs w:val="22"/>
      </w:rPr>
    </w:lvl>
    <w:lvl w:ilvl="1">
      <w:start w:val="0"/>
      <w:numFmt w:val="bullet"/>
      <w:lvlText w:val="•"/>
      <w:lvlJc w:val="left"/>
      <w:pPr>
        <w:ind w:left="1068" w:hanging="262"/>
      </w:pPr>
      <w:rPr>
        <w:rFonts w:hint="default"/>
      </w:rPr>
    </w:lvl>
    <w:lvl w:ilvl="2">
      <w:start w:val="0"/>
      <w:numFmt w:val="bullet"/>
      <w:lvlText w:val="•"/>
      <w:lvlJc w:val="left"/>
      <w:pPr>
        <w:ind w:left="2016" w:hanging="262"/>
      </w:pPr>
      <w:rPr>
        <w:rFonts w:hint="default"/>
      </w:rPr>
    </w:lvl>
    <w:lvl w:ilvl="3">
      <w:start w:val="0"/>
      <w:numFmt w:val="bullet"/>
      <w:lvlText w:val="•"/>
      <w:lvlJc w:val="left"/>
      <w:pPr>
        <w:ind w:left="2964" w:hanging="262"/>
      </w:pPr>
      <w:rPr>
        <w:rFonts w:hint="default"/>
      </w:rPr>
    </w:lvl>
    <w:lvl w:ilvl="4">
      <w:start w:val="0"/>
      <w:numFmt w:val="bullet"/>
      <w:lvlText w:val="•"/>
      <w:lvlJc w:val="left"/>
      <w:pPr>
        <w:ind w:left="3912" w:hanging="262"/>
      </w:pPr>
      <w:rPr>
        <w:rFonts w:hint="default"/>
      </w:rPr>
    </w:lvl>
    <w:lvl w:ilvl="5">
      <w:start w:val="0"/>
      <w:numFmt w:val="bullet"/>
      <w:lvlText w:val="•"/>
      <w:lvlJc w:val="left"/>
      <w:pPr>
        <w:ind w:left="4860" w:hanging="262"/>
      </w:pPr>
      <w:rPr>
        <w:rFonts w:hint="default"/>
      </w:rPr>
    </w:lvl>
    <w:lvl w:ilvl="6">
      <w:start w:val="0"/>
      <w:numFmt w:val="bullet"/>
      <w:lvlText w:val="•"/>
      <w:lvlJc w:val="left"/>
      <w:pPr>
        <w:ind w:left="5808" w:hanging="262"/>
      </w:pPr>
      <w:rPr>
        <w:rFonts w:hint="default"/>
      </w:rPr>
    </w:lvl>
    <w:lvl w:ilvl="7">
      <w:start w:val="0"/>
      <w:numFmt w:val="bullet"/>
      <w:lvlText w:val="•"/>
      <w:lvlJc w:val="left"/>
      <w:pPr>
        <w:ind w:left="6756" w:hanging="262"/>
      </w:pPr>
      <w:rPr>
        <w:rFonts w:hint="default"/>
      </w:rPr>
    </w:lvl>
    <w:lvl w:ilvl="8">
      <w:start w:val="0"/>
      <w:numFmt w:val="bullet"/>
      <w:lvlText w:val="•"/>
      <w:lvlJc w:val="left"/>
      <w:pPr>
        <w:ind w:left="7704" w:hanging="262"/>
      </w:pPr>
      <w:rPr>
        <w:rFonts w:hint="default"/>
      </w:rPr>
    </w:lvl>
  </w:abstractNum>
  <w:abstractNum w:abstractNumId="137">
    <w:multiLevelType w:val="hybridMultilevel"/>
    <w:lvl w:ilvl="0">
      <w:start w:val="1"/>
      <w:numFmt w:val="lowerLetter"/>
      <w:lvlText w:val="%1)"/>
      <w:lvlJc w:val="left"/>
      <w:pPr>
        <w:ind w:left="348" w:hanging="229"/>
        <w:jc w:val="left"/>
      </w:pPr>
      <w:rPr>
        <w:rFonts w:hint="default" w:ascii="Times New Roman" w:hAnsi="Times New Roman" w:eastAsia="Times New Roman" w:cs="Times New Roman"/>
        <w:w w:val="100"/>
        <w:sz w:val="22"/>
        <w:szCs w:val="22"/>
      </w:rPr>
    </w:lvl>
    <w:lvl w:ilvl="1">
      <w:start w:val="0"/>
      <w:numFmt w:val="bullet"/>
      <w:lvlText w:val="•"/>
      <w:lvlJc w:val="left"/>
      <w:pPr>
        <w:ind w:left="1194" w:hanging="229"/>
      </w:pPr>
      <w:rPr>
        <w:rFonts w:hint="default"/>
      </w:rPr>
    </w:lvl>
    <w:lvl w:ilvl="2">
      <w:start w:val="0"/>
      <w:numFmt w:val="bullet"/>
      <w:lvlText w:val="•"/>
      <w:lvlJc w:val="left"/>
      <w:pPr>
        <w:ind w:left="2048" w:hanging="229"/>
      </w:pPr>
      <w:rPr>
        <w:rFonts w:hint="default"/>
      </w:rPr>
    </w:lvl>
    <w:lvl w:ilvl="3">
      <w:start w:val="0"/>
      <w:numFmt w:val="bullet"/>
      <w:lvlText w:val="•"/>
      <w:lvlJc w:val="left"/>
      <w:pPr>
        <w:ind w:left="2902" w:hanging="229"/>
      </w:pPr>
      <w:rPr>
        <w:rFonts w:hint="default"/>
      </w:rPr>
    </w:lvl>
    <w:lvl w:ilvl="4">
      <w:start w:val="0"/>
      <w:numFmt w:val="bullet"/>
      <w:lvlText w:val="•"/>
      <w:lvlJc w:val="left"/>
      <w:pPr>
        <w:ind w:left="3755" w:hanging="229"/>
      </w:pPr>
      <w:rPr>
        <w:rFonts w:hint="default"/>
      </w:rPr>
    </w:lvl>
    <w:lvl w:ilvl="5">
      <w:start w:val="0"/>
      <w:numFmt w:val="bullet"/>
      <w:lvlText w:val="•"/>
      <w:lvlJc w:val="left"/>
      <w:pPr>
        <w:ind w:left="4609" w:hanging="229"/>
      </w:pPr>
      <w:rPr>
        <w:rFonts w:hint="default"/>
      </w:rPr>
    </w:lvl>
    <w:lvl w:ilvl="6">
      <w:start w:val="0"/>
      <w:numFmt w:val="bullet"/>
      <w:lvlText w:val="•"/>
      <w:lvlJc w:val="left"/>
      <w:pPr>
        <w:ind w:left="5463" w:hanging="229"/>
      </w:pPr>
      <w:rPr>
        <w:rFonts w:hint="default"/>
      </w:rPr>
    </w:lvl>
    <w:lvl w:ilvl="7">
      <w:start w:val="0"/>
      <w:numFmt w:val="bullet"/>
      <w:lvlText w:val="•"/>
      <w:lvlJc w:val="left"/>
      <w:pPr>
        <w:ind w:left="6317" w:hanging="229"/>
      </w:pPr>
      <w:rPr>
        <w:rFonts w:hint="default"/>
      </w:rPr>
    </w:lvl>
    <w:lvl w:ilvl="8">
      <w:start w:val="0"/>
      <w:numFmt w:val="bullet"/>
      <w:lvlText w:val="•"/>
      <w:lvlJc w:val="left"/>
      <w:pPr>
        <w:ind w:left="7171" w:hanging="229"/>
      </w:pPr>
      <w:rPr>
        <w:rFonts w:hint="default"/>
      </w:rPr>
    </w:lvl>
  </w:abstractNum>
  <w:abstractNum w:abstractNumId="136">
    <w:multiLevelType w:val="hybridMultilevel"/>
    <w:lvl w:ilvl="0">
      <w:start w:val="1"/>
      <w:numFmt w:val="decimal"/>
      <w:lvlText w:val="%1."/>
      <w:lvlJc w:val="left"/>
      <w:pPr>
        <w:ind w:left="341" w:hanging="221"/>
        <w:jc w:val="right"/>
      </w:pPr>
      <w:rPr>
        <w:rFonts w:hint="default" w:ascii="Times New Roman" w:hAnsi="Times New Roman" w:eastAsia="Times New Roman" w:cs="Times New Roman"/>
        <w:w w:val="100"/>
        <w:sz w:val="22"/>
        <w:szCs w:val="22"/>
      </w:rPr>
    </w:lvl>
    <w:lvl w:ilvl="1">
      <w:start w:val="0"/>
      <w:numFmt w:val="bullet"/>
      <w:lvlText w:val="•"/>
      <w:lvlJc w:val="left"/>
      <w:pPr>
        <w:ind w:left="1194" w:hanging="221"/>
      </w:pPr>
      <w:rPr>
        <w:rFonts w:hint="default"/>
      </w:rPr>
    </w:lvl>
    <w:lvl w:ilvl="2">
      <w:start w:val="0"/>
      <w:numFmt w:val="bullet"/>
      <w:lvlText w:val="•"/>
      <w:lvlJc w:val="left"/>
      <w:pPr>
        <w:ind w:left="2048" w:hanging="221"/>
      </w:pPr>
      <w:rPr>
        <w:rFonts w:hint="default"/>
      </w:rPr>
    </w:lvl>
    <w:lvl w:ilvl="3">
      <w:start w:val="0"/>
      <w:numFmt w:val="bullet"/>
      <w:lvlText w:val="•"/>
      <w:lvlJc w:val="left"/>
      <w:pPr>
        <w:ind w:left="2902" w:hanging="221"/>
      </w:pPr>
      <w:rPr>
        <w:rFonts w:hint="default"/>
      </w:rPr>
    </w:lvl>
    <w:lvl w:ilvl="4">
      <w:start w:val="0"/>
      <w:numFmt w:val="bullet"/>
      <w:lvlText w:val="•"/>
      <w:lvlJc w:val="left"/>
      <w:pPr>
        <w:ind w:left="3755" w:hanging="221"/>
      </w:pPr>
      <w:rPr>
        <w:rFonts w:hint="default"/>
      </w:rPr>
    </w:lvl>
    <w:lvl w:ilvl="5">
      <w:start w:val="0"/>
      <w:numFmt w:val="bullet"/>
      <w:lvlText w:val="•"/>
      <w:lvlJc w:val="left"/>
      <w:pPr>
        <w:ind w:left="4609" w:hanging="221"/>
      </w:pPr>
      <w:rPr>
        <w:rFonts w:hint="default"/>
      </w:rPr>
    </w:lvl>
    <w:lvl w:ilvl="6">
      <w:start w:val="0"/>
      <w:numFmt w:val="bullet"/>
      <w:lvlText w:val="•"/>
      <w:lvlJc w:val="left"/>
      <w:pPr>
        <w:ind w:left="5463" w:hanging="221"/>
      </w:pPr>
      <w:rPr>
        <w:rFonts w:hint="default"/>
      </w:rPr>
    </w:lvl>
    <w:lvl w:ilvl="7">
      <w:start w:val="0"/>
      <w:numFmt w:val="bullet"/>
      <w:lvlText w:val="•"/>
      <w:lvlJc w:val="left"/>
      <w:pPr>
        <w:ind w:left="6317" w:hanging="221"/>
      </w:pPr>
      <w:rPr>
        <w:rFonts w:hint="default"/>
      </w:rPr>
    </w:lvl>
    <w:lvl w:ilvl="8">
      <w:start w:val="0"/>
      <w:numFmt w:val="bullet"/>
      <w:lvlText w:val="•"/>
      <w:lvlJc w:val="left"/>
      <w:pPr>
        <w:ind w:left="7171" w:hanging="221"/>
      </w:pPr>
      <w:rPr>
        <w:rFonts w:hint="default"/>
      </w:rPr>
    </w:lvl>
  </w:abstractNum>
  <w:abstractNum w:abstractNumId="135">
    <w:multiLevelType w:val="hybridMultilevel"/>
    <w:lvl w:ilvl="0">
      <w:start w:val="1"/>
      <w:numFmt w:val="lowerLetter"/>
      <w:lvlText w:val="%1)"/>
      <w:lvlJc w:val="left"/>
      <w:pPr>
        <w:ind w:left="331" w:hanging="284"/>
        <w:jc w:val="left"/>
      </w:pPr>
      <w:rPr>
        <w:rFonts w:hint="default" w:ascii="Times New Roman" w:hAnsi="Times New Roman" w:eastAsia="Times New Roman" w:cs="Times New Roman"/>
        <w:w w:val="100"/>
        <w:sz w:val="22"/>
        <w:szCs w:val="22"/>
      </w:rPr>
    </w:lvl>
    <w:lvl w:ilvl="1">
      <w:start w:val="0"/>
      <w:numFmt w:val="bullet"/>
      <w:lvlText w:val="•"/>
      <w:lvlJc w:val="left"/>
      <w:pPr>
        <w:ind w:left="1186" w:hanging="284"/>
      </w:pPr>
      <w:rPr>
        <w:rFonts w:hint="default"/>
      </w:rPr>
    </w:lvl>
    <w:lvl w:ilvl="2">
      <w:start w:val="0"/>
      <w:numFmt w:val="bullet"/>
      <w:lvlText w:val="•"/>
      <w:lvlJc w:val="left"/>
      <w:pPr>
        <w:ind w:left="2033" w:hanging="284"/>
      </w:pPr>
      <w:rPr>
        <w:rFonts w:hint="default"/>
      </w:rPr>
    </w:lvl>
    <w:lvl w:ilvl="3">
      <w:start w:val="0"/>
      <w:numFmt w:val="bullet"/>
      <w:lvlText w:val="•"/>
      <w:lvlJc w:val="left"/>
      <w:pPr>
        <w:ind w:left="2880" w:hanging="284"/>
      </w:pPr>
      <w:rPr>
        <w:rFonts w:hint="default"/>
      </w:rPr>
    </w:lvl>
    <w:lvl w:ilvl="4">
      <w:start w:val="0"/>
      <w:numFmt w:val="bullet"/>
      <w:lvlText w:val="•"/>
      <w:lvlJc w:val="left"/>
      <w:pPr>
        <w:ind w:left="3727" w:hanging="284"/>
      </w:pPr>
      <w:rPr>
        <w:rFonts w:hint="default"/>
      </w:rPr>
    </w:lvl>
    <w:lvl w:ilvl="5">
      <w:start w:val="0"/>
      <w:numFmt w:val="bullet"/>
      <w:lvlText w:val="•"/>
      <w:lvlJc w:val="left"/>
      <w:pPr>
        <w:ind w:left="4574" w:hanging="284"/>
      </w:pPr>
      <w:rPr>
        <w:rFonts w:hint="default"/>
      </w:rPr>
    </w:lvl>
    <w:lvl w:ilvl="6">
      <w:start w:val="0"/>
      <w:numFmt w:val="bullet"/>
      <w:lvlText w:val="•"/>
      <w:lvlJc w:val="left"/>
      <w:pPr>
        <w:ind w:left="5421" w:hanging="284"/>
      </w:pPr>
      <w:rPr>
        <w:rFonts w:hint="default"/>
      </w:rPr>
    </w:lvl>
    <w:lvl w:ilvl="7">
      <w:start w:val="0"/>
      <w:numFmt w:val="bullet"/>
      <w:lvlText w:val="•"/>
      <w:lvlJc w:val="left"/>
      <w:pPr>
        <w:ind w:left="6267" w:hanging="284"/>
      </w:pPr>
      <w:rPr>
        <w:rFonts w:hint="default"/>
      </w:rPr>
    </w:lvl>
    <w:lvl w:ilvl="8">
      <w:start w:val="0"/>
      <w:numFmt w:val="bullet"/>
      <w:lvlText w:val="•"/>
      <w:lvlJc w:val="left"/>
      <w:pPr>
        <w:ind w:left="7114" w:hanging="284"/>
      </w:pPr>
      <w:rPr>
        <w:rFonts w:hint="default"/>
      </w:rPr>
    </w:lvl>
  </w:abstractNum>
  <w:abstractNum w:abstractNumId="134">
    <w:multiLevelType w:val="hybridMultilevel"/>
    <w:lvl w:ilvl="0">
      <w:start w:val="1"/>
      <w:numFmt w:val="lowerLetter"/>
      <w:lvlText w:val="%1)"/>
      <w:lvlJc w:val="left"/>
      <w:pPr>
        <w:ind w:left="120" w:hanging="240"/>
        <w:jc w:val="left"/>
      </w:pPr>
      <w:rPr>
        <w:rFonts w:hint="default" w:ascii="Times New Roman" w:hAnsi="Times New Roman" w:eastAsia="Times New Roman" w:cs="Times New Roman"/>
        <w:w w:val="100"/>
        <w:sz w:val="22"/>
        <w:szCs w:val="22"/>
      </w:rPr>
    </w:lvl>
    <w:lvl w:ilvl="1">
      <w:start w:val="0"/>
      <w:numFmt w:val="bullet"/>
      <w:lvlText w:val="•"/>
      <w:lvlJc w:val="left"/>
      <w:pPr>
        <w:ind w:left="1068" w:hanging="240"/>
      </w:pPr>
      <w:rPr>
        <w:rFonts w:hint="default"/>
      </w:rPr>
    </w:lvl>
    <w:lvl w:ilvl="2">
      <w:start w:val="0"/>
      <w:numFmt w:val="bullet"/>
      <w:lvlText w:val="•"/>
      <w:lvlJc w:val="left"/>
      <w:pPr>
        <w:ind w:left="2016" w:hanging="240"/>
      </w:pPr>
      <w:rPr>
        <w:rFonts w:hint="default"/>
      </w:rPr>
    </w:lvl>
    <w:lvl w:ilvl="3">
      <w:start w:val="0"/>
      <w:numFmt w:val="bullet"/>
      <w:lvlText w:val="•"/>
      <w:lvlJc w:val="left"/>
      <w:pPr>
        <w:ind w:left="2964" w:hanging="240"/>
      </w:pPr>
      <w:rPr>
        <w:rFonts w:hint="default"/>
      </w:rPr>
    </w:lvl>
    <w:lvl w:ilvl="4">
      <w:start w:val="0"/>
      <w:numFmt w:val="bullet"/>
      <w:lvlText w:val="•"/>
      <w:lvlJc w:val="left"/>
      <w:pPr>
        <w:ind w:left="3912" w:hanging="240"/>
      </w:pPr>
      <w:rPr>
        <w:rFonts w:hint="default"/>
      </w:rPr>
    </w:lvl>
    <w:lvl w:ilvl="5">
      <w:start w:val="0"/>
      <w:numFmt w:val="bullet"/>
      <w:lvlText w:val="•"/>
      <w:lvlJc w:val="left"/>
      <w:pPr>
        <w:ind w:left="4860" w:hanging="240"/>
      </w:pPr>
      <w:rPr>
        <w:rFonts w:hint="default"/>
      </w:rPr>
    </w:lvl>
    <w:lvl w:ilvl="6">
      <w:start w:val="0"/>
      <w:numFmt w:val="bullet"/>
      <w:lvlText w:val="•"/>
      <w:lvlJc w:val="left"/>
      <w:pPr>
        <w:ind w:left="5808" w:hanging="240"/>
      </w:pPr>
      <w:rPr>
        <w:rFonts w:hint="default"/>
      </w:rPr>
    </w:lvl>
    <w:lvl w:ilvl="7">
      <w:start w:val="0"/>
      <w:numFmt w:val="bullet"/>
      <w:lvlText w:val="•"/>
      <w:lvlJc w:val="left"/>
      <w:pPr>
        <w:ind w:left="6756" w:hanging="240"/>
      </w:pPr>
      <w:rPr>
        <w:rFonts w:hint="default"/>
      </w:rPr>
    </w:lvl>
    <w:lvl w:ilvl="8">
      <w:start w:val="0"/>
      <w:numFmt w:val="bullet"/>
      <w:lvlText w:val="•"/>
      <w:lvlJc w:val="left"/>
      <w:pPr>
        <w:ind w:left="7704" w:hanging="240"/>
      </w:pPr>
      <w:rPr>
        <w:rFonts w:hint="default"/>
      </w:rPr>
    </w:lvl>
  </w:abstractNum>
  <w:abstractNum w:abstractNumId="133">
    <w:multiLevelType w:val="hybridMultilevel"/>
    <w:lvl w:ilvl="0">
      <w:start w:val="1"/>
      <w:numFmt w:val="decimal"/>
      <w:lvlText w:val="%1."/>
      <w:lvlJc w:val="left"/>
      <w:pPr>
        <w:ind w:left="120" w:hanging="248"/>
        <w:jc w:val="left"/>
      </w:pPr>
      <w:rPr>
        <w:rFonts w:hint="default" w:ascii="Times New Roman" w:hAnsi="Times New Roman" w:eastAsia="Times New Roman" w:cs="Times New Roman"/>
        <w:w w:val="100"/>
        <w:sz w:val="22"/>
        <w:szCs w:val="22"/>
      </w:rPr>
    </w:lvl>
    <w:lvl w:ilvl="1">
      <w:start w:val="0"/>
      <w:numFmt w:val="bullet"/>
      <w:lvlText w:val="•"/>
      <w:lvlJc w:val="left"/>
      <w:pPr>
        <w:ind w:left="1068" w:hanging="248"/>
      </w:pPr>
      <w:rPr>
        <w:rFonts w:hint="default"/>
      </w:rPr>
    </w:lvl>
    <w:lvl w:ilvl="2">
      <w:start w:val="0"/>
      <w:numFmt w:val="bullet"/>
      <w:lvlText w:val="•"/>
      <w:lvlJc w:val="left"/>
      <w:pPr>
        <w:ind w:left="2016" w:hanging="248"/>
      </w:pPr>
      <w:rPr>
        <w:rFonts w:hint="default"/>
      </w:rPr>
    </w:lvl>
    <w:lvl w:ilvl="3">
      <w:start w:val="0"/>
      <w:numFmt w:val="bullet"/>
      <w:lvlText w:val="•"/>
      <w:lvlJc w:val="left"/>
      <w:pPr>
        <w:ind w:left="2964" w:hanging="248"/>
      </w:pPr>
      <w:rPr>
        <w:rFonts w:hint="default"/>
      </w:rPr>
    </w:lvl>
    <w:lvl w:ilvl="4">
      <w:start w:val="0"/>
      <w:numFmt w:val="bullet"/>
      <w:lvlText w:val="•"/>
      <w:lvlJc w:val="left"/>
      <w:pPr>
        <w:ind w:left="3912" w:hanging="248"/>
      </w:pPr>
      <w:rPr>
        <w:rFonts w:hint="default"/>
      </w:rPr>
    </w:lvl>
    <w:lvl w:ilvl="5">
      <w:start w:val="0"/>
      <w:numFmt w:val="bullet"/>
      <w:lvlText w:val="•"/>
      <w:lvlJc w:val="left"/>
      <w:pPr>
        <w:ind w:left="4860" w:hanging="248"/>
      </w:pPr>
      <w:rPr>
        <w:rFonts w:hint="default"/>
      </w:rPr>
    </w:lvl>
    <w:lvl w:ilvl="6">
      <w:start w:val="0"/>
      <w:numFmt w:val="bullet"/>
      <w:lvlText w:val="•"/>
      <w:lvlJc w:val="left"/>
      <w:pPr>
        <w:ind w:left="5808" w:hanging="248"/>
      </w:pPr>
      <w:rPr>
        <w:rFonts w:hint="default"/>
      </w:rPr>
    </w:lvl>
    <w:lvl w:ilvl="7">
      <w:start w:val="0"/>
      <w:numFmt w:val="bullet"/>
      <w:lvlText w:val="•"/>
      <w:lvlJc w:val="left"/>
      <w:pPr>
        <w:ind w:left="6756" w:hanging="248"/>
      </w:pPr>
      <w:rPr>
        <w:rFonts w:hint="default"/>
      </w:rPr>
    </w:lvl>
    <w:lvl w:ilvl="8">
      <w:start w:val="0"/>
      <w:numFmt w:val="bullet"/>
      <w:lvlText w:val="•"/>
      <w:lvlJc w:val="left"/>
      <w:pPr>
        <w:ind w:left="7704" w:hanging="248"/>
      </w:pPr>
      <w:rPr>
        <w:rFonts w:hint="default"/>
      </w:rPr>
    </w:lvl>
  </w:abstractNum>
  <w:abstractNum w:abstractNumId="132">
    <w:multiLevelType w:val="hybridMultilevel"/>
    <w:lvl w:ilvl="0">
      <w:start w:val="1"/>
      <w:numFmt w:val="lowerLetter"/>
      <w:lvlText w:val="%1)"/>
      <w:lvlJc w:val="left"/>
      <w:pPr>
        <w:ind w:left="1068" w:hanging="229"/>
        <w:jc w:val="left"/>
      </w:pPr>
      <w:rPr>
        <w:rFonts w:hint="default" w:ascii="Times New Roman" w:hAnsi="Times New Roman" w:eastAsia="Times New Roman" w:cs="Times New Roman"/>
        <w:w w:val="100"/>
        <w:sz w:val="22"/>
        <w:szCs w:val="22"/>
      </w:rPr>
    </w:lvl>
    <w:lvl w:ilvl="1">
      <w:start w:val="0"/>
      <w:numFmt w:val="bullet"/>
      <w:lvlText w:val="•"/>
      <w:lvlJc w:val="left"/>
      <w:pPr>
        <w:ind w:left="1914" w:hanging="229"/>
      </w:pPr>
      <w:rPr>
        <w:rFonts w:hint="default"/>
      </w:rPr>
    </w:lvl>
    <w:lvl w:ilvl="2">
      <w:start w:val="0"/>
      <w:numFmt w:val="bullet"/>
      <w:lvlText w:val="•"/>
      <w:lvlJc w:val="left"/>
      <w:pPr>
        <w:ind w:left="2768" w:hanging="229"/>
      </w:pPr>
      <w:rPr>
        <w:rFonts w:hint="default"/>
      </w:rPr>
    </w:lvl>
    <w:lvl w:ilvl="3">
      <w:start w:val="0"/>
      <w:numFmt w:val="bullet"/>
      <w:lvlText w:val="•"/>
      <w:lvlJc w:val="left"/>
      <w:pPr>
        <w:ind w:left="3622" w:hanging="229"/>
      </w:pPr>
      <w:rPr>
        <w:rFonts w:hint="default"/>
      </w:rPr>
    </w:lvl>
    <w:lvl w:ilvl="4">
      <w:start w:val="0"/>
      <w:numFmt w:val="bullet"/>
      <w:lvlText w:val="•"/>
      <w:lvlJc w:val="left"/>
      <w:pPr>
        <w:ind w:left="4476" w:hanging="229"/>
      </w:pPr>
      <w:rPr>
        <w:rFonts w:hint="default"/>
      </w:rPr>
    </w:lvl>
    <w:lvl w:ilvl="5">
      <w:start w:val="0"/>
      <w:numFmt w:val="bullet"/>
      <w:lvlText w:val="•"/>
      <w:lvlJc w:val="left"/>
      <w:pPr>
        <w:ind w:left="5330" w:hanging="229"/>
      </w:pPr>
      <w:rPr>
        <w:rFonts w:hint="default"/>
      </w:rPr>
    </w:lvl>
    <w:lvl w:ilvl="6">
      <w:start w:val="0"/>
      <w:numFmt w:val="bullet"/>
      <w:lvlText w:val="•"/>
      <w:lvlJc w:val="left"/>
      <w:pPr>
        <w:ind w:left="6184" w:hanging="229"/>
      </w:pPr>
      <w:rPr>
        <w:rFonts w:hint="default"/>
      </w:rPr>
    </w:lvl>
    <w:lvl w:ilvl="7">
      <w:start w:val="0"/>
      <w:numFmt w:val="bullet"/>
      <w:lvlText w:val="•"/>
      <w:lvlJc w:val="left"/>
      <w:pPr>
        <w:ind w:left="7038" w:hanging="229"/>
      </w:pPr>
      <w:rPr>
        <w:rFonts w:hint="default"/>
      </w:rPr>
    </w:lvl>
    <w:lvl w:ilvl="8">
      <w:start w:val="0"/>
      <w:numFmt w:val="bullet"/>
      <w:lvlText w:val="•"/>
      <w:lvlJc w:val="left"/>
      <w:pPr>
        <w:ind w:left="7892" w:hanging="229"/>
      </w:pPr>
      <w:rPr>
        <w:rFonts w:hint="default"/>
      </w:rPr>
    </w:lvl>
  </w:abstractNum>
  <w:abstractNum w:abstractNumId="131">
    <w:multiLevelType w:val="hybridMultilevel"/>
    <w:lvl w:ilvl="0">
      <w:start w:val="1"/>
      <w:numFmt w:val="decimal"/>
      <w:lvlText w:val="%1."/>
      <w:lvlJc w:val="left"/>
      <w:pPr>
        <w:ind w:left="120" w:hanging="308"/>
        <w:jc w:val="left"/>
      </w:pPr>
      <w:rPr>
        <w:rFonts w:hint="default" w:ascii="Times New Roman" w:hAnsi="Times New Roman" w:eastAsia="Times New Roman" w:cs="Times New Roman"/>
        <w:w w:val="100"/>
        <w:sz w:val="22"/>
        <w:szCs w:val="22"/>
      </w:rPr>
    </w:lvl>
    <w:lvl w:ilvl="1">
      <w:start w:val="0"/>
      <w:numFmt w:val="bullet"/>
      <w:lvlText w:val="•"/>
      <w:lvlJc w:val="left"/>
      <w:pPr>
        <w:ind w:left="1068" w:hanging="308"/>
      </w:pPr>
      <w:rPr>
        <w:rFonts w:hint="default"/>
      </w:rPr>
    </w:lvl>
    <w:lvl w:ilvl="2">
      <w:start w:val="0"/>
      <w:numFmt w:val="bullet"/>
      <w:lvlText w:val="•"/>
      <w:lvlJc w:val="left"/>
      <w:pPr>
        <w:ind w:left="2016" w:hanging="308"/>
      </w:pPr>
      <w:rPr>
        <w:rFonts w:hint="default"/>
      </w:rPr>
    </w:lvl>
    <w:lvl w:ilvl="3">
      <w:start w:val="0"/>
      <w:numFmt w:val="bullet"/>
      <w:lvlText w:val="•"/>
      <w:lvlJc w:val="left"/>
      <w:pPr>
        <w:ind w:left="2964" w:hanging="308"/>
      </w:pPr>
      <w:rPr>
        <w:rFonts w:hint="default"/>
      </w:rPr>
    </w:lvl>
    <w:lvl w:ilvl="4">
      <w:start w:val="0"/>
      <w:numFmt w:val="bullet"/>
      <w:lvlText w:val="•"/>
      <w:lvlJc w:val="left"/>
      <w:pPr>
        <w:ind w:left="3912" w:hanging="308"/>
      </w:pPr>
      <w:rPr>
        <w:rFonts w:hint="default"/>
      </w:rPr>
    </w:lvl>
    <w:lvl w:ilvl="5">
      <w:start w:val="0"/>
      <w:numFmt w:val="bullet"/>
      <w:lvlText w:val="•"/>
      <w:lvlJc w:val="left"/>
      <w:pPr>
        <w:ind w:left="4860" w:hanging="308"/>
      </w:pPr>
      <w:rPr>
        <w:rFonts w:hint="default"/>
      </w:rPr>
    </w:lvl>
    <w:lvl w:ilvl="6">
      <w:start w:val="0"/>
      <w:numFmt w:val="bullet"/>
      <w:lvlText w:val="•"/>
      <w:lvlJc w:val="left"/>
      <w:pPr>
        <w:ind w:left="5808" w:hanging="308"/>
      </w:pPr>
      <w:rPr>
        <w:rFonts w:hint="default"/>
      </w:rPr>
    </w:lvl>
    <w:lvl w:ilvl="7">
      <w:start w:val="0"/>
      <w:numFmt w:val="bullet"/>
      <w:lvlText w:val="•"/>
      <w:lvlJc w:val="left"/>
      <w:pPr>
        <w:ind w:left="6756" w:hanging="308"/>
      </w:pPr>
      <w:rPr>
        <w:rFonts w:hint="default"/>
      </w:rPr>
    </w:lvl>
    <w:lvl w:ilvl="8">
      <w:start w:val="0"/>
      <w:numFmt w:val="bullet"/>
      <w:lvlText w:val="•"/>
      <w:lvlJc w:val="left"/>
      <w:pPr>
        <w:ind w:left="7704" w:hanging="308"/>
      </w:pPr>
      <w:rPr>
        <w:rFonts w:hint="default"/>
      </w:rPr>
    </w:lvl>
  </w:abstractNum>
  <w:abstractNum w:abstractNumId="130">
    <w:multiLevelType w:val="hybridMultilevel"/>
    <w:lvl w:ilvl="0">
      <w:start w:val="1"/>
      <w:numFmt w:val="lowerLetter"/>
      <w:lvlText w:val="%1)"/>
      <w:lvlJc w:val="left"/>
      <w:pPr>
        <w:ind w:left="1065" w:hanging="226"/>
        <w:jc w:val="left"/>
      </w:pPr>
      <w:rPr>
        <w:rFonts w:hint="default" w:ascii="Times New Roman" w:hAnsi="Times New Roman" w:eastAsia="Times New Roman" w:cs="Times New Roman"/>
        <w:w w:val="100"/>
        <w:sz w:val="22"/>
        <w:szCs w:val="22"/>
      </w:rPr>
    </w:lvl>
    <w:lvl w:ilvl="1">
      <w:start w:val="0"/>
      <w:numFmt w:val="bullet"/>
      <w:lvlText w:val="•"/>
      <w:lvlJc w:val="left"/>
      <w:pPr>
        <w:ind w:left="1914" w:hanging="226"/>
      </w:pPr>
      <w:rPr>
        <w:rFonts w:hint="default"/>
      </w:rPr>
    </w:lvl>
    <w:lvl w:ilvl="2">
      <w:start w:val="0"/>
      <w:numFmt w:val="bullet"/>
      <w:lvlText w:val="•"/>
      <w:lvlJc w:val="left"/>
      <w:pPr>
        <w:ind w:left="2768" w:hanging="226"/>
      </w:pPr>
      <w:rPr>
        <w:rFonts w:hint="default"/>
      </w:rPr>
    </w:lvl>
    <w:lvl w:ilvl="3">
      <w:start w:val="0"/>
      <w:numFmt w:val="bullet"/>
      <w:lvlText w:val="•"/>
      <w:lvlJc w:val="left"/>
      <w:pPr>
        <w:ind w:left="3622" w:hanging="226"/>
      </w:pPr>
      <w:rPr>
        <w:rFonts w:hint="default"/>
      </w:rPr>
    </w:lvl>
    <w:lvl w:ilvl="4">
      <w:start w:val="0"/>
      <w:numFmt w:val="bullet"/>
      <w:lvlText w:val="•"/>
      <w:lvlJc w:val="left"/>
      <w:pPr>
        <w:ind w:left="4476" w:hanging="226"/>
      </w:pPr>
      <w:rPr>
        <w:rFonts w:hint="default"/>
      </w:rPr>
    </w:lvl>
    <w:lvl w:ilvl="5">
      <w:start w:val="0"/>
      <w:numFmt w:val="bullet"/>
      <w:lvlText w:val="•"/>
      <w:lvlJc w:val="left"/>
      <w:pPr>
        <w:ind w:left="5330" w:hanging="226"/>
      </w:pPr>
      <w:rPr>
        <w:rFonts w:hint="default"/>
      </w:rPr>
    </w:lvl>
    <w:lvl w:ilvl="6">
      <w:start w:val="0"/>
      <w:numFmt w:val="bullet"/>
      <w:lvlText w:val="•"/>
      <w:lvlJc w:val="left"/>
      <w:pPr>
        <w:ind w:left="6184" w:hanging="226"/>
      </w:pPr>
      <w:rPr>
        <w:rFonts w:hint="default"/>
      </w:rPr>
    </w:lvl>
    <w:lvl w:ilvl="7">
      <w:start w:val="0"/>
      <w:numFmt w:val="bullet"/>
      <w:lvlText w:val="•"/>
      <w:lvlJc w:val="left"/>
      <w:pPr>
        <w:ind w:left="7038" w:hanging="226"/>
      </w:pPr>
      <w:rPr>
        <w:rFonts w:hint="default"/>
      </w:rPr>
    </w:lvl>
    <w:lvl w:ilvl="8">
      <w:start w:val="0"/>
      <w:numFmt w:val="bullet"/>
      <w:lvlText w:val="•"/>
      <w:lvlJc w:val="left"/>
      <w:pPr>
        <w:ind w:left="7892" w:hanging="226"/>
      </w:pPr>
      <w:rPr>
        <w:rFonts w:hint="default"/>
      </w:rPr>
    </w:lvl>
  </w:abstractNum>
  <w:abstractNum w:abstractNumId="129">
    <w:multiLevelType w:val="hybridMultilevel"/>
    <w:lvl w:ilvl="0">
      <w:start w:val="1"/>
      <w:numFmt w:val="lowerLetter"/>
      <w:lvlText w:val="%1)"/>
      <w:lvlJc w:val="left"/>
      <w:pPr>
        <w:ind w:left="1068" w:hanging="229"/>
        <w:jc w:val="left"/>
      </w:pPr>
      <w:rPr>
        <w:rFonts w:hint="default" w:ascii="Times New Roman" w:hAnsi="Times New Roman" w:eastAsia="Times New Roman" w:cs="Times New Roman"/>
        <w:w w:val="100"/>
        <w:sz w:val="22"/>
        <w:szCs w:val="22"/>
      </w:rPr>
    </w:lvl>
    <w:lvl w:ilvl="1">
      <w:start w:val="0"/>
      <w:numFmt w:val="bullet"/>
      <w:lvlText w:val="•"/>
      <w:lvlJc w:val="left"/>
      <w:pPr>
        <w:ind w:left="1914" w:hanging="229"/>
      </w:pPr>
      <w:rPr>
        <w:rFonts w:hint="default"/>
      </w:rPr>
    </w:lvl>
    <w:lvl w:ilvl="2">
      <w:start w:val="0"/>
      <w:numFmt w:val="bullet"/>
      <w:lvlText w:val="•"/>
      <w:lvlJc w:val="left"/>
      <w:pPr>
        <w:ind w:left="2768" w:hanging="229"/>
      </w:pPr>
      <w:rPr>
        <w:rFonts w:hint="default"/>
      </w:rPr>
    </w:lvl>
    <w:lvl w:ilvl="3">
      <w:start w:val="0"/>
      <w:numFmt w:val="bullet"/>
      <w:lvlText w:val="•"/>
      <w:lvlJc w:val="left"/>
      <w:pPr>
        <w:ind w:left="3622" w:hanging="229"/>
      </w:pPr>
      <w:rPr>
        <w:rFonts w:hint="default"/>
      </w:rPr>
    </w:lvl>
    <w:lvl w:ilvl="4">
      <w:start w:val="0"/>
      <w:numFmt w:val="bullet"/>
      <w:lvlText w:val="•"/>
      <w:lvlJc w:val="left"/>
      <w:pPr>
        <w:ind w:left="4476" w:hanging="229"/>
      </w:pPr>
      <w:rPr>
        <w:rFonts w:hint="default"/>
      </w:rPr>
    </w:lvl>
    <w:lvl w:ilvl="5">
      <w:start w:val="0"/>
      <w:numFmt w:val="bullet"/>
      <w:lvlText w:val="•"/>
      <w:lvlJc w:val="left"/>
      <w:pPr>
        <w:ind w:left="5330" w:hanging="229"/>
      </w:pPr>
      <w:rPr>
        <w:rFonts w:hint="default"/>
      </w:rPr>
    </w:lvl>
    <w:lvl w:ilvl="6">
      <w:start w:val="0"/>
      <w:numFmt w:val="bullet"/>
      <w:lvlText w:val="•"/>
      <w:lvlJc w:val="left"/>
      <w:pPr>
        <w:ind w:left="6184" w:hanging="229"/>
      </w:pPr>
      <w:rPr>
        <w:rFonts w:hint="default"/>
      </w:rPr>
    </w:lvl>
    <w:lvl w:ilvl="7">
      <w:start w:val="0"/>
      <w:numFmt w:val="bullet"/>
      <w:lvlText w:val="•"/>
      <w:lvlJc w:val="left"/>
      <w:pPr>
        <w:ind w:left="7038" w:hanging="229"/>
      </w:pPr>
      <w:rPr>
        <w:rFonts w:hint="default"/>
      </w:rPr>
    </w:lvl>
    <w:lvl w:ilvl="8">
      <w:start w:val="0"/>
      <w:numFmt w:val="bullet"/>
      <w:lvlText w:val="•"/>
      <w:lvlJc w:val="left"/>
      <w:pPr>
        <w:ind w:left="7892" w:hanging="229"/>
      </w:pPr>
      <w:rPr>
        <w:rFonts w:hint="default"/>
      </w:rPr>
    </w:lvl>
  </w:abstractNum>
  <w:abstractNum w:abstractNumId="128">
    <w:multiLevelType w:val="hybridMultilevel"/>
    <w:lvl w:ilvl="0">
      <w:start w:val="1"/>
      <w:numFmt w:val="decimal"/>
      <w:lvlText w:val="%1."/>
      <w:lvlJc w:val="left"/>
      <w:pPr>
        <w:ind w:left="120" w:hanging="236"/>
        <w:jc w:val="left"/>
      </w:pPr>
      <w:rPr>
        <w:rFonts w:hint="default" w:ascii="Times New Roman" w:hAnsi="Times New Roman" w:eastAsia="Times New Roman" w:cs="Times New Roman"/>
        <w:w w:val="100"/>
        <w:sz w:val="22"/>
        <w:szCs w:val="22"/>
      </w:rPr>
    </w:lvl>
    <w:lvl w:ilvl="1">
      <w:start w:val="0"/>
      <w:numFmt w:val="bullet"/>
      <w:lvlText w:val="•"/>
      <w:lvlJc w:val="left"/>
      <w:pPr>
        <w:ind w:left="1068" w:hanging="236"/>
      </w:pPr>
      <w:rPr>
        <w:rFonts w:hint="default"/>
      </w:rPr>
    </w:lvl>
    <w:lvl w:ilvl="2">
      <w:start w:val="0"/>
      <w:numFmt w:val="bullet"/>
      <w:lvlText w:val="•"/>
      <w:lvlJc w:val="left"/>
      <w:pPr>
        <w:ind w:left="2016" w:hanging="236"/>
      </w:pPr>
      <w:rPr>
        <w:rFonts w:hint="default"/>
      </w:rPr>
    </w:lvl>
    <w:lvl w:ilvl="3">
      <w:start w:val="0"/>
      <w:numFmt w:val="bullet"/>
      <w:lvlText w:val="•"/>
      <w:lvlJc w:val="left"/>
      <w:pPr>
        <w:ind w:left="2964" w:hanging="236"/>
      </w:pPr>
      <w:rPr>
        <w:rFonts w:hint="default"/>
      </w:rPr>
    </w:lvl>
    <w:lvl w:ilvl="4">
      <w:start w:val="0"/>
      <w:numFmt w:val="bullet"/>
      <w:lvlText w:val="•"/>
      <w:lvlJc w:val="left"/>
      <w:pPr>
        <w:ind w:left="3912" w:hanging="236"/>
      </w:pPr>
      <w:rPr>
        <w:rFonts w:hint="default"/>
      </w:rPr>
    </w:lvl>
    <w:lvl w:ilvl="5">
      <w:start w:val="0"/>
      <w:numFmt w:val="bullet"/>
      <w:lvlText w:val="•"/>
      <w:lvlJc w:val="left"/>
      <w:pPr>
        <w:ind w:left="4860" w:hanging="236"/>
      </w:pPr>
      <w:rPr>
        <w:rFonts w:hint="default"/>
      </w:rPr>
    </w:lvl>
    <w:lvl w:ilvl="6">
      <w:start w:val="0"/>
      <w:numFmt w:val="bullet"/>
      <w:lvlText w:val="•"/>
      <w:lvlJc w:val="left"/>
      <w:pPr>
        <w:ind w:left="5808" w:hanging="236"/>
      </w:pPr>
      <w:rPr>
        <w:rFonts w:hint="default"/>
      </w:rPr>
    </w:lvl>
    <w:lvl w:ilvl="7">
      <w:start w:val="0"/>
      <w:numFmt w:val="bullet"/>
      <w:lvlText w:val="•"/>
      <w:lvlJc w:val="left"/>
      <w:pPr>
        <w:ind w:left="6756" w:hanging="236"/>
      </w:pPr>
      <w:rPr>
        <w:rFonts w:hint="default"/>
      </w:rPr>
    </w:lvl>
    <w:lvl w:ilvl="8">
      <w:start w:val="0"/>
      <w:numFmt w:val="bullet"/>
      <w:lvlText w:val="•"/>
      <w:lvlJc w:val="left"/>
      <w:pPr>
        <w:ind w:left="7704" w:hanging="236"/>
      </w:pPr>
      <w:rPr>
        <w:rFonts w:hint="default"/>
      </w:rPr>
    </w:lvl>
  </w:abstractNum>
  <w:abstractNum w:abstractNumId="127">
    <w:multiLevelType w:val="hybridMultilevel"/>
    <w:lvl w:ilvl="0">
      <w:start w:val="1"/>
      <w:numFmt w:val="lowerLetter"/>
      <w:lvlText w:val="%1)"/>
      <w:lvlJc w:val="left"/>
      <w:pPr>
        <w:ind w:left="120" w:hanging="240"/>
        <w:jc w:val="left"/>
      </w:pPr>
      <w:rPr>
        <w:rFonts w:hint="default" w:ascii="Times New Roman" w:hAnsi="Times New Roman" w:eastAsia="Times New Roman" w:cs="Times New Roman"/>
        <w:w w:val="100"/>
        <w:sz w:val="22"/>
        <w:szCs w:val="22"/>
      </w:rPr>
    </w:lvl>
    <w:lvl w:ilvl="1">
      <w:start w:val="0"/>
      <w:numFmt w:val="bullet"/>
      <w:lvlText w:val="•"/>
      <w:lvlJc w:val="left"/>
      <w:pPr>
        <w:ind w:left="1068" w:hanging="240"/>
      </w:pPr>
      <w:rPr>
        <w:rFonts w:hint="default"/>
      </w:rPr>
    </w:lvl>
    <w:lvl w:ilvl="2">
      <w:start w:val="0"/>
      <w:numFmt w:val="bullet"/>
      <w:lvlText w:val="•"/>
      <w:lvlJc w:val="left"/>
      <w:pPr>
        <w:ind w:left="2016" w:hanging="240"/>
      </w:pPr>
      <w:rPr>
        <w:rFonts w:hint="default"/>
      </w:rPr>
    </w:lvl>
    <w:lvl w:ilvl="3">
      <w:start w:val="0"/>
      <w:numFmt w:val="bullet"/>
      <w:lvlText w:val="•"/>
      <w:lvlJc w:val="left"/>
      <w:pPr>
        <w:ind w:left="2964" w:hanging="240"/>
      </w:pPr>
      <w:rPr>
        <w:rFonts w:hint="default"/>
      </w:rPr>
    </w:lvl>
    <w:lvl w:ilvl="4">
      <w:start w:val="0"/>
      <w:numFmt w:val="bullet"/>
      <w:lvlText w:val="•"/>
      <w:lvlJc w:val="left"/>
      <w:pPr>
        <w:ind w:left="3912" w:hanging="240"/>
      </w:pPr>
      <w:rPr>
        <w:rFonts w:hint="default"/>
      </w:rPr>
    </w:lvl>
    <w:lvl w:ilvl="5">
      <w:start w:val="0"/>
      <w:numFmt w:val="bullet"/>
      <w:lvlText w:val="•"/>
      <w:lvlJc w:val="left"/>
      <w:pPr>
        <w:ind w:left="4860" w:hanging="240"/>
      </w:pPr>
      <w:rPr>
        <w:rFonts w:hint="default"/>
      </w:rPr>
    </w:lvl>
    <w:lvl w:ilvl="6">
      <w:start w:val="0"/>
      <w:numFmt w:val="bullet"/>
      <w:lvlText w:val="•"/>
      <w:lvlJc w:val="left"/>
      <w:pPr>
        <w:ind w:left="5808" w:hanging="240"/>
      </w:pPr>
      <w:rPr>
        <w:rFonts w:hint="default"/>
      </w:rPr>
    </w:lvl>
    <w:lvl w:ilvl="7">
      <w:start w:val="0"/>
      <w:numFmt w:val="bullet"/>
      <w:lvlText w:val="•"/>
      <w:lvlJc w:val="left"/>
      <w:pPr>
        <w:ind w:left="6756" w:hanging="240"/>
      </w:pPr>
      <w:rPr>
        <w:rFonts w:hint="default"/>
      </w:rPr>
    </w:lvl>
    <w:lvl w:ilvl="8">
      <w:start w:val="0"/>
      <w:numFmt w:val="bullet"/>
      <w:lvlText w:val="•"/>
      <w:lvlJc w:val="left"/>
      <w:pPr>
        <w:ind w:left="7704" w:hanging="240"/>
      </w:pPr>
      <w:rPr>
        <w:rFonts w:hint="default"/>
      </w:rPr>
    </w:lvl>
  </w:abstractNum>
  <w:abstractNum w:abstractNumId="126">
    <w:multiLevelType w:val="hybridMultilevel"/>
    <w:lvl w:ilvl="0">
      <w:start w:val="1"/>
      <w:numFmt w:val="decimal"/>
      <w:lvlText w:val="%1."/>
      <w:lvlJc w:val="left"/>
      <w:pPr>
        <w:ind w:left="120" w:hanging="226"/>
        <w:jc w:val="left"/>
      </w:pPr>
      <w:rPr>
        <w:rFonts w:hint="default" w:ascii="Times New Roman" w:hAnsi="Times New Roman" w:eastAsia="Times New Roman" w:cs="Times New Roman"/>
        <w:w w:val="100"/>
        <w:sz w:val="22"/>
        <w:szCs w:val="22"/>
      </w:rPr>
    </w:lvl>
    <w:lvl w:ilvl="1">
      <w:start w:val="0"/>
      <w:numFmt w:val="bullet"/>
      <w:lvlText w:val="•"/>
      <w:lvlJc w:val="left"/>
      <w:pPr>
        <w:ind w:left="1068" w:hanging="226"/>
      </w:pPr>
      <w:rPr>
        <w:rFonts w:hint="default"/>
      </w:rPr>
    </w:lvl>
    <w:lvl w:ilvl="2">
      <w:start w:val="0"/>
      <w:numFmt w:val="bullet"/>
      <w:lvlText w:val="•"/>
      <w:lvlJc w:val="left"/>
      <w:pPr>
        <w:ind w:left="2016" w:hanging="226"/>
      </w:pPr>
      <w:rPr>
        <w:rFonts w:hint="default"/>
      </w:rPr>
    </w:lvl>
    <w:lvl w:ilvl="3">
      <w:start w:val="0"/>
      <w:numFmt w:val="bullet"/>
      <w:lvlText w:val="•"/>
      <w:lvlJc w:val="left"/>
      <w:pPr>
        <w:ind w:left="2964" w:hanging="226"/>
      </w:pPr>
      <w:rPr>
        <w:rFonts w:hint="default"/>
      </w:rPr>
    </w:lvl>
    <w:lvl w:ilvl="4">
      <w:start w:val="0"/>
      <w:numFmt w:val="bullet"/>
      <w:lvlText w:val="•"/>
      <w:lvlJc w:val="left"/>
      <w:pPr>
        <w:ind w:left="3912" w:hanging="226"/>
      </w:pPr>
      <w:rPr>
        <w:rFonts w:hint="default"/>
      </w:rPr>
    </w:lvl>
    <w:lvl w:ilvl="5">
      <w:start w:val="0"/>
      <w:numFmt w:val="bullet"/>
      <w:lvlText w:val="•"/>
      <w:lvlJc w:val="left"/>
      <w:pPr>
        <w:ind w:left="4860" w:hanging="226"/>
      </w:pPr>
      <w:rPr>
        <w:rFonts w:hint="default"/>
      </w:rPr>
    </w:lvl>
    <w:lvl w:ilvl="6">
      <w:start w:val="0"/>
      <w:numFmt w:val="bullet"/>
      <w:lvlText w:val="•"/>
      <w:lvlJc w:val="left"/>
      <w:pPr>
        <w:ind w:left="5808" w:hanging="226"/>
      </w:pPr>
      <w:rPr>
        <w:rFonts w:hint="default"/>
      </w:rPr>
    </w:lvl>
    <w:lvl w:ilvl="7">
      <w:start w:val="0"/>
      <w:numFmt w:val="bullet"/>
      <w:lvlText w:val="•"/>
      <w:lvlJc w:val="left"/>
      <w:pPr>
        <w:ind w:left="6756" w:hanging="226"/>
      </w:pPr>
      <w:rPr>
        <w:rFonts w:hint="default"/>
      </w:rPr>
    </w:lvl>
    <w:lvl w:ilvl="8">
      <w:start w:val="0"/>
      <w:numFmt w:val="bullet"/>
      <w:lvlText w:val="•"/>
      <w:lvlJc w:val="left"/>
      <w:pPr>
        <w:ind w:left="7704" w:hanging="226"/>
      </w:pPr>
      <w:rPr>
        <w:rFonts w:hint="default"/>
      </w:rPr>
    </w:lvl>
  </w:abstractNum>
  <w:abstractNum w:abstractNumId="125">
    <w:multiLevelType w:val="hybridMultilevel"/>
    <w:lvl w:ilvl="0">
      <w:start w:val="1"/>
      <w:numFmt w:val="decimal"/>
      <w:lvlText w:val="%1."/>
      <w:lvlJc w:val="left"/>
      <w:pPr>
        <w:ind w:left="120" w:hanging="274"/>
        <w:jc w:val="left"/>
      </w:pPr>
      <w:rPr>
        <w:rFonts w:hint="default" w:ascii="Times New Roman" w:hAnsi="Times New Roman" w:eastAsia="Times New Roman" w:cs="Times New Roman"/>
        <w:w w:val="100"/>
        <w:sz w:val="22"/>
        <w:szCs w:val="22"/>
      </w:rPr>
    </w:lvl>
    <w:lvl w:ilvl="1">
      <w:start w:val="0"/>
      <w:numFmt w:val="bullet"/>
      <w:lvlText w:val="•"/>
      <w:lvlJc w:val="left"/>
      <w:pPr>
        <w:ind w:left="1068" w:hanging="274"/>
      </w:pPr>
      <w:rPr>
        <w:rFonts w:hint="default"/>
      </w:rPr>
    </w:lvl>
    <w:lvl w:ilvl="2">
      <w:start w:val="0"/>
      <w:numFmt w:val="bullet"/>
      <w:lvlText w:val="•"/>
      <w:lvlJc w:val="left"/>
      <w:pPr>
        <w:ind w:left="2016" w:hanging="274"/>
      </w:pPr>
      <w:rPr>
        <w:rFonts w:hint="default"/>
      </w:rPr>
    </w:lvl>
    <w:lvl w:ilvl="3">
      <w:start w:val="0"/>
      <w:numFmt w:val="bullet"/>
      <w:lvlText w:val="•"/>
      <w:lvlJc w:val="left"/>
      <w:pPr>
        <w:ind w:left="2964" w:hanging="274"/>
      </w:pPr>
      <w:rPr>
        <w:rFonts w:hint="default"/>
      </w:rPr>
    </w:lvl>
    <w:lvl w:ilvl="4">
      <w:start w:val="0"/>
      <w:numFmt w:val="bullet"/>
      <w:lvlText w:val="•"/>
      <w:lvlJc w:val="left"/>
      <w:pPr>
        <w:ind w:left="3912" w:hanging="274"/>
      </w:pPr>
      <w:rPr>
        <w:rFonts w:hint="default"/>
      </w:rPr>
    </w:lvl>
    <w:lvl w:ilvl="5">
      <w:start w:val="0"/>
      <w:numFmt w:val="bullet"/>
      <w:lvlText w:val="•"/>
      <w:lvlJc w:val="left"/>
      <w:pPr>
        <w:ind w:left="4860" w:hanging="274"/>
      </w:pPr>
      <w:rPr>
        <w:rFonts w:hint="default"/>
      </w:rPr>
    </w:lvl>
    <w:lvl w:ilvl="6">
      <w:start w:val="0"/>
      <w:numFmt w:val="bullet"/>
      <w:lvlText w:val="•"/>
      <w:lvlJc w:val="left"/>
      <w:pPr>
        <w:ind w:left="5808" w:hanging="274"/>
      </w:pPr>
      <w:rPr>
        <w:rFonts w:hint="default"/>
      </w:rPr>
    </w:lvl>
    <w:lvl w:ilvl="7">
      <w:start w:val="0"/>
      <w:numFmt w:val="bullet"/>
      <w:lvlText w:val="•"/>
      <w:lvlJc w:val="left"/>
      <w:pPr>
        <w:ind w:left="6756" w:hanging="274"/>
      </w:pPr>
      <w:rPr>
        <w:rFonts w:hint="default"/>
      </w:rPr>
    </w:lvl>
    <w:lvl w:ilvl="8">
      <w:start w:val="0"/>
      <w:numFmt w:val="bullet"/>
      <w:lvlText w:val="•"/>
      <w:lvlJc w:val="left"/>
      <w:pPr>
        <w:ind w:left="7704" w:hanging="274"/>
      </w:pPr>
      <w:rPr>
        <w:rFonts w:hint="default"/>
      </w:rPr>
    </w:lvl>
  </w:abstractNum>
  <w:abstractNum w:abstractNumId="124">
    <w:multiLevelType w:val="hybridMultilevel"/>
    <w:lvl w:ilvl="0">
      <w:start w:val="1"/>
      <w:numFmt w:val="decimal"/>
      <w:lvlText w:val="%1."/>
      <w:lvlJc w:val="left"/>
      <w:pPr>
        <w:ind w:left="120" w:hanging="252"/>
        <w:jc w:val="left"/>
      </w:pPr>
      <w:rPr>
        <w:rFonts w:hint="default" w:ascii="Times New Roman" w:hAnsi="Times New Roman" w:eastAsia="Times New Roman" w:cs="Times New Roman"/>
        <w:w w:val="100"/>
        <w:sz w:val="22"/>
        <w:szCs w:val="22"/>
      </w:rPr>
    </w:lvl>
    <w:lvl w:ilvl="1">
      <w:start w:val="0"/>
      <w:numFmt w:val="bullet"/>
      <w:lvlText w:val="•"/>
      <w:lvlJc w:val="left"/>
      <w:pPr>
        <w:ind w:left="1068" w:hanging="252"/>
      </w:pPr>
      <w:rPr>
        <w:rFonts w:hint="default"/>
      </w:rPr>
    </w:lvl>
    <w:lvl w:ilvl="2">
      <w:start w:val="0"/>
      <w:numFmt w:val="bullet"/>
      <w:lvlText w:val="•"/>
      <w:lvlJc w:val="left"/>
      <w:pPr>
        <w:ind w:left="2016" w:hanging="252"/>
      </w:pPr>
      <w:rPr>
        <w:rFonts w:hint="default"/>
      </w:rPr>
    </w:lvl>
    <w:lvl w:ilvl="3">
      <w:start w:val="0"/>
      <w:numFmt w:val="bullet"/>
      <w:lvlText w:val="•"/>
      <w:lvlJc w:val="left"/>
      <w:pPr>
        <w:ind w:left="2964" w:hanging="252"/>
      </w:pPr>
      <w:rPr>
        <w:rFonts w:hint="default"/>
      </w:rPr>
    </w:lvl>
    <w:lvl w:ilvl="4">
      <w:start w:val="0"/>
      <w:numFmt w:val="bullet"/>
      <w:lvlText w:val="•"/>
      <w:lvlJc w:val="left"/>
      <w:pPr>
        <w:ind w:left="3912" w:hanging="252"/>
      </w:pPr>
      <w:rPr>
        <w:rFonts w:hint="default"/>
      </w:rPr>
    </w:lvl>
    <w:lvl w:ilvl="5">
      <w:start w:val="0"/>
      <w:numFmt w:val="bullet"/>
      <w:lvlText w:val="•"/>
      <w:lvlJc w:val="left"/>
      <w:pPr>
        <w:ind w:left="4860" w:hanging="252"/>
      </w:pPr>
      <w:rPr>
        <w:rFonts w:hint="default"/>
      </w:rPr>
    </w:lvl>
    <w:lvl w:ilvl="6">
      <w:start w:val="0"/>
      <w:numFmt w:val="bullet"/>
      <w:lvlText w:val="•"/>
      <w:lvlJc w:val="left"/>
      <w:pPr>
        <w:ind w:left="5808" w:hanging="252"/>
      </w:pPr>
      <w:rPr>
        <w:rFonts w:hint="default"/>
      </w:rPr>
    </w:lvl>
    <w:lvl w:ilvl="7">
      <w:start w:val="0"/>
      <w:numFmt w:val="bullet"/>
      <w:lvlText w:val="•"/>
      <w:lvlJc w:val="left"/>
      <w:pPr>
        <w:ind w:left="6756" w:hanging="252"/>
      </w:pPr>
      <w:rPr>
        <w:rFonts w:hint="default"/>
      </w:rPr>
    </w:lvl>
    <w:lvl w:ilvl="8">
      <w:start w:val="0"/>
      <w:numFmt w:val="bullet"/>
      <w:lvlText w:val="•"/>
      <w:lvlJc w:val="left"/>
      <w:pPr>
        <w:ind w:left="7704" w:hanging="252"/>
      </w:pPr>
      <w:rPr>
        <w:rFonts w:hint="default"/>
      </w:rPr>
    </w:lvl>
  </w:abstractNum>
  <w:abstractNum w:abstractNumId="123">
    <w:multiLevelType w:val="hybridMultilevel"/>
    <w:lvl w:ilvl="0">
      <w:start w:val="1"/>
      <w:numFmt w:val="lowerLetter"/>
      <w:lvlText w:val="%1)"/>
      <w:lvlJc w:val="left"/>
      <w:pPr>
        <w:ind w:left="1068" w:hanging="229"/>
        <w:jc w:val="left"/>
      </w:pPr>
      <w:rPr>
        <w:rFonts w:hint="default" w:ascii="Times New Roman" w:hAnsi="Times New Roman" w:eastAsia="Times New Roman" w:cs="Times New Roman"/>
        <w:w w:val="100"/>
        <w:sz w:val="22"/>
        <w:szCs w:val="22"/>
      </w:rPr>
    </w:lvl>
    <w:lvl w:ilvl="1">
      <w:start w:val="0"/>
      <w:numFmt w:val="bullet"/>
      <w:lvlText w:val="•"/>
      <w:lvlJc w:val="left"/>
      <w:pPr>
        <w:ind w:left="1914" w:hanging="229"/>
      </w:pPr>
      <w:rPr>
        <w:rFonts w:hint="default"/>
      </w:rPr>
    </w:lvl>
    <w:lvl w:ilvl="2">
      <w:start w:val="0"/>
      <w:numFmt w:val="bullet"/>
      <w:lvlText w:val="•"/>
      <w:lvlJc w:val="left"/>
      <w:pPr>
        <w:ind w:left="2768" w:hanging="229"/>
      </w:pPr>
      <w:rPr>
        <w:rFonts w:hint="default"/>
      </w:rPr>
    </w:lvl>
    <w:lvl w:ilvl="3">
      <w:start w:val="0"/>
      <w:numFmt w:val="bullet"/>
      <w:lvlText w:val="•"/>
      <w:lvlJc w:val="left"/>
      <w:pPr>
        <w:ind w:left="3622" w:hanging="229"/>
      </w:pPr>
      <w:rPr>
        <w:rFonts w:hint="default"/>
      </w:rPr>
    </w:lvl>
    <w:lvl w:ilvl="4">
      <w:start w:val="0"/>
      <w:numFmt w:val="bullet"/>
      <w:lvlText w:val="•"/>
      <w:lvlJc w:val="left"/>
      <w:pPr>
        <w:ind w:left="4476" w:hanging="229"/>
      </w:pPr>
      <w:rPr>
        <w:rFonts w:hint="default"/>
      </w:rPr>
    </w:lvl>
    <w:lvl w:ilvl="5">
      <w:start w:val="0"/>
      <w:numFmt w:val="bullet"/>
      <w:lvlText w:val="•"/>
      <w:lvlJc w:val="left"/>
      <w:pPr>
        <w:ind w:left="5330" w:hanging="229"/>
      </w:pPr>
      <w:rPr>
        <w:rFonts w:hint="default"/>
      </w:rPr>
    </w:lvl>
    <w:lvl w:ilvl="6">
      <w:start w:val="0"/>
      <w:numFmt w:val="bullet"/>
      <w:lvlText w:val="•"/>
      <w:lvlJc w:val="left"/>
      <w:pPr>
        <w:ind w:left="6184" w:hanging="229"/>
      </w:pPr>
      <w:rPr>
        <w:rFonts w:hint="default"/>
      </w:rPr>
    </w:lvl>
    <w:lvl w:ilvl="7">
      <w:start w:val="0"/>
      <w:numFmt w:val="bullet"/>
      <w:lvlText w:val="•"/>
      <w:lvlJc w:val="left"/>
      <w:pPr>
        <w:ind w:left="7038" w:hanging="229"/>
      </w:pPr>
      <w:rPr>
        <w:rFonts w:hint="default"/>
      </w:rPr>
    </w:lvl>
    <w:lvl w:ilvl="8">
      <w:start w:val="0"/>
      <w:numFmt w:val="bullet"/>
      <w:lvlText w:val="•"/>
      <w:lvlJc w:val="left"/>
      <w:pPr>
        <w:ind w:left="7892" w:hanging="229"/>
      </w:pPr>
      <w:rPr>
        <w:rFonts w:hint="default"/>
      </w:rPr>
    </w:lvl>
  </w:abstractNum>
  <w:abstractNum w:abstractNumId="122">
    <w:multiLevelType w:val="hybridMultilevel"/>
    <w:lvl w:ilvl="0">
      <w:start w:val="1"/>
      <w:numFmt w:val="lowerLetter"/>
      <w:lvlText w:val="%1)"/>
      <w:lvlJc w:val="left"/>
      <w:pPr>
        <w:ind w:left="119" w:hanging="281"/>
        <w:jc w:val="left"/>
      </w:pPr>
      <w:rPr>
        <w:rFonts w:hint="default" w:ascii="Times New Roman" w:hAnsi="Times New Roman" w:eastAsia="Times New Roman" w:cs="Times New Roman"/>
        <w:w w:val="100"/>
        <w:sz w:val="22"/>
        <w:szCs w:val="22"/>
      </w:rPr>
    </w:lvl>
    <w:lvl w:ilvl="1">
      <w:start w:val="0"/>
      <w:numFmt w:val="bullet"/>
      <w:lvlText w:val="•"/>
      <w:lvlJc w:val="left"/>
      <w:pPr>
        <w:ind w:left="1068" w:hanging="281"/>
      </w:pPr>
      <w:rPr>
        <w:rFonts w:hint="default"/>
      </w:rPr>
    </w:lvl>
    <w:lvl w:ilvl="2">
      <w:start w:val="0"/>
      <w:numFmt w:val="bullet"/>
      <w:lvlText w:val="•"/>
      <w:lvlJc w:val="left"/>
      <w:pPr>
        <w:ind w:left="2016" w:hanging="281"/>
      </w:pPr>
      <w:rPr>
        <w:rFonts w:hint="default"/>
      </w:rPr>
    </w:lvl>
    <w:lvl w:ilvl="3">
      <w:start w:val="0"/>
      <w:numFmt w:val="bullet"/>
      <w:lvlText w:val="•"/>
      <w:lvlJc w:val="left"/>
      <w:pPr>
        <w:ind w:left="2964" w:hanging="281"/>
      </w:pPr>
      <w:rPr>
        <w:rFonts w:hint="default"/>
      </w:rPr>
    </w:lvl>
    <w:lvl w:ilvl="4">
      <w:start w:val="0"/>
      <w:numFmt w:val="bullet"/>
      <w:lvlText w:val="•"/>
      <w:lvlJc w:val="left"/>
      <w:pPr>
        <w:ind w:left="3912" w:hanging="281"/>
      </w:pPr>
      <w:rPr>
        <w:rFonts w:hint="default"/>
      </w:rPr>
    </w:lvl>
    <w:lvl w:ilvl="5">
      <w:start w:val="0"/>
      <w:numFmt w:val="bullet"/>
      <w:lvlText w:val="•"/>
      <w:lvlJc w:val="left"/>
      <w:pPr>
        <w:ind w:left="4860" w:hanging="281"/>
      </w:pPr>
      <w:rPr>
        <w:rFonts w:hint="default"/>
      </w:rPr>
    </w:lvl>
    <w:lvl w:ilvl="6">
      <w:start w:val="0"/>
      <w:numFmt w:val="bullet"/>
      <w:lvlText w:val="•"/>
      <w:lvlJc w:val="left"/>
      <w:pPr>
        <w:ind w:left="5808" w:hanging="281"/>
      </w:pPr>
      <w:rPr>
        <w:rFonts w:hint="default"/>
      </w:rPr>
    </w:lvl>
    <w:lvl w:ilvl="7">
      <w:start w:val="0"/>
      <w:numFmt w:val="bullet"/>
      <w:lvlText w:val="•"/>
      <w:lvlJc w:val="left"/>
      <w:pPr>
        <w:ind w:left="6756" w:hanging="281"/>
      </w:pPr>
      <w:rPr>
        <w:rFonts w:hint="default"/>
      </w:rPr>
    </w:lvl>
    <w:lvl w:ilvl="8">
      <w:start w:val="0"/>
      <w:numFmt w:val="bullet"/>
      <w:lvlText w:val="•"/>
      <w:lvlJc w:val="left"/>
      <w:pPr>
        <w:ind w:left="7704" w:hanging="281"/>
      </w:pPr>
      <w:rPr>
        <w:rFonts w:hint="default"/>
      </w:rPr>
    </w:lvl>
  </w:abstractNum>
  <w:abstractNum w:abstractNumId="121">
    <w:multiLevelType w:val="hybridMultilevel"/>
    <w:lvl w:ilvl="0">
      <w:start w:val="1"/>
      <w:numFmt w:val="decimal"/>
      <w:lvlText w:val="%1."/>
      <w:lvlJc w:val="left"/>
      <w:pPr>
        <w:ind w:left="119" w:hanging="245"/>
        <w:jc w:val="left"/>
      </w:pPr>
      <w:rPr>
        <w:rFonts w:hint="default" w:ascii="Times New Roman" w:hAnsi="Times New Roman" w:eastAsia="Times New Roman" w:cs="Times New Roman"/>
        <w:w w:val="100"/>
        <w:sz w:val="22"/>
        <w:szCs w:val="22"/>
      </w:rPr>
    </w:lvl>
    <w:lvl w:ilvl="1">
      <w:start w:val="0"/>
      <w:numFmt w:val="bullet"/>
      <w:lvlText w:val="•"/>
      <w:lvlJc w:val="left"/>
      <w:pPr>
        <w:ind w:left="1068" w:hanging="245"/>
      </w:pPr>
      <w:rPr>
        <w:rFonts w:hint="default"/>
      </w:rPr>
    </w:lvl>
    <w:lvl w:ilvl="2">
      <w:start w:val="0"/>
      <w:numFmt w:val="bullet"/>
      <w:lvlText w:val="•"/>
      <w:lvlJc w:val="left"/>
      <w:pPr>
        <w:ind w:left="2016" w:hanging="245"/>
      </w:pPr>
      <w:rPr>
        <w:rFonts w:hint="default"/>
      </w:rPr>
    </w:lvl>
    <w:lvl w:ilvl="3">
      <w:start w:val="0"/>
      <w:numFmt w:val="bullet"/>
      <w:lvlText w:val="•"/>
      <w:lvlJc w:val="left"/>
      <w:pPr>
        <w:ind w:left="2964" w:hanging="245"/>
      </w:pPr>
      <w:rPr>
        <w:rFonts w:hint="default"/>
      </w:rPr>
    </w:lvl>
    <w:lvl w:ilvl="4">
      <w:start w:val="0"/>
      <w:numFmt w:val="bullet"/>
      <w:lvlText w:val="•"/>
      <w:lvlJc w:val="left"/>
      <w:pPr>
        <w:ind w:left="3912" w:hanging="245"/>
      </w:pPr>
      <w:rPr>
        <w:rFonts w:hint="default"/>
      </w:rPr>
    </w:lvl>
    <w:lvl w:ilvl="5">
      <w:start w:val="0"/>
      <w:numFmt w:val="bullet"/>
      <w:lvlText w:val="•"/>
      <w:lvlJc w:val="left"/>
      <w:pPr>
        <w:ind w:left="4860" w:hanging="245"/>
      </w:pPr>
      <w:rPr>
        <w:rFonts w:hint="default"/>
      </w:rPr>
    </w:lvl>
    <w:lvl w:ilvl="6">
      <w:start w:val="0"/>
      <w:numFmt w:val="bullet"/>
      <w:lvlText w:val="•"/>
      <w:lvlJc w:val="left"/>
      <w:pPr>
        <w:ind w:left="5808" w:hanging="245"/>
      </w:pPr>
      <w:rPr>
        <w:rFonts w:hint="default"/>
      </w:rPr>
    </w:lvl>
    <w:lvl w:ilvl="7">
      <w:start w:val="0"/>
      <w:numFmt w:val="bullet"/>
      <w:lvlText w:val="•"/>
      <w:lvlJc w:val="left"/>
      <w:pPr>
        <w:ind w:left="6756" w:hanging="245"/>
      </w:pPr>
      <w:rPr>
        <w:rFonts w:hint="default"/>
      </w:rPr>
    </w:lvl>
    <w:lvl w:ilvl="8">
      <w:start w:val="0"/>
      <w:numFmt w:val="bullet"/>
      <w:lvlText w:val="•"/>
      <w:lvlJc w:val="left"/>
      <w:pPr>
        <w:ind w:left="7704" w:hanging="245"/>
      </w:pPr>
      <w:rPr>
        <w:rFonts w:hint="default"/>
      </w:rPr>
    </w:lvl>
  </w:abstractNum>
  <w:abstractNum w:abstractNumId="120">
    <w:multiLevelType w:val="hybridMultilevel"/>
    <w:lvl w:ilvl="0">
      <w:start w:val="1"/>
      <w:numFmt w:val="decimal"/>
      <w:lvlText w:val="%1."/>
      <w:lvlJc w:val="left"/>
      <w:pPr>
        <w:ind w:left="120" w:hanging="250"/>
        <w:jc w:val="left"/>
      </w:pPr>
      <w:rPr>
        <w:rFonts w:hint="default" w:ascii="Times New Roman" w:hAnsi="Times New Roman" w:eastAsia="Times New Roman" w:cs="Times New Roman"/>
        <w:w w:val="100"/>
        <w:sz w:val="22"/>
        <w:szCs w:val="22"/>
      </w:rPr>
    </w:lvl>
    <w:lvl w:ilvl="1">
      <w:start w:val="0"/>
      <w:numFmt w:val="bullet"/>
      <w:lvlText w:val="•"/>
      <w:lvlJc w:val="left"/>
      <w:pPr>
        <w:ind w:left="1068" w:hanging="250"/>
      </w:pPr>
      <w:rPr>
        <w:rFonts w:hint="default"/>
      </w:rPr>
    </w:lvl>
    <w:lvl w:ilvl="2">
      <w:start w:val="0"/>
      <w:numFmt w:val="bullet"/>
      <w:lvlText w:val="•"/>
      <w:lvlJc w:val="left"/>
      <w:pPr>
        <w:ind w:left="2016" w:hanging="250"/>
      </w:pPr>
      <w:rPr>
        <w:rFonts w:hint="default"/>
      </w:rPr>
    </w:lvl>
    <w:lvl w:ilvl="3">
      <w:start w:val="0"/>
      <w:numFmt w:val="bullet"/>
      <w:lvlText w:val="•"/>
      <w:lvlJc w:val="left"/>
      <w:pPr>
        <w:ind w:left="2964" w:hanging="250"/>
      </w:pPr>
      <w:rPr>
        <w:rFonts w:hint="default"/>
      </w:rPr>
    </w:lvl>
    <w:lvl w:ilvl="4">
      <w:start w:val="0"/>
      <w:numFmt w:val="bullet"/>
      <w:lvlText w:val="•"/>
      <w:lvlJc w:val="left"/>
      <w:pPr>
        <w:ind w:left="3912" w:hanging="250"/>
      </w:pPr>
      <w:rPr>
        <w:rFonts w:hint="default"/>
      </w:rPr>
    </w:lvl>
    <w:lvl w:ilvl="5">
      <w:start w:val="0"/>
      <w:numFmt w:val="bullet"/>
      <w:lvlText w:val="•"/>
      <w:lvlJc w:val="left"/>
      <w:pPr>
        <w:ind w:left="4860" w:hanging="250"/>
      </w:pPr>
      <w:rPr>
        <w:rFonts w:hint="default"/>
      </w:rPr>
    </w:lvl>
    <w:lvl w:ilvl="6">
      <w:start w:val="0"/>
      <w:numFmt w:val="bullet"/>
      <w:lvlText w:val="•"/>
      <w:lvlJc w:val="left"/>
      <w:pPr>
        <w:ind w:left="5808" w:hanging="250"/>
      </w:pPr>
      <w:rPr>
        <w:rFonts w:hint="default"/>
      </w:rPr>
    </w:lvl>
    <w:lvl w:ilvl="7">
      <w:start w:val="0"/>
      <w:numFmt w:val="bullet"/>
      <w:lvlText w:val="•"/>
      <w:lvlJc w:val="left"/>
      <w:pPr>
        <w:ind w:left="6756" w:hanging="250"/>
      </w:pPr>
      <w:rPr>
        <w:rFonts w:hint="default"/>
      </w:rPr>
    </w:lvl>
    <w:lvl w:ilvl="8">
      <w:start w:val="0"/>
      <w:numFmt w:val="bullet"/>
      <w:lvlText w:val="•"/>
      <w:lvlJc w:val="left"/>
      <w:pPr>
        <w:ind w:left="7704" w:hanging="250"/>
      </w:pPr>
      <w:rPr>
        <w:rFonts w:hint="default"/>
      </w:rPr>
    </w:lvl>
  </w:abstractNum>
  <w:abstractNum w:abstractNumId="119">
    <w:multiLevelType w:val="hybridMultilevel"/>
    <w:lvl w:ilvl="0">
      <w:start w:val="1"/>
      <w:numFmt w:val="lowerLetter"/>
      <w:lvlText w:val="%1)"/>
      <w:lvlJc w:val="left"/>
      <w:pPr>
        <w:ind w:left="1068" w:hanging="229"/>
        <w:jc w:val="left"/>
      </w:pPr>
      <w:rPr>
        <w:rFonts w:hint="default" w:ascii="Times New Roman" w:hAnsi="Times New Roman" w:eastAsia="Times New Roman" w:cs="Times New Roman"/>
        <w:w w:val="100"/>
        <w:sz w:val="22"/>
        <w:szCs w:val="22"/>
      </w:rPr>
    </w:lvl>
    <w:lvl w:ilvl="1">
      <w:start w:val="0"/>
      <w:numFmt w:val="bullet"/>
      <w:lvlText w:val="•"/>
      <w:lvlJc w:val="left"/>
      <w:pPr>
        <w:ind w:left="1914" w:hanging="229"/>
      </w:pPr>
      <w:rPr>
        <w:rFonts w:hint="default"/>
      </w:rPr>
    </w:lvl>
    <w:lvl w:ilvl="2">
      <w:start w:val="0"/>
      <w:numFmt w:val="bullet"/>
      <w:lvlText w:val="•"/>
      <w:lvlJc w:val="left"/>
      <w:pPr>
        <w:ind w:left="2768" w:hanging="229"/>
      </w:pPr>
      <w:rPr>
        <w:rFonts w:hint="default"/>
      </w:rPr>
    </w:lvl>
    <w:lvl w:ilvl="3">
      <w:start w:val="0"/>
      <w:numFmt w:val="bullet"/>
      <w:lvlText w:val="•"/>
      <w:lvlJc w:val="left"/>
      <w:pPr>
        <w:ind w:left="3622" w:hanging="229"/>
      </w:pPr>
      <w:rPr>
        <w:rFonts w:hint="default"/>
      </w:rPr>
    </w:lvl>
    <w:lvl w:ilvl="4">
      <w:start w:val="0"/>
      <w:numFmt w:val="bullet"/>
      <w:lvlText w:val="•"/>
      <w:lvlJc w:val="left"/>
      <w:pPr>
        <w:ind w:left="4476" w:hanging="229"/>
      </w:pPr>
      <w:rPr>
        <w:rFonts w:hint="default"/>
      </w:rPr>
    </w:lvl>
    <w:lvl w:ilvl="5">
      <w:start w:val="0"/>
      <w:numFmt w:val="bullet"/>
      <w:lvlText w:val="•"/>
      <w:lvlJc w:val="left"/>
      <w:pPr>
        <w:ind w:left="5330" w:hanging="229"/>
      </w:pPr>
      <w:rPr>
        <w:rFonts w:hint="default"/>
      </w:rPr>
    </w:lvl>
    <w:lvl w:ilvl="6">
      <w:start w:val="0"/>
      <w:numFmt w:val="bullet"/>
      <w:lvlText w:val="•"/>
      <w:lvlJc w:val="left"/>
      <w:pPr>
        <w:ind w:left="6184" w:hanging="229"/>
      </w:pPr>
      <w:rPr>
        <w:rFonts w:hint="default"/>
      </w:rPr>
    </w:lvl>
    <w:lvl w:ilvl="7">
      <w:start w:val="0"/>
      <w:numFmt w:val="bullet"/>
      <w:lvlText w:val="•"/>
      <w:lvlJc w:val="left"/>
      <w:pPr>
        <w:ind w:left="7038" w:hanging="229"/>
      </w:pPr>
      <w:rPr>
        <w:rFonts w:hint="default"/>
      </w:rPr>
    </w:lvl>
    <w:lvl w:ilvl="8">
      <w:start w:val="0"/>
      <w:numFmt w:val="bullet"/>
      <w:lvlText w:val="•"/>
      <w:lvlJc w:val="left"/>
      <w:pPr>
        <w:ind w:left="7892" w:hanging="229"/>
      </w:pPr>
      <w:rPr>
        <w:rFonts w:hint="default"/>
      </w:rPr>
    </w:lvl>
  </w:abstractNum>
  <w:abstractNum w:abstractNumId="118">
    <w:multiLevelType w:val="hybridMultilevel"/>
    <w:lvl w:ilvl="0">
      <w:start w:val="1"/>
      <w:numFmt w:val="lowerLetter"/>
      <w:lvlText w:val="%1)"/>
      <w:lvlJc w:val="left"/>
      <w:pPr>
        <w:ind w:left="120" w:hanging="289"/>
        <w:jc w:val="left"/>
      </w:pPr>
      <w:rPr>
        <w:rFonts w:hint="default" w:ascii="Times New Roman" w:hAnsi="Times New Roman" w:eastAsia="Times New Roman" w:cs="Times New Roman"/>
        <w:w w:val="100"/>
        <w:sz w:val="22"/>
        <w:szCs w:val="22"/>
      </w:rPr>
    </w:lvl>
    <w:lvl w:ilvl="1">
      <w:start w:val="0"/>
      <w:numFmt w:val="bullet"/>
      <w:lvlText w:val="•"/>
      <w:lvlJc w:val="left"/>
      <w:pPr>
        <w:ind w:left="1068" w:hanging="289"/>
      </w:pPr>
      <w:rPr>
        <w:rFonts w:hint="default"/>
      </w:rPr>
    </w:lvl>
    <w:lvl w:ilvl="2">
      <w:start w:val="0"/>
      <w:numFmt w:val="bullet"/>
      <w:lvlText w:val="•"/>
      <w:lvlJc w:val="left"/>
      <w:pPr>
        <w:ind w:left="2016" w:hanging="289"/>
      </w:pPr>
      <w:rPr>
        <w:rFonts w:hint="default"/>
      </w:rPr>
    </w:lvl>
    <w:lvl w:ilvl="3">
      <w:start w:val="0"/>
      <w:numFmt w:val="bullet"/>
      <w:lvlText w:val="•"/>
      <w:lvlJc w:val="left"/>
      <w:pPr>
        <w:ind w:left="2964" w:hanging="289"/>
      </w:pPr>
      <w:rPr>
        <w:rFonts w:hint="default"/>
      </w:rPr>
    </w:lvl>
    <w:lvl w:ilvl="4">
      <w:start w:val="0"/>
      <w:numFmt w:val="bullet"/>
      <w:lvlText w:val="•"/>
      <w:lvlJc w:val="left"/>
      <w:pPr>
        <w:ind w:left="3912" w:hanging="289"/>
      </w:pPr>
      <w:rPr>
        <w:rFonts w:hint="default"/>
      </w:rPr>
    </w:lvl>
    <w:lvl w:ilvl="5">
      <w:start w:val="0"/>
      <w:numFmt w:val="bullet"/>
      <w:lvlText w:val="•"/>
      <w:lvlJc w:val="left"/>
      <w:pPr>
        <w:ind w:left="4860" w:hanging="289"/>
      </w:pPr>
      <w:rPr>
        <w:rFonts w:hint="default"/>
      </w:rPr>
    </w:lvl>
    <w:lvl w:ilvl="6">
      <w:start w:val="0"/>
      <w:numFmt w:val="bullet"/>
      <w:lvlText w:val="•"/>
      <w:lvlJc w:val="left"/>
      <w:pPr>
        <w:ind w:left="5808" w:hanging="289"/>
      </w:pPr>
      <w:rPr>
        <w:rFonts w:hint="default"/>
      </w:rPr>
    </w:lvl>
    <w:lvl w:ilvl="7">
      <w:start w:val="0"/>
      <w:numFmt w:val="bullet"/>
      <w:lvlText w:val="•"/>
      <w:lvlJc w:val="left"/>
      <w:pPr>
        <w:ind w:left="6756" w:hanging="289"/>
      </w:pPr>
      <w:rPr>
        <w:rFonts w:hint="default"/>
      </w:rPr>
    </w:lvl>
    <w:lvl w:ilvl="8">
      <w:start w:val="0"/>
      <w:numFmt w:val="bullet"/>
      <w:lvlText w:val="•"/>
      <w:lvlJc w:val="left"/>
      <w:pPr>
        <w:ind w:left="7704" w:hanging="289"/>
      </w:pPr>
      <w:rPr>
        <w:rFonts w:hint="default"/>
      </w:rPr>
    </w:lvl>
  </w:abstractNum>
  <w:abstractNum w:abstractNumId="117">
    <w:multiLevelType w:val="hybridMultilevel"/>
    <w:lvl w:ilvl="0">
      <w:start w:val="1"/>
      <w:numFmt w:val="decimal"/>
      <w:lvlText w:val="%1."/>
      <w:lvlJc w:val="left"/>
      <w:pPr>
        <w:ind w:left="120" w:hanging="226"/>
        <w:jc w:val="left"/>
      </w:pPr>
      <w:rPr>
        <w:rFonts w:hint="default" w:ascii="Times New Roman" w:hAnsi="Times New Roman" w:eastAsia="Times New Roman" w:cs="Times New Roman"/>
        <w:w w:val="100"/>
        <w:sz w:val="22"/>
        <w:szCs w:val="22"/>
      </w:rPr>
    </w:lvl>
    <w:lvl w:ilvl="1">
      <w:start w:val="0"/>
      <w:numFmt w:val="bullet"/>
      <w:lvlText w:val="•"/>
      <w:lvlJc w:val="left"/>
      <w:pPr>
        <w:ind w:left="1068" w:hanging="226"/>
      </w:pPr>
      <w:rPr>
        <w:rFonts w:hint="default"/>
      </w:rPr>
    </w:lvl>
    <w:lvl w:ilvl="2">
      <w:start w:val="0"/>
      <w:numFmt w:val="bullet"/>
      <w:lvlText w:val="•"/>
      <w:lvlJc w:val="left"/>
      <w:pPr>
        <w:ind w:left="2016" w:hanging="226"/>
      </w:pPr>
      <w:rPr>
        <w:rFonts w:hint="default"/>
      </w:rPr>
    </w:lvl>
    <w:lvl w:ilvl="3">
      <w:start w:val="0"/>
      <w:numFmt w:val="bullet"/>
      <w:lvlText w:val="•"/>
      <w:lvlJc w:val="left"/>
      <w:pPr>
        <w:ind w:left="2964" w:hanging="226"/>
      </w:pPr>
      <w:rPr>
        <w:rFonts w:hint="default"/>
      </w:rPr>
    </w:lvl>
    <w:lvl w:ilvl="4">
      <w:start w:val="0"/>
      <w:numFmt w:val="bullet"/>
      <w:lvlText w:val="•"/>
      <w:lvlJc w:val="left"/>
      <w:pPr>
        <w:ind w:left="3912" w:hanging="226"/>
      </w:pPr>
      <w:rPr>
        <w:rFonts w:hint="default"/>
      </w:rPr>
    </w:lvl>
    <w:lvl w:ilvl="5">
      <w:start w:val="0"/>
      <w:numFmt w:val="bullet"/>
      <w:lvlText w:val="•"/>
      <w:lvlJc w:val="left"/>
      <w:pPr>
        <w:ind w:left="4860" w:hanging="226"/>
      </w:pPr>
      <w:rPr>
        <w:rFonts w:hint="default"/>
      </w:rPr>
    </w:lvl>
    <w:lvl w:ilvl="6">
      <w:start w:val="0"/>
      <w:numFmt w:val="bullet"/>
      <w:lvlText w:val="•"/>
      <w:lvlJc w:val="left"/>
      <w:pPr>
        <w:ind w:left="5808" w:hanging="226"/>
      </w:pPr>
      <w:rPr>
        <w:rFonts w:hint="default"/>
      </w:rPr>
    </w:lvl>
    <w:lvl w:ilvl="7">
      <w:start w:val="0"/>
      <w:numFmt w:val="bullet"/>
      <w:lvlText w:val="•"/>
      <w:lvlJc w:val="left"/>
      <w:pPr>
        <w:ind w:left="6756" w:hanging="226"/>
      </w:pPr>
      <w:rPr>
        <w:rFonts w:hint="default"/>
      </w:rPr>
    </w:lvl>
    <w:lvl w:ilvl="8">
      <w:start w:val="0"/>
      <w:numFmt w:val="bullet"/>
      <w:lvlText w:val="•"/>
      <w:lvlJc w:val="left"/>
      <w:pPr>
        <w:ind w:left="7704" w:hanging="226"/>
      </w:pPr>
      <w:rPr>
        <w:rFonts w:hint="default"/>
      </w:rPr>
    </w:lvl>
  </w:abstractNum>
  <w:abstractNum w:abstractNumId="116">
    <w:multiLevelType w:val="hybridMultilevel"/>
    <w:lvl w:ilvl="0">
      <w:start w:val="1"/>
      <w:numFmt w:val="decimal"/>
      <w:lvlText w:val="%1."/>
      <w:lvlJc w:val="left"/>
      <w:pPr>
        <w:ind w:left="120" w:hanging="248"/>
        <w:jc w:val="left"/>
      </w:pPr>
      <w:rPr>
        <w:rFonts w:hint="default" w:ascii="Times New Roman" w:hAnsi="Times New Roman" w:eastAsia="Times New Roman" w:cs="Times New Roman"/>
        <w:w w:val="100"/>
        <w:sz w:val="22"/>
        <w:szCs w:val="22"/>
      </w:rPr>
    </w:lvl>
    <w:lvl w:ilvl="1">
      <w:start w:val="0"/>
      <w:numFmt w:val="bullet"/>
      <w:lvlText w:val="•"/>
      <w:lvlJc w:val="left"/>
      <w:pPr>
        <w:ind w:left="1068" w:hanging="248"/>
      </w:pPr>
      <w:rPr>
        <w:rFonts w:hint="default"/>
      </w:rPr>
    </w:lvl>
    <w:lvl w:ilvl="2">
      <w:start w:val="0"/>
      <w:numFmt w:val="bullet"/>
      <w:lvlText w:val="•"/>
      <w:lvlJc w:val="left"/>
      <w:pPr>
        <w:ind w:left="2016" w:hanging="248"/>
      </w:pPr>
      <w:rPr>
        <w:rFonts w:hint="default"/>
      </w:rPr>
    </w:lvl>
    <w:lvl w:ilvl="3">
      <w:start w:val="0"/>
      <w:numFmt w:val="bullet"/>
      <w:lvlText w:val="•"/>
      <w:lvlJc w:val="left"/>
      <w:pPr>
        <w:ind w:left="2964" w:hanging="248"/>
      </w:pPr>
      <w:rPr>
        <w:rFonts w:hint="default"/>
      </w:rPr>
    </w:lvl>
    <w:lvl w:ilvl="4">
      <w:start w:val="0"/>
      <w:numFmt w:val="bullet"/>
      <w:lvlText w:val="•"/>
      <w:lvlJc w:val="left"/>
      <w:pPr>
        <w:ind w:left="3912" w:hanging="248"/>
      </w:pPr>
      <w:rPr>
        <w:rFonts w:hint="default"/>
      </w:rPr>
    </w:lvl>
    <w:lvl w:ilvl="5">
      <w:start w:val="0"/>
      <w:numFmt w:val="bullet"/>
      <w:lvlText w:val="•"/>
      <w:lvlJc w:val="left"/>
      <w:pPr>
        <w:ind w:left="4860" w:hanging="248"/>
      </w:pPr>
      <w:rPr>
        <w:rFonts w:hint="default"/>
      </w:rPr>
    </w:lvl>
    <w:lvl w:ilvl="6">
      <w:start w:val="0"/>
      <w:numFmt w:val="bullet"/>
      <w:lvlText w:val="•"/>
      <w:lvlJc w:val="left"/>
      <w:pPr>
        <w:ind w:left="5808" w:hanging="248"/>
      </w:pPr>
      <w:rPr>
        <w:rFonts w:hint="default"/>
      </w:rPr>
    </w:lvl>
    <w:lvl w:ilvl="7">
      <w:start w:val="0"/>
      <w:numFmt w:val="bullet"/>
      <w:lvlText w:val="•"/>
      <w:lvlJc w:val="left"/>
      <w:pPr>
        <w:ind w:left="6756" w:hanging="248"/>
      </w:pPr>
      <w:rPr>
        <w:rFonts w:hint="default"/>
      </w:rPr>
    </w:lvl>
    <w:lvl w:ilvl="8">
      <w:start w:val="0"/>
      <w:numFmt w:val="bullet"/>
      <w:lvlText w:val="•"/>
      <w:lvlJc w:val="left"/>
      <w:pPr>
        <w:ind w:left="7704" w:hanging="248"/>
      </w:pPr>
      <w:rPr>
        <w:rFonts w:hint="default"/>
      </w:rPr>
    </w:lvl>
  </w:abstractNum>
  <w:abstractNum w:abstractNumId="115">
    <w:multiLevelType w:val="hybridMultilevel"/>
    <w:lvl w:ilvl="0">
      <w:start w:val="1"/>
      <w:numFmt w:val="decimal"/>
      <w:lvlText w:val="%1."/>
      <w:lvlJc w:val="left"/>
      <w:pPr>
        <w:ind w:left="1061" w:hanging="221"/>
        <w:jc w:val="left"/>
      </w:pPr>
      <w:rPr>
        <w:rFonts w:hint="default" w:ascii="Times New Roman" w:hAnsi="Times New Roman" w:eastAsia="Times New Roman" w:cs="Times New Roman"/>
        <w:w w:val="100"/>
        <w:sz w:val="22"/>
        <w:szCs w:val="22"/>
      </w:rPr>
    </w:lvl>
    <w:lvl w:ilvl="1">
      <w:start w:val="0"/>
      <w:numFmt w:val="bullet"/>
      <w:lvlText w:val="•"/>
      <w:lvlJc w:val="left"/>
      <w:pPr>
        <w:ind w:left="1914" w:hanging="221"/>
      </w:pPr>
      <w:rPr>
        <w:rFonts w:hint="default"/>
      </w:rPr>
    </w:lvl>
    <w:lvl w:ilvl="2">
      <w:start w:val="0"/>
      <w:numFmt w:val="bullet"/>
      <w:lvlText w:val="•"/>
      <w:lvlJc w:val="left"/>
      <w:pPr>
        <w:ind w:left="2768" w:hanging="221"/>
      </w:pPr>
      <w:rPr>
        <w:rFonts w:hint="default"/>
      </w:rPr>
    </w:lvl>
    <w:lvl w:ilvl="3">
      <w:start w:val="0"/>
      <w:numFmt w:val="bullet"/>
      <w:lvlText w:val="•"/>
      <w:lvlJc w:val="left"/>
      <w:pPr>
        <w:ind w:left="3622" w:hanging="221"/>
      </w:pPr>
      <w:rPr>
        <w:rFonts w:hint="default"/>
      </w:rPr>
    </w:lvl>
    <w:lvl w:ilvl="4">
      <w:start w:val="0"/>
      <w:numFmt w:val="bullet"/>
      <w:lvlText w:val="•"/>
      <w:lvlJc w:val="left"/>
      <w:pPr>
        <w:ind w:left="4476" w:hanging="221"/>
      </w:pPr>
      <w:rPr>
        <w:rFonts w:hint="default"/>
      </w:rPr>
    </w:lvl>
    <w:lvl w:ilvl="5">
      <w:start w:val="0"/>
      <w:numFmt w:val="bullet"/>
      <w:lvlText w:val="•"/>
      <w:lvlJc w:val="left"/>
      <w:pPr>
        <w:ind w:left="5330" w:hanging="221"/>
      </w:pPr>
      <w:rPr>
        <w:rFonts w:hint="default"/>
      </w:rPr>
    </w:lvl>
    <w:lvl w:ilvl="6">
      <w:start w:val="0"/>
      <w:numFmt w:val="bullet"/>
      <w:lvlText w:val="•"/>
      <w:lvlJc w:val="left"/>
      <w:pPr>
        <w:ind w:left="6184" w:hanging="221"/>
      </w:pPr>
      <w:rPr>
        <w:rFonts w:hint="default"/>
      </w:rPr>
    </w:lvl>
    <w:lvl w:ilvl="7">
      <w:start w:val="0"/>
      <w:numFmt w:val="bullet"/>
      <w:lvlText w:val="•"/>
      <w:lvlJc w:val="left"/>
      <w:pPr>
        <w:ind w:left="7038" w:hanging="221"/>
      </w:pPr>
      <w:rPr>
        <w:rFonts w:hint="default"/>
      </w:rPr>
    </w:lvl>
    <w:lvl w:ilvl="8">
      <w:start w:val="0"/>
      <w:numFmt w:val="bullet"/>
      <w:lvlText w:val="•"/>
      <w:lvlJc w:val="left"/>
      <w:pPr>
        <w:ind w:left="7892" w:hanging="221"/>
      </w:pPr>
      <w:rPr>
        <w:rFonts w:hint="default"/>
      </w:rPr>
    </w:lvl>
  </w:abstractNum>
  <w:abstractNum w:abstractNumId="114">
    <w:multiLevelType w:val="hybridMultilevel"/>
    <w:lvl w:ilvl="0">
      <w:start w:val="1"/>
      <w:numFmt w:val="decimal"/>
      <w:lvlText w:val="%1."/>
      <w:lvlJc w:val="left"/>
      <w:pPr>
        <w:ind w:left="120" w:hanging="245"/>
        <w:jc w:val="left"/>
      </w:pPr>
      <w:rPr>
        <w:rFonts w:hint="default" w:ascii="Times New Roman" w:hAnsi="Times New Roman" w:eastAsia="Times New Roman" w:cs="Times New Roman"/>
        <w:w w:val="100"/>
        <w:sz w:val="22"/>
        <w:szCs w:val="22"/>
      </w:rPr>
    </w:lvl>
    <w:lvl w:ilvl="1">
      <w:start w:val="0"/>
      <w:numFmt w:val="bullet"/>
      <w:lvlText w:val="•"/>
      <w:lvlJc w:val="left"/>
      <w:pPr>
        <w:ind w:left="1068" w:hanging="245"/>
      </w:pPr>
      <w:rPr>
        <w:rFonts w:hint="default"/>
      </w:rPr>
    </w:lvl>
    <w:lvl w:ilvl="2">
      <w:start w:val="0"/>
      <w:numFmt w:val="bullet"/>
      <w:lvlText w:val="•"/>
      <w:lvlJc w:val="left"/>
      <w:pPr>
        <w:ind w:left="2016" w:hanging="245"/>
      </w:pPr>
      <w:rPr>
        <w:rFonts w:hint="default"/>
      </w:rPr>
    </w:lvl>
    <w:lvl w:ilvl="3">
      <w:start w:val="0"/>
      <w:numFmt w:val="bullet"/>
      <w:lvlText w:val="•"/>
      <w:lvlJc w:val="left"/>
      <w:pPr>
        <w:ind w:left="2964" w:hanging="245"/>
      </w:pPr>
      <w:rPr>
        <w:rFonts w:hint="default"/>
      </w:rPr>
    </w:lvl>
    <w:lvl w:ilvl="4">
      <w:start w:val="0"/>
      <w:numFmt w:val="bullet"/>
      <w:lvlText w:val="•"/>
      <w:lvlJc w:val="left"/>
      <w:pPr>
        <w:ind w:left="3912" w:hanging="245"/>
      </w:pPr>
      <w:rPr>
        <w:rFonts w:hint="default"/>
      </w:rPr>
    </w:lvl>
    <w:lvl w:ilvl="5">
      <w:start w:val="0"/>
      <w:numFmt w:val="bullet"/>
      <w:lvlText w:val="•"/>
      <w:lvlJc w:val="left"/>
      <w:pPr>
        <w:ind w:left="4860" w:hanging="245"/>
      </w:pPr>
      <w:rPr>
        <w:rFonts w:hint="default"/>
      </w:rPr>
    </w:lvl>
    <w:lvl w:ilvl="6">
      <w:start w:val="0"/>
      <w:numFmt w:val="bullet"/>
      <w:lvlText w:val="•"/>
      <w:lvlJc w:val="left"/>
      <w:pPr>
        <w:ind w:left="5808" w:hanging="245"/>
      </w:pPr>
      <w:rPr>
        <w:rFonts w:hint="default"/>
      </w:rPr>
    </w:lvl>
    <w:lvl w:ilvl="7">
      <w:start w:val="0"/>
      <w:numFmt w:val="bullet"/>
      <w:lvlText w:val="•"/>
      <w:lvlJc w:val="left"/>
      <w:pPr>
        <w:ind w:left="6756" w:hanging="245"/>
      </w:pPr>
      <w:rPr>
        <w:rFonts w:hint="default"/>
      </w:rPr>
    </w:lvl>
    <w:lvl w:ilvl="8">
      <w:start w:val="0"/>
      <w:numFmt w:val="bullet"/>
      <w:lvlText w:val="•"/>
      <w:lvlJc w:val="left"/>
      <w:pPr>
        <w:ind w:left="7704" w:hanging="245"/>
      </w:pPr>
      <w:rPr>
        <w:rFonts w:hint="default"/>
      </w:rPr>
    </w:lvl>
  </w:abstractNum>
  <w:abstractNum w:abstractNumId="113">
    <w:multiLevelType w:val="hybridMultilevel"/>
    <w:lvl w:ilvl="0">
      <w:start w:val="1"/>
      <w:numFmt w:val="lowerLetter"/>
      <w:lvlText w:val="%1)"/>
      <w:lvlJc w:val="left"/>
      <w:pPr>
        <w:ind w:left="1068" w:hanging="229"/>
        <w:jc w:val="left"/>
      </w:pPr>
      <w:rPr>
        <w:rFonts w:hint="default" w:ascii="Times New Roman" w:hAnsi="Times New Roman" w:eastAsia="Times New Roman" w:cs="Times New Roman"/>
        <w:w w:val="100"/>
        <w:sz w:val="22"/>
        <w:szCs w:val="22"/>
      </w:rPr>
    </w:lvl>
    <w:lvl w:ilvl="1">
      <w:start w:val="0"/>
      <w:numFmt w:val="bullet"/>
      <w:lvlText w:val="•"/>
      <w:lvlJc w:val="left"/>
      <w:pPr>
        <w:ind w:left="1914" w:hanging="229"/>
      </w:pPr>
      <w:rPr>
        <w:rFonts w:hint="default"/>
      </w:rPr>
    </w:lvl>
    <w:lvl w:ilvl="2">
      <w:start w:val="0"/>
      <w:numFmt w:val="bullet"/>
      <w:lvlText w:val="•"/>
      <w:lvlJc w:val="left"/>
      <w:pPr>
        <w:ind w:left="2768" w:hanging="229"/>
      </w:pPr>
      <w:rPr>
        <w:rFonts w:hint="default"/>
      </w:rPr>
    </w:lvl>
    <w:lvl w:ilvl="3">
      <w:start w:val="0"/>
      <w:numFmt w:val="bullet"/>
      <w:lvlText w:val="•"/>
      <w:lvlJc w:val="left"/>
      <w:pPr>
        <w:ind w:left="3622" w:hanging="229"/>
      </w:pPr>
      <w:rPr>
        <w:rFonts w:hint="default"/>
      </w:rPr>
    </w:lvl>
    <w:lvl w:ilvl="4">
      <w:start w:val="0"/>
      <w:numFmt w:val="bullet"/>
      <w:lvlText w:val="•"/>
      <w:lvlJc w:val="left"/>
      <w:pPr>
        <w:ind w:left="4476" w:hanging="229"/>
      </w:pPr>
      <w:rPr>
        <w:rFonts w:hint="default"/>
      </w:rPr>
    </w:lvl>
    <w:lvl w:ilvl="5">
      <w:start w:val="0"/>
      <w:numFmt w:val="bullet"/>
      <w:lvlText w:val="•"/>
      <w:lvlJc w:val="left"/>
      <w:pPr>
        <w:ind w:left="5330" w:hanging="229"/>
      </w:pPr>
      <w:rPr>
        <w:rFonts w:hint="default"/>
      </w:rPr>
    </w:lvl>
    <w:lvl w:ilvl="6">
      <w:start w:val="0"/>
      <w:numFmt w:val="bullet"/>
      <w:lvlText w:val="•"/>
      <w:lvlJc w:val="left"/>
      <w:pPr>
        <w:ind w:left="6184" w:hanging="229"/>
      </w:pPr>
      <w:rPr>
        <w:rFonts w:hint="default"/>
      </w:rPr>
    </w:lvl>
    <w:lvl w:ilvl="7">
      <w:start w:val="0"/>
      <w:numFmt w:val="bullet"/>
      <w:lvlText w:val="•"/>
      <w:lvlJc w:val="left"/>
      <w:pPr>
        <w:ind w:left="7038" w:hanging="229"/>
      </w:pPr>
      <w:rPr>
        <w:rFonts w:hint="default"/>
      </w:rPr>
    </w:lvl>
    <w:lvl w:ilvl="8">
      <w:start w:val="0"/>
      <w:numFmt w:val="bullet"/>
      <w:lvlText w:val="•"/>
      <w:lvlJc w:val="left"/>
      <w:pPr>
        <w:ind w:left="7892" w:hanging="229"/>
      </w:pPr>
      <w:rPr>
        <w:rFonts w:hint="default"/>
      </w:rPr>
    </w:lvl>
  </w:abstractNum>
  <w:abstractNum w:abstractNumId="112">
    <w:multiLevelType w:val="hybridMultilevel"/>
    <w:lvl w:ilvl="0">
      <w:start w:val="1"/>
      <w:numFmt w:val="lowerRoman"/>
      <w:lvlText w:val="%1)"/>
      <w:lvlJc w:val="left"/>
      <w:pPr>
        <w:ind w:left="1032" w:hanging="193"/>
        <w:jc w:val="left"/>
      </w:pPr>
      <w:rPr>
        <w:rFonts w:hint="default" w:ascii="Times New Roman" w:hAnsi="Times New Roman" w:eastAsia="Times New Roman" w:cs="Times New Roman"/>
        <w:spacing w:val="0"/>
        <w:w w:val="100"/>
        <w:sz w:val="22"/>
        <w:szCs w:val="22"/>
      </w:rPr>
    </w:lvl>
    <w:lvl w:ilvl="1">
      <w:start w:val="0"/>
      <w:numFmt w:val="bullet"/>
      <w:lvlText w:val="•"/>
      <w:lvlJc w:val="left"/>
      <w:pPr>
        <w:ind w:left="1896" w:hanging="193"/>
      </w:pPr>
      <w:rPr>
        <w:rFonts w:hint="default"/>
      </w:rPr>
    </w:lvl>
    <w:lvl w:ilvl="2">
      <w:start w:val="0"/>
      <w:numFmt w:val="bullet"/>
      <w:lvlText w:val="•"/>
      <w:lvlJc w:val="left"/>
      <w:pPr>
        <w:ind w:left="2752" w:hanging="193"/>
      </w:pPr>
      <w:rPr>
        <w:rFonts w:hint="default"/>
      </w:rPr>
    </w:lvl>
    <w:lvl w:ilvl="3">
      <w:start w:val="0"/>
      <w:numFmt w:val="bullet"/>
      <w:lvlText w:val="•"/>
      <w:lvlJc w:val="left"/>
      <w:pPr>
        <w:ind w:left="3608" w:hanging="193"/>
      </w:pPr>
      <w:rPr>
        <w:rFonts w:hint="default"/>
      </w:rPr>
    </w:lvl>
    <w:lvl w:ilvl="4">
      <w:start w:val="0"/>
      <w:numFmt w:val="bullet"/>
      <w:lvlText w:val="•"/>
      <w:lvlJc w:val="left"/>
      <w:pPr>
        <w:ind w:left="4464" w:hanging="193"/>
      </w:pPr>
      <w:rPr>
        <w:rFonts w:hint="default"/>
      </w:rPr>
    </w:lvl>
    <w:lvl w:ilvl="5">
      <w:start w:val="0"/>
      <w:numFmt w:val="bullet"/>
      <w:lvlText w:val="•"/>
      <w:lvlJc w:val="left"/>
      <w:pPr>
        <w:ind w:left="5320" w:hanging="193"/>
      </w:pPr>
      <w:rPr>
        <w:rFonts w:hint="default"/>
      </w:rPr>
    </w:lvl>
    <w:lvl w:ilvl="6">
      <w:start w:val="0"/>
      <w:numFmt w:val="bullet"/>
      <w:lvlText w:val="•"/>
      <w:lvlJc w:val="left"/>
      <w:pPr>
        <w:ind w:left="6176" w:hanging="193"/>
      </w:pPr>
      <w:rPr>
        <w:rFonts w:hint="default"/>
      </w:rPr>
    </w:lvl>
    <w:lvl w:ilvl="7">
      <w:start w:val="0"/>
      <w:numFmt w:val="bullet"/>
      <w:lvlText w:val="•"/>
      <w:lvlJc w:val="left"/>
      <w:pPr>
        <w:ind w:left="7032" w:hanging="193"/>
      </w:pPr>
      <w:rPr>
        <w:rFonts w:hint="default"/>
      </w:rPr>
    </w:lvl>
    <w:lvl w:ilvl="8">
      <w:start w:val="0"/>
      <w:numFmt w:val="bullet"/>
      <w:lvlText w:val="•"/>
      <w:lvlJc w:val="left"/>
      <w:pPr>
        <w:ind w:left="7888" w:hanging="193"/>
      </w:pPr>
      <w:rPr>
        <w:rFonts w:hint="default"/>
      </w:rPr>
    </w:lvl>
  </w:abstractNum>
  <w:abstractNum w:abstractNumId="111">
    <w:multiLevelType w:val="hybridMultilevel"/>
    <w:lvl w:ilvl="0">
      <w:start w:val="1"/>
      <w:numFmt w:val="lowerLetter"/>
      <w:lvlText w:val="%1)"/>
      <w:lvlJc w:val="left"/>
      <w:pPr>
        <w:ind w:left="120" w:hanging="233"/>
        <w:jc w:val="left"/>
      </w:pPr>
      <w:rPr>
        <w:rFonts w:hint="default" w:ascii="Times New Roman" w:hAnsi="Times New Roman" w:eastAsia="Times New Roman" w:cs="Times New Roman"/>
        <w:w w:val="100"/>
        <w:sz w:val="22"/>
        <w:szCs w:val="22"/>
      </w:rPr>
    </w:lvl>
    <w:lvl w:ilvl="1">
      <w:start w:val="0"/>
      <w:numFmt w:val="bullet"/>
      <w:lvlText w:val="•"/>
      <w:lvlJc w:val="left"/>
      <w:pPr>
        <w:ind w:left="1068" w:hanging="233"/>
      </w:pPr>
      <w:rPr>
        <w:rFonts w:hint="default"/>
      </w:rPr>
    </w:lvl>
    <w:lvl w:ilvl="2">
      <w:start w:val="0"/>
      <w:numFmt w:val="bullet"/>
      <w:lvlText w:val="•"/>
      <w:lvlJc w:val="left"/>
      <w:pPr>
        <w:ind w:left="2016" w:hanging="233"/>
      </w:pPr>
      <w:rPr>
        <w:rFonts w:hint="default"/>
      </w:rPr>
    </w:lvl>
    <w:lvl w:ilvl="3">
      <w:start w:val="0"/>
      <w:numFmt w:val="bullet"/>
      <w:lvlText w:val="•"/>
      <w:lvlJc w:val="left"/>
      <w:pPr>
        <w:ind w:left="2964" w:hanging="233"/>
      </w:pPr>
      <w:rPr>
        <w:rFonts w:hint="default"/>
      </w:rPr>
    </w:lvl>
    <w:lvl w:ilvl="4">
      <w:start w:val="0"/>
      <w:numFmt w:val="bullet"/>
      <w:lvlText w:val="•"/>
      <w:lvlJc w:val="left"/>
      <w:pPr>
        <w:ind w:left="3912" w:hanging="233"/>
      </w:pPr>
      <w:rPr>
        <w:rFonts w:hint="default"/>
      </w:rPr>
    </w:lvl>
    <w:lvl w:ilvl="5">
      <w:start w:val="0"/>
      <w:numFmt w:val="bullet"/>
      <w:lvlText w:val="•"/>
      <w:lvlJc w:val="left"/>
      <w:pPr>
        <w:ind w:left="4860" w:hanging="233"/>
      </w:pPr>
      <w:rPr>
        <w:rFonts w:hint="default"/>
      </w:rPr>
    </w:lvl>
    <w:lvl w:ilvl="6">
      <w:start w:val="0"/>
      <w:numFmt w:val="bullet"/>
      <w:lvlText w:val="•"/>
      <w:lvlJc w:val="left"/>
      <w:pPr>
        <w:ind w:left="5808" w:hanging="233"/>
      </w:pPr>
      <w:rPr>
        <w:rFonts w:hint="default"/>
      </w:rPr>
    </w:lvl>
    <w:lvl w:ilvl="7">
      <w:start w:val="0"/>
      <w:numFmt w:val="bullet"/>
      <w:lvlText w:val="•"/>
      <w:lvlJc w:val="left"/>
      <w:pPr>
        <w:ind w:left="6756" w:hanging="233"/>
      </w:pPr>
      <w:rPr>
        <w:rFonts w:hint="default"/>
      </w:rPr>
    </w:lvl>
    <w:lvl w:ilvl="8">
      <w:start w:val="0"/>
      <w:numFmt w:val="bullet"/>
      <w:lvlText w:val="•"/>
      <w:lvlJc w:val="left"/>
      <w:pPr>
        <w:ind w:left="7704" w:hanging="233"/>
      </w:pPr>
      <w:rPr>
        <w:rFonts w:hint="default"/>
      </w:rPr>
    </w:lvl>
  </w:abstractNum>
  <w:abstractNum w:abstractNumId="110">
    <w:multiLevelType w:val="hybridMultilevel"/>
    <w:lvl w:ilvl="0">
      <w:start w:val="1"/>
      <w:numFmt w:val="lowerRoman"/>
      <w:lvlText w:val="%1)"/>
      <w:lvlJc w:val="left"/>
      <w:pPr>
        <w:ind w:left="1029" w:hanging="190"/>
        <w:jc w:val="left"/>
      </w:pPr>
      <w:rPr>
        <w:rFonts w:hint="default" w:ascii="Times New Roman" w:hAnsi="Times New Roman" w:eastAsia="Times New Roman" w:cs="Times New Roman"/>
        <w:spacing w:val="0"/>
        <w:w w:val="100"/>
        <w:sz w:val="22"/>
        <w:szCs w:val="22"/>
      </w:rPr>
    </w:lvl>
    <w:lvl w:ilvl="1">
      <w:start w:val="0"/>
      <w:numFmt w:val="bullet"/>
      <w:lvlText w:val="•"/>
      <w:lvlJc w:val="left"/>
      <w:pPr>
        <w:ind w:left="1878" w:hanging="190"/>
      </w:pPr>
      <w:rPr>
        <w:rFonts w:hint="default"/>
      </w:rPr>
    </w:lvl>
    <w:lvl w:ilvl="2">
      <w:start w:val="0"/>
      <w:numFmt w:val="bullet"/>
      <w:lvlText w:val="•"/>
      <w:lvlJc w:val="left"/>
      <w:pPr>
        <w:ind w:left="2736" w:hanging="190"/>
      </w:pPr>
      <w:rPr>
        <w:rFonts w:hint="default"/>
      </w:rPr>
    </w:lvl>
    <w:lvl w:ilvl="3">
      <w:start w:val="0"/>
      <w:numFmt w:val="bullet"/>
      <w:lvlText w:val="•"/>
      <w:lvlJc w:val="left"/>
      <w:pPr>
        <w:ind w:left="3594" w:hanging="190"/>
      </w:pPr>
      <w:rPr>
        <w:rFonts w:hint="default"/>
      </w:rPr>
    </w:lvl>
    <w:lvl w:ilvl="4">
      <w:start w:val="0"/>
      <w:numFmt w:val="bullet"/>
      <w:lvlText w:val="•"/>
      <w:lvlJc w:val="left"/>
      <w:pPr>
        <w:ind w:left="4452" w:hanging="190"/>
      </w:pPr>
      <w:rPr>
        <w:rFonts w:hint="default"/>
      </w:rPr>
    </w:lvl>
    <w:lvl w:ilvl="5">
      <w:start w:val="0"/>
      <w:numFmt w:val="bullet"/>
      <w:lvlText w:val="•"/>
      <w:lvlJc w:val="left"/>
      <w:pPr>
        <w:ind w:left="5310" w:hanging="190"/>
      </w:pPr>
      <w:rPr>
        <w:rFonts w:hint="default"/>
      </w:rPr>
    </w:lvl>
    <w:lvl w:ilvl="6">
      <w:start w:val="0"/>
      <w:numFmt w:val="bullet"/>
      <w:lvlText w:val="•"/>
      <w:lvlJc w:val="left"/>
      <w:pPr>
        <w:ind w:left="6168" w:hanging="190"/>
      </w:pPr>
      <w:rPr>
        <w:rFonts w:hint="default"/>
      </w:rPr>
    </w:lvl>
    <w:lvl w:ilvl="7">
      <w:start w:val="0"/>
      <w:numFmt w:val="bullet"/>
      <w:lvlText w:val="•"/>
      <w:lvlJc w:val="left"/>
      <w:pPr>
        <w:ind w:left="7026" w:hanging="190"/>
      </w:pPr>
      <w:rPr>
        <w:rFonts w:hint="default"/>
      </w:rPr>
    </w:lvl>
    <w:lvl w:ilvl="8">
      <w:start w:val="0"/>
      <w:numFmt w:val="bullet"/>
      <w:lvlText w:val="•"/>
      <w:lvlJc w:val="left"/>
      <w:pPr>
        <w:ind w:left="7884" w:hanging="190"/>
      </w:pPr>
      <w:rPr>
        <w:rFonts w:hint="default"/>
      </w:rPr>
    </w:lvl>
  </w:abstractNum>
  <w:abstractNum w:abstractNumId="109">
    <w:multiLevelType w:val="hybridMultilevel"/>
    <w:lvl w:ilvl="0">
      <w:start w:val="1"/>
      <w:numFmt w:val="lowerRoman"/>
      <w:lvlText w:val="%1)"/>
      <w:lvlJc w:val="left"/>
      <w:pPr>
        <w:ind w:left="1029" w:hanging="190"/>
        <w:jc w:val="left"/>
      </w:pPr>
      <w:rPr>
        <w:rFonts w:hint="default" w:ascii="Times New Roman" w:hAnsi="Times New Roman" w:eastAsia="Times New Roman" w:cs="Times New Roman"/>
        <w:spacing w:val="0"/>
        <w:w w:val="100"/>
        <w:sz w:val="22"/>
        <w:szCs w:val="22"/>
      </w:rPr>
    </w:lvl>
    <w:lvl w:ilvl="1">
      <w:start w:val="0"/>
      <w:numFmt w:val="bullet"/>
      <w:lvlText w:val="•"/>
      <w:lvlJc w:val="left"/>
      <w:pPr>
        <w:ind w:left="1878" w:hanging="190"/>
      </w:pPr>
      <w:rPr>
        <w:rFonts w:hint="default"/>
      </w:rPr>
    </w:lvl>
    <w:lvl w:ilvl="2">
      <w:start w:val="0"/>
      <w:numFmt w:val="bullet"/>
      <w:lvlText w:val="•"/>
      <w:lvlJc w:val="left"/>
      <w:pPr>
        <w:ind w:left="2736" w:hanging="190"/>
      </w:pPr>
      <w:rPr>
        <w:rFonts w:hint="default"/>
      </w:rPr>
    </w:lvl>
    <w:lvl w:ilvl="3">
      <w:start w:val="0"/>
      <w:numFmt w:val="bullet"/>
      <w:lvlText w:val="•"/>
      <w:lvlJc w:val="left"/>
      <w:pPr>
        <w:ind w:left="3594" w:hanging="190"/>
      </w:pPr>
      <w:rPr>
        <w:rFonts w:hint="default"/>
      </w:rPr>
    </w:lvl>
    <w:lvl w:ilvl="4">
      <w:start w:val="0"/>
      <w:numFmt w:val="bullet"/>
      <w:lvlText w:val="•"/>
      <w:lvlJc w:val="left"/>
      <w:pPr>
        <w:ind w:left="4452" w:hanging="190"/>
      </w:pPr>
      <w:rPr>
        <w:rFonts w:hint="default"/>
      </w:rPr>
    </w:lvl>
    <w:lvl w:ilvl="5">
      <w:start w:val="0"/>
      <w:numFmt w:val="bullet"/>
      <w:lvlText w:val="•"/>
      <w:lvlJc w:val="left"/>
      <w:pPr>
        <w:ind w:left="5310" w:hanging="190"/>
      </w:pPr>
      <w:rPr>
        <w:rFonts w:hint="default"/>
      </w:rPr>
    </w:lvl>
    <w:lvl w:ilvl="6">
      <w:start w:val="0"/>
      <w:numFmt w:val="bullet"/>
      <w:lvlText w:val="•"/>
      <w:lvlJc w:val="left"/>
      <w:pPr>
        <w:ind w:left="6168" w:hanging="190"/>
      </w:pPr>
      <w:rPr>
        <w:rFonts w:hint="default"/>
      </w:rPr>
    </w:lvl>
    <w:lvl w:ilvl="7">
      <w:start w:val="0"/>
      <w:numFmt w:val="bullet"/>
      <w:lvlText w:val="•"/>
      <w:lvlJc w:val="left"/>
      <w:pPr>
        <w:ind w:left="7026" w:hanging="190"/>
      </w:pPr>
      <w:rPr>
        <w:rFonts w:hint="default"/>
      </w:rPr>
    </w:lvl>
    <w:lvl w:ilvl="8">
      <w:start w:val="0"/>
      <w:numFmt w:val="bullet"/>
      <w:lvlText w:val="•"/>
      <w:lvlJc w:val="left"/>
      <w:pPr>
        <w:ind w:left="7884" w:hanging="190"/>
      </w:pPr>
      <w:rPr>
        <w:rFonts w:hint="default"/>
      </w:rPr>
    </w:lvl>
  </w:abstractNum>
  <w:abstractNum w:abstractNumId="108">
    <w:multiLevelType w:val="hybridMultilevel"/>
    <w:lvl w:ilvl="0">
      <w:start w:val="1"/>
      <w:numFmt w:val="lowerLetter"/>
      <w:lvlText w:val="%1)"/>
      <w:lvlJc w:val="left"/>
      <w:pPr>
        <w:ind w:left="1068" w:hanging="229"/>
        <w:jc w:val="left"/>
      </w:pPr>
      <w:rPr>
        <w:rFonts w:hint="default" w:ascii="Times New Roman" w:hAnsi="Times New Roman" w:eastAsia="Times New Roman" w:cs="Times New Roman"/>
        <w:w w:val="100"/>
        <w:sz w:val="22"/>
        <w:szCs w:val="22"/>
      </w:rPr>
    </w:lvl>
    <w:lvl w:ilvl="1">
      <w:start w:val="0"/>
      <w:numFmt w:val="bullet"/>
      <w:lvlText w:val="•"/>
      <w:lvlJc w:val="left"/>
      <w:pPr>
        <w:ind w:left="1914" w:hanging="229"/>
      </w:pPr>
      <w:rPr>
        <w:rFonts w:hint="default"/>
      </w:rPr>
    </w:lvl>
    <w:lvl w:ilvl="2">
      <w:start w:val="0"/>
      <w:numFmt w:val="bullet"/>
      <w:lvlText w:val="•"/>
      <w:lvlJc w:val="left"/>
      <w:pPr>
        <w:ind w:left="2768" w:hanging="229"/>
      </w:pPr>
      <w:rPr>
        <w:rFonts w:hint="default"/>
      </w:rPr>
    </w:lvl>
    <w:lvl w:ilvl="3">
      <w:start w:val="0"/>
      <w:numFmt w:val="bullet"/>
      <w:lvlText w:val="•"/>
      <w:lvlJc w:val="left"/>
      <w:pPr>
        <w:ind w:left="3622" w:hanging="229"/>
      </w:pPr>
      <w:rPr>
        <w:rFonts w:hint="default"/>
      </w:rPr>
    </w:lvl>
    <w:lvl w:ilvl="4">
      <w:start w:val="0"/>
      <w:numFmt w:val="bullet"/>
      <w:lvlText w:val="•"/>
      <w:lvlJc w:val="left"/>
      <w:pPr>
        <w:ind w:left="4476" w:hanging="229"/>
      </w:pPr>
      <w:rPr>
        <w:rFonts w:hint="default"/>
      </w:rPr>
    </w:lvl>
    <w:lvl w:ilvl="5">
      <w:start w:val="0"/>
      <w:numFmt w:val="bullet"/>
      <w:lvlText w:val="•"/>
      <w:lvlJc w:val="left"/>
      <w:pPr>
        <w:ind w:left="5330" w:hanging="229"/>
      </w:pPr>
      <w:rPr>
        <w:rFonts w:hint="default"/>
      </w:rPr>
    </w:lvl>
    <w:lvl w:ilvl="6">
      <w:start w:val="0"/>
      <w:numFmt w:val="bullet"/>
      <w:lvlText w:val="•"/>
      <w:lvlJc w:val="left"/>
      <w:pPr>
        <w:ind w:left="6184" w:hanging="229"/>
      </w:pPr>
      <w:rPr>
        <w:rFonts w:hint="default"/>
      </w:rPr>
    </w:lvl>
    <w:lvl w:ilvl="7">
      <w:start w:val="0"/>
      <w:numFmt w:val="bullet"/>
      <w:lvlText w:val="•"/>
      <w:lvlJc w:val="left"/>
      <w:pPr>
        <w:ind w:left="7038" w:hanging="229"/>
      </w:pPr>
      <w:rPr>
        <w:rFonts w:hint="default"/>
      </w:rPr>
    </w:lvl>
    <w:lvl w:ilvl="8">
      <w:start w:val="0"/>
      <w:numFmt w:val="bullet"/>
      <w:lvlText w:val="•"/>
      <w:lvlJc w:val="left"/>
      <w:pPr>
        <w:ind w:left="7892" w:hanging="229"/>
      </w:pPr>
      <w:rPr>
        <w:rFonts w:hint="default"/>
      </w:rPr>
    </w:lvl>
  </w:abstractNum>
  <w:abstractNum w:abstractNumId="107">
    <w:multiLevelType w:val="hybridMultilevel"/>
    <w:lvl w:ilvl="0">
      <w:start w:val="1"/>
      <w:numFmt w:val="decimal"/>
      <w:lvlText w:val="%1."/>
      <w:lvlJc w:val="left"/>
      <w:pPr>
        <w:ind w:left="1060" w:hanging="221"/>
        <w:jc w:val="left"/>
      </w:pPr>
      <w:rPr>
        <w:rFonts w:hint="default" w:ascii="Times New Roman" w:hAnsi="Times New Roman" w:eastAsia="Times New Roman" w:cs="Times New Roman"/>
        <w:w w:val="100"/>
        <w:sz w:val="22"/>
        <w:szCs w:val="22"/>
      </w:rPr>
    </w:lvl>
    <w:lvl w:ilvl="1">
      <w:start w:val="0"/>
      <w:numFmt w:val="bullet"/>
      <w:lvlText w:val="•"/>
      <w:lvlJc w:val="left"/>
      <w:pPr>
        <w:ind w:left="1914" w:hanging="221"/>
      </w:pPr>
      <w:rPr>
        <w:rFonts w:hint="default"/>
      </w:rPr>
    </w:lvl>
    <w:lvl w:ilvl="2">
      <w:start w:val="0"/>
      <w:numFmt w:val="bullet"/>
      <w:lvlText w:val="•"/>
      <w:lvlJc w:val="left"/>
      <w:pPr>
        <w:ind w:left="2768" w:hanging="221"/>
      </w:pPr>
      <w:rPr>
        <w:rFonts w:hint="default"/>
      </w:rPr>
    </w:lvl>
    <w:lvl w:ilvl="3">
      <w:start w:val="0"/>
      <w:numFmt w:val="bullet"/>
      <w:lvlText w:val="•"/>
      <w:lvlJc w:val="left"/>
      <w:pPr>
        <w:ind w:left="3622" w:hanging="221"/>
      </w:pPr>
      <w:rPr>
        <w:rFonts w:hint="default"/>
      </w:rPr>
    </w:lvl>
    <w:lvl w:ilvl="4">
      <w:start w:val="0"/>
      <w:numFmt w:val="bullet"/>
      <w:lvlText w:val="•"/>
      <w:lvlJc w:val="left"/>
      <w:pPr>
        <w:ind w:left="4476" w:hanging="221"/>
      </w:pPr>
      <w:rPr>
        <w:rFonts w:hint="default"/>
      </w:rPr>
    </w:lvl>
    <w:lvl w:ilvl="5">
      <w:start w:val="0"/>
      <w:numFmt w:val="bullet"/>
      <w:lvlText w:val="•"/>
      <w:lvlJc w:val="left"/>
      <w:pPr>
        <w:ind w:left="5330" w:hanging="221"/>
      </w:pPr>
      <w:rPr>
        <w:rFonts w:hint="default"/>
      </w:rPr>
    </w:lvl>
    <w:lvl w:ilvl="6">
      <w:start w:val="0"/>
      <w:numFmt w:val="bullet"/>
      <w:lvlText w:val="•"/>
      <w:lvlJc w:val="left"/>
      <w:pPr>
        <w:ind w:left="6184" w:hanging="221"/>
      </w:pPr>
      <w:rPr>
        <w:rFonts w:hint="default"/>
      </w:rPr>
    </w:lvl>
    <w:lvl w:ilvl="7">
      <w:start w:val="0"/>
      <w:numFmt w:val="bullet"/>
      <w:lvlText w:val="•"/>
      <w:lvlJc w:val="left"/>
      <w:pPr>
        <w:ind w:left="7038" w:hanging="221"/>
      </w:pPr>
      <w:rPr>
        <w:rFonts w:hint="default"/>
      </w:rPr>
    </w:lvl>
    <w:lvl w:ilvl="8">
      <w:start w:val="0"/>
      <w:numFmt w:val="bullet"/>
      <w:lvlText w:val="•"/>
      <w:lvlJc w:val="left"/>
      <w:pPr>
        <w:ind w:left="7892" w:hanging="221"/>
      </w:pPr>
      <w:rPr>
        <w:rFonts w:hint="default"/>
      </w:rPr>
    </w:lvl>
  </w:abstractNum>
  <w:abstractNum w:abstractNumId="106">
    <w:multiLevelType w:val="hybridMultilevel"/>
    <w:lvl w:ilvl="0">
      <w:start w:val="1"/>
      <w:numFmt w:val="lowerLetter"/>
      <w:lvlText w:val="%1)"/>
      <w:lvlJc w:val="left"/>
      <w:pPr>
        <w:ind w:left="120" w:hanging="238"/>
        <w:jc w:val="left"/>
      </w:pPr>
      <w:rPr>
        <w:rFonts w:hint="default" w:ascii="Times New Roman" w:hAnsi="Times New Roman" w:eastAsia="Times New Roman" w:cs="Times New Roman"/>
        <w:w w:val="100"/>
        <w:sz w:val="22"/>
        <w:szCs w:val="22"/>
      </w:rPr>
    </w:lvl>
    <w:lvl w:ilvl="1">
      <w:start w:val="0"/>
      <w:numFmt w:val="bullet"/>
      <w:lvlText w:val="•"/>
      <w:lvlJc w:val="left"/>
      <w:pPr>
        <w:ind w:left="1068" w:hanging="238"/>
      </w:pPr>
      <w:rPr>
        <w:rFonts w:hint="default"/>
      </w:rPr>
    </w:lvl>
    <w:lvl w:ilvl="2">
      <w:start w:val="0"/>
      <w:numFmt w:val="bullet"/>
      <w:lvlText w:val="•"/>
      <w:lvlJc w:val="left"/>
      <w:pPr>
        <w:ind w:left="2016" w:hanging="238"/>
      </w:pPr>
      <w:rPr>
        <w:rFonts w:hint="default"/>
      </w:rPr>
    </w:lvl>
    <w:lvl w:ilvl="3">
      <w:start w:val="0"/>
      <w:numFmt w:val="bullet"/>
      <w:lvlText w:val="•"/>
      <w:lvlJc w:val="left"/>
      <w:pPr>
        <w:ind w:left="2964" w:hanging="238"/>
      </w:pPr>
      <w:rPr>
        <w:rFonts w:hint="default"/>
      </w:rPr>
    </w:lvl>
    <w:lvl w:ilvl="4">
      <w:start w:val="0"/>
      <w:numFmt w:val="bullet"/>
      <w:lvlText w:val="•"/>
      <w:lvlJc w:val="left"/>
      <w:pPr>
        <w:ind w:left="3912" w:hanging="238"/>
      </w:pPr>
      <w:rPr>
        <w:rFonts w:hint="default"/>
      </w:rPr>
    </w:lvl>
    <w:lvl w:ilvl="5">
      <w:start w:val="0"/>
      <w:numFmt w:val="bullet"/>
      <w:lvlText w:val="•"/>
      <w:lvlJc w:val="left"/>
      <w:pPr>
        <w:ind w:left="4860" w:hanging="238"/>
      </w:pPr>
      <w:rPr>
        <w:rFonts w:hint="default"/>
      </w:rPr>
    </w:lvl>
    <w:lvl w:ilvl="6">
      <w:start w:val="0"/>
      <w:numFmt w:val="bullet"/>
      <w:lvlText w:val="•"/>
      <w:lvlJc w:val="left"/>
      <w:pPr>
        <w:ind w:left="5808" w:hanging="238"/>
      </w:pPr>
      <w:rPr>
        <w:rFonts w:hint="default"/>
      </w:rPr>
    </w:lvl>
    <w:lvl w:ilvl="7">
      <w:start w:val="0"/>
      <w:numFmt w:val="bullet"/>
      <w:lvlText w:val="•"/>
      <w:lvlJc w:val="left"/>
      <w:pPr>
        <w:ind w:left="6756" w:hanging="238"/>
      </w:pPr>
      <w:rPr>
        <w:rFonts w:hint="default"/>
      </w:rPr>
    </w:lvl>
    <w:lvl w:ilvl="8">
      <w:start w:val="0"/>
      <w:numFmt w:val="bullet"/>
      <w:lvlText w:val="•"/>
      <w:lvlJc w:val="left"/>
      <w:pPr>
        <w:ind w:left="7704" w:hanging="238"/>
      </w:pPr>
      <w:rPr>
        <w:rFonts w:hint="default"/>
      </w:rPr>
    </w:lvl>
  </w:abstractNum>
  <w:abstractNum w:abstractNumId="105">
    <w:multiLevelType w:val="hybridMultilevel"/>
    <w:lvl w:ilvl="0">
      <w:start w:val="1"/>
      <w:numFmt w:val="decimal"/>
      <w:lvlText w:val="%1."/>
      <w:lvlJc w:val="left"/>
      <w:pPr>
        <w:ind w:left="120" w:hanging="284"/>
        <w:jc w:val="left"/>
      </w:pPr>
      <w:rPr>
        <w:rFonts w:hint="default" w:ascii="Times New Roman" w:hAnsi="Times New Roman" w:eastAsia="Times New Roman" w:cs="Times New Roman"/>
        <w:w w:val="100"/>
        <w:sz w:val="22"/>
        <w:szCs w:val="22"/>
      </w:rPr>
    </w:lvl>
    <w:lvl w:ilvl="1">
      <w:start w:val="0"/>
      <w:numFmt w:val="bullet"/>
      <w:lvlText w:val="•"/>
      <w:lvlJc w:val="left"/>
      <w:pPr>
        <w:ind w:left="1068" w:hanging="284"/>
      </w:pPr>
      <w:rPr>
        <w:rFonts w:hint="default"/>
      </w:rPr>
    </w:lvl>
    <w:lvl w:ilvl="2">
      <w:start w:val="0"/>
      <w:numFmt w:val="bullet"/>
      <w:lvlText w:val="•"/>
      <w:lvlJc w:val="left"/>
      <w:pPr>
        <w:ind w:left="2016" w:hanging="284"/>
      </w:pPr>
      <w:rPr>
        <w:rFonts w:hint="default"/>
      </w:rPr>
    </w:lvl>
    <w:lvl w:ilvl="3">
      <w:start w:val="0"/>
      <w:numFmt w:val="bullet"/>
      <w:lvlText w:val="•"/>
      <w:lvlJc w:val="left"/>
      <w:pPr>
        <w:ind w:left="2964" w:hanging="284"/>
      </w:pPr>
      <w:rPr>
        <w:rFonts w:hint="default"/>
      </w:rPr>
    </w:lvl>
    <w:lvl w:ilvl="4">
      <w:start w:val="0"/>
      <w:numFmt w:val="bullet"/>
      <w:lvlText w:val="•"/>
      <w:lvlJc w:val="left"/>
      <w:pPr>
        <w:ind w:left="3912" w:hanging="284"/>
      </w:pPr>
      <w:rPr>
        <w:rFonts w:hint="default"/>
      </w:rPr>
    </w:lvl>
    <w:lvl w:ilvl="5">
      <w:start w:val="0"/>
      <w:numFmt w:val="bullet"/>
      <w:lvlText w:val="•"/>
      <w:lvlJc w:val="left"/>
      <w:pPr>
        <w:ind w:left="4860" w:hanging="284"/>
      </w:pPr>
      <w:rPr>
        <w:rFonts w:hint="default"/>
      </w:rPr>
    </w:lvl>
    <w:lvl w:ilvl="6">
      <w:start w:val="0"/>
      <w:numFmt w:val="bullet"/>
      <w:lvlText w:val="•"/>
      <w:lvlJc w:val="left"/>
      <w:pPr>
        <w:ind w:left="5808" w:hanging="284"/>
      </w:pPr>
      <w:rPr>
        <w:rFonts w:hint="default"/>
      </w:rPr>
    </w:lvl>
    <w:lvl w:ilvl="7">
      <w:start w:val="0"/>
      <w:numFmt w:val="bullet"/>
      <w:lvlText w:val="•"/>
      <w:lvlJc w:val="left"/>
      <w:pPr>
        <w:ind w:left="6756" w:hanging="284"/>
      </w:pPr>
      <w:rPr>
        <w:rFonts w:hint="default"/>
      </w:rPr>
    </w:lvl>
    <w:lvl w:ilvl="8">
      <w:start w:val="0"/>
      <w:numFmt w:val="bullet"/>
      <w:lvlText w:val="•"/>
      <w:lvlJc w:val="left"/>
      <w:pPr>
        <w:ind w:left="7704" w:hanging="284"/>
      </w:pPr>
      <w:rPr>
        <w:rFonts w:hint="default"/>
      </w:rPr>
    </w:lvl>
  </w:abstractNum>
  <w:abstractNum w:abstractNumId="104">
    <w:multiLevelType w:val="hybridMultilevel"/>
    <w:lvl w:ilvl="0">
      <w:start w:val="1"/>
      <w:numFmt w:val="lowerLetter"/>
      <w:lvlText w:val="%1)"/>
      <w:lvlJc w:val="left"/>
      <w:pPr>
        <w:ind w:left="1122" w:hanging="284"/>
        <w:jc w:val="left"/>
      </w:pPr>
      <w:rPr>
        <w:rFonts w:hint="default" w:ascii="Times New Roman" w:hAnsi="Times New Roman" w:eastAsia="Times New Roman" w:cs="Times New Roman"/>
        <w:w w:val="100"/>
        <w:sz w:val="22"/>
        <w:szCs w:val="22"/>
      </w:rPr>
    </w:lvl>
    <w:lvl w:ilvl="1">
      <w:start w:val="0"/>
      <w:numFmt w:val="bullet"/>
      <w:lvlText w:val="•"/>
      <w:lvlJc w:val="left"/>
      <w:pPr>
        <w:ind w:left="1968" w:hanging="284"/>
      </w:pPr>
      <w:rPr>
        <w:rFonts w:hint="default"/>
      </w:rPr>
    </w:lvl>
    <w:lvl w:ilvl="2">
      <w:start w:val="0"/>
      <w:numFmt w:val="bullet"/>
      <w:lvlText w:val="•"/>
      <w:lvlJc w:val="left"/>
      <w:pPr>
        <w:ind w:left="2816" w:hanging="284"/>
      </w:pPr>
      <w:rPr>
        <w:rFonts w:hint="default"/>
      </w:rPr>
    </w:lvl>
    <w:lvl w:ilvl="3">
      <w:start w:val="0"/>
      <w:numFmt w:val="bullet"/>
      <w:lvlText w:val="•"/>
      <w:lvlJc w:val="left"/>
      <w:pPr>
        <w:ind w:left="3664" w:hanging="284"/>
      </w:pPr>
      <w:rPr>
        <w:rFonts w:hint="default"/>
      </w:rPr>
    </w:lvl>
    <w:lvl w:ilvl="4">
      <w:start w:val="0"/>
      <w:numFmt w:val="bullet"/>
      <w:lvlText w:val="•"/>
      <w:lvlJc w:val="left"/>
      <w:pPr>
        <w:ind w:left="4512" w:hanging="284"/>
      </w:pPr>
      <w:rPr>
        <w:rFonts w:hint="default"/>
      </w:rPr>
    </w:lvl>
    <w:lvl w:ilvl="5">
      <w:start w:val="0"/>
      <w:numFmt w:val="bullet"/>
      <w:lvlText w:val="•"/>
      <w:lvlJc w:val="left"/>
      <w:pPr>
        <w:ind w:left="5360" w:hanging="284"/>
      </w:pPr>
      <w:rPr>
        <w:rFonts w:hint="default"/>
      </w:rPr>
    </w:lvl>
    <w:lvl w:ilvl="6">
      <w:start w:val="0"/>
      <w:numFmt w:val="bullet"/>
      <w:lvlText w:val="•"/>
      <w:lvlJc w:val="left"/>
      <w:pPr>
        <w:ind w:left="6208" w:hanging="284"/>
      </w:pPr>
      <w:rPr>
        <w:rFonts w:hint="default"/>
      </w:rPr>
    </w:lvl>
    <w:lvl w:ilvl="7">
      <w:start w:val="0"/>
      <w:numFmt w:val="bullet"/>
      <w:lvlText w:val="•"/>
      <w:lvlJc w:val="left"/>
      <w:pPr>
        <w:ind w:left="7056" w:hanging="284"/>
      </w:pPr>
      <w:rPr>
        <w:rFonts w:hint="default"/>
      </w:rPr>
    </w:lvl>
    <w:lvl w:ilvl="8">
      <w:start w:val="0"/>
      <w:numFmt w:val="bullet"/>
      <w:lvlText w:val="•"/>
      <w:lvlJc w:val="left"/>
      <w:pPr>
        <w:ind w:left="7904" w:hanging="284"/>
      </w:pPr>
      <w:rPr>
        <w:rFonts w:hint="default"/>
      </w:rPr>
    </w:lvl>
  </w:abstractNum>
  <w:abstractNum w:abstractNumId="103">
    <w:multiLevelType w:val="hybridMultilevel"/>
    <w:lvl w:ilvl="0">
      <w:start w:val="1"/>
      <w:numFmt w:val="lowerLetter"/>
      <w:lvlText w:val="%1)"/>
      <w:lvlJc w:val="left"/>
      <w:pPr>
        <w:ind w:left="1067" w:hanging="229"/>
        <w:jc w:val="left"/>
      </w:pPr>
      <w:rPr>
        <w:rFonts w:hint="default" w:ascii="Times New Roman" w:hAnsi="Times New Roman" w:eastAsia="Times New Roman" w:cs="Times New Roman"/>
        <w:w w:val="100"/>
        <w:sz w:val="22"/>
        <w:szCs w:val="22"/>
      </w:rPr>
    </w:lvl>
    <w:lvl w:ilvl="1">
      <w:start w:val="0"/>
      <w:numFmt w:val="bullet"/>
      <w:lvlText w:val="•"/>
      <w:lvlJc w:val="left"/>
      <w:pPr>
        <w:ind w:left="1914" w:hanging="229"/>
      </w:pPr>
      <w:rPr>
        <w:rFonts w:hint="default"/>
      </w:rPr>
    </w:lvl>
    <w:lvl w:ilvl="2">
      <w:start w:val="0"/>
      <w:numFmt w:val="bullet"/>
      <w:lvlText w:val="•"/>
      <w:lvlJc w:val="left"/>
      <w:pPr>
        <w:ind w:left="2768" w:hanging="229"/>
      </w:pPr>
      <w:rPr>
        <w:rFonts w:hint="default"/>
      </w:rPr>
    </w:lvl>
    <w:lvl w:ilvl="3">
      <w:start w:val="0"/>
      <w:numFmt w:val="bullet"/>
      <w:lvlText w:val="•"/>
      <w:lvlJc w:val="left"/>
      <w:pPr>
        <w:ind w:left="3622" w:hanging="229"/>
      </w:pPr>
      <w:rPr>
        <w:rFonts w:hint="default"/>
      </w:rPr>
    </w:lvl>
    <w:lvl w:ilvl="4">
      <w:start w:val="0"/>
      <w:numFmt w:val="bullet"/>
      <w:lvlText w:val="•"/>
      <w:lvlJc w:val="left"/>
      <w:pPr>
        <w:ind w:left="4476" w:hanging="229"/>
      </w:pPr>
      <w:rPr>
        <w:rFonts w:hint="default"/>
      </w:rPr>
    </w:lvl>
    <w:lvl w:ilvl="5">
      <w:start w:val="0"/>
      <w:numFmt w:val="bullet"/>
      <w:lvlText w:val="•"/>
      <w:lvlJc w:val="left"/>
      <w:pPr>
        <w:ind w:left="5330" w:hanging="229"/>
      </w:pPr>
      <w:rPr>
        <w:rFonts w:hint="default"/>
      </w:rPr>
    </w:lvl>
    <w:lvl w:ilvl="6">
      <w:start w:val="0"/>
      <w:numFmt w:val="bullet"/>
      <w:lvlText w:val="•"/>
      <w:lvlJc w:val="left"/>
      <w:pPr>
        <w:ind w:left="6184" w:hanging="229"/>
      </w:pPr>
      <w:rPr>
        <w:rFonts w:hint="default"/>
      </w:rPr>
    </w:lvl>
    <w:lvl w:ilvl="7">
      <w:start w:val="0"/>
      <w:numFmt w:val="bullet"/>
      <w:lvlText w:val="•"/>
      <w:lvlJc w:val="left"/>
      <w:pPr>
        <w:ind w:left="7038" w:hanging="229"/>
      </w:pPr>
      <w:rPr>
        <w:rFonts w:hint="default"/>
      </w:rPr>
    </w:lvl>
    <w:lvl w:ilvl="8">
      <w:start w:val="0"/>
      <w:numFmt w:val="bullet"/>
      <w:lvlText w:val="•"/>
      <w:lvlJc w:val="left"/>
      <w:pPr>
        <w:ind w:left="7892" w:hanging="229"/>
      </w:pPr>
      <w:rPr>
        <w:rFonts w:hint="default"/>
      </w:rPr>
    </w:lvl>
  </w:abstractNum>
  <w:abstractNum w:abstractNumId="102">
    <w:multiLevelType w:val="hybridMultilevel"/>
    <w:lvl w:ilvl="0">
      <w:start w:val="1"/>
      <w:numFmt w:val="decimal"/>
      <w:lvlText w:val="%1."/>
      <w:lvlJc w:val="left"/>
      <w:pPr>
        <w:ind w:left="119" w:hanging="284"/>
        <w:jc w:val="left"/>
      </w:pPr>
      <w:rPr>
        <w:rFonts w:hint="default" w:ascii="Times New Roman" w:hAnsi="Times New Roman" w:eastAsia="Times New Roman" w:cs="Times New Roman"/>
        <w:w w:val="100"/>
        <w:sz w:val="22"/>
        <w:szCs w:val="22"/>
      </w:rPr>
    </w:lvl>
    <w:lvl w:ilvl="1">
      <w:start w:val="0"/>
      <w:numFmt w:val="bullet"/>
      <w:lvlText w:val="•"/>
      <w:lvlJc w:val="left"/>
      <w:pPr>
        <w:ind w:left="1068" w:hanging="284"/>
      </w:pPr>
      <w:rPr>
        <w:rFonts w:hint="default"/>
      </w:rPr>
    </w:lvl>
    <w:lvl w:ilvl="2">
      <w:start w:val="0"/>
      <w:numFmt w:val="bullet"/>
      <w:lvlText w:val="•"/>
      <w:lvlJc w:val="left"/>
      <w:pPr>
        <w:ind w:left="2016" w:hanging="284"/>
      </w:pPr>
      <w:rPr>
        <w:rFonts w:hint="default"/>
      </w:rPr>
    </w:lvl>
    <w:lvl w:ilvl="3">
      <w:start w:val="0"/>
      <w:numFmt w:val="bullet"/>
      <w:lvlText w:val="•"/>
      <w:lvlJc w:val="left"/>
      <w:pPr>
        <w:ind w:left="2964" w:hanging="284"/>
      </w:pPr>
      <w:rPr>
        <w:rFonts w:hint="default"/>
      </w:rPr>
    </w:lvl>
    <w:lvl w:ilvl="4">
      <w:start w:val="0"/>
      <w:numFmt w:val="bullet"/>
      <w:lvlText w:val="•"/>
      <w:lvlJc w:val="left"/>
      <w:pPr>
        <w:ind w:left="3912" w:hanging="284"/>
      </w:pPr>
      <w:rPr>
        <w:rFonts w:hint="default"/>
      </w:rPr>
    </w:lvl>
    <w:lvl w:ilvl="5">
      <w:start w:val="0"/>
      <w:numFmt w:val="bullet"/>
      <w:lvlText w:val="•"/>
      <w:lvlJc w:val="left"/>
      <w:pPr>
        <w:ind w:left="4860" w:hanging="284"/>
      </w:pPr>
      <w:rPr>
        <w:rFonts w:hint="default"/>
      </w:rPr>
    </w:lvl>
    <w:lvl w:ilvl="6">
      <w:start w:val="0"/>
      <w:numFmt w:val="bullet"/>
      <w:lvlText w:val="•"/>
      <w:lvlJc w:val="left"/>
      <w:pPr>
        <w:ind w:left="5808" w:hanging="284"/>
      </w:pPr>
      <w:rPr>
        <w:rFonts w:hint="default"/>
      </w:rPr>
    </w:lvl>
    <w:lvl w:ilvl="7">
      <w:start w:val="0"/>
      <w:numFmt w:val="bullet"/>
      <w:lvlText w:val="•"/>
      <w:lvlJc w:val="left"/>
      <w:pPr>
        <w:ind w:left="6756" w:hanging="284"/>
      </w:pPr>
      <w:rPr>
        <w:rFonts w:hint="default"/>
      </w:rPr>
    </w:lvl>
    <w:lvl w:ilvl="8">
      <w:start w:val="0"/>
      <w:numFmt w:val="bullet"/>
      <w:lvlText w:val="•"/>
      <w:lvlJc w:val="left"/>
      <w:pPr>
        <w:ind w:left="7704" w:hanging="284"/>
      </w:pPr>
      <w:rPr>
        <w:rFonts w:hint="default"/>
      </w:rPr>
    </w:lvl>
  </w:abstractNum>
  <w:abstractNum w:abstractNumId="101">
    <w:multiLevelType w:val="hybridMultilevel"/>
    <w:lvl w:ilvl="0">
      <w:start w:val="1"/>
      <w:numFmt w:val="decimal"/>
      <w:lvlText w:val="%1."/>
      <w:lvlJc w:val="left"/>
      <w:pPr>
        <w:ind w:left="119" w:hanging="236"/>
        <w:jc w:val="left"/>
      </w:pPr>
      <w:rPr>
        <w:rFonts w:hint="default" w:ascii="Times New Roman" w:hAnsi="Times New Roman" w:eastAsia="Times New Roman" w:cs="Times New Roman"/>
        <w:w w:val="100"/>
        <w:sz w:val="22"/>
        <w:szCs w:val="22"/>
      </w:rPr>
    </w:lvl>
    <w:lvl w:ilvl="1">
      <w:start w:val="0"/>
      <w:numFmt w:val="bullet"/>
      <w:lvlText w:val="•"/>
      <w:lvlJc w:val="left"/>
      <w:pPr>
        <w:ind w:left="1068" w:hanging="236"/>
      </w:pPr>
      <w:rPr>
        <w:rFonts w:hint="default"/>
      </w:rPr>
    </w:lvl>
    <w:lvl w:ilvl="2">
      <w:start w:val="0"/>
      <w:numFmt w:val="bullet"/>
      <w:lvlText w:val="•"/>
      <w:lvlJc w:val="left"/>
      <w:pPr>
        <w:ind w:left="2016" w:hanging="236"/>
      </w:pPr>
      <w:rPr>
        <w:rFonts w:hint="default"/>
      </w:rPr>
    </w:lvl>
    <w:lvl w:ilvl="3">
      <w:start w:val="0"/>
      <w:numFmt w:val="bullet"/>
      <w:lvlText w:val="•"/>
      <w:lvlJc w:val="left"/>
      <w:pPr>
        <w:ind w:left="2964" w:hanging="236"/>
      </w:pPr>
      <w:rPr>
        <w:rFonts w:hint="default"/>
      </w:rPr>
    </w:lvl>
    <w:lvl w:ilvl="4">
      <w:start w:val="0"/>
      <w:numFmt w:val="bullet"/>
      <w:lvlText w:val="•"/>
      <w:lvlJc w:val="left"/>
      <w:pPr>
        <w:ind w:left="3912" w:hanging="236"/>
      </w:pPr>
      <w:rPr>
        <w:rFonts w:hint="default"/>
      </w:rPr>
    </w:lvl>
    <w:lvl w:ilvl="5">
      <w:start w:val="0"/>
      <w:numFmt w:val="bullet"/>
      <w:lvlText w:val="•"/>
      <w:lvlJc w:val="left"/>
      <w:pPr>
        <w:ind w:left="4860" w:hanging="236"/>
      </w:pPr>
      <w:rPr>
        <w:rFonts w:hint="default"/>
      </w:rPr>
    </w:lvl>
    <w:lvl w:ilvl="6">
      <w:start w:val="0"/>
      <w:numFmt w:val="bullet"/>
      <w:lvlText w:val="•"/>
      <w:lvlJc w:val="left"/>
      <w:pPr>
        <w:ind w:left="5808" w:hanging="236"/>
      </w:pPr>
      <w:rPr>
        <w:rFonts w:hint="default"/>
      </w:rPr>
    </w:lvl>
    <w:lvl w:ilvl="7">
      <w:start w:val="0"/>
      <w:numFmt w:val="bullet"/>
      <w:lvlText w:val="•"/>
      <w:lvlJc w:val="left"/>
      <w:pPr>
        <w:ind w:left="6756" w:hanging="236"/>
      </w:pPr>
      <w:rPr>
        <w:rFonts w:hint="default"/>
      </w:rPr>
    </w:lvl>
    <w:lvl w:ilvl="8">
      <w:start w:val="0"/>
      <w:numFmt w:val="bullet"/>
      <w:lvlText w:val="•"/>
      <w:lvlJc w:val="left"/>
      <w:pPr>
        <w:ind w:left="7704" w:hanging="236"/>
      </w:pPr>
      <w:rPr>
        <w:rFonts w:hint="default"/>
      </w:rPr>
    </w:lvl>
  </w:abstractNum>
  <w:abstractNum w:abstractNumId="100">
    <w:multiLevelType w:val="hybridMultilevel"/>
    <w:lvl w:ilvl="0">
      <w:start w:val="1"/>
      <w:numFmt w:val="lowerLetter"/>
      <w:lvlText w:val="%1)"/>
      <w:lvlJc w:val="left"/>
      <w:pPr>
        <w:ind w:left="1068" w:hanging="229"/>
        <w:jc w:val="left"/>
      </w:pPr>
      <w:rPr>
        <w:rFonts w:hint="default" w:ascii="Times New Roman" w:hAnsi="Times New Roman" w:eastAsia="Times New Roman" w:cs="Times New Roman"/>
        <w:w w:val="100"/>
        <w:sz w:val="22"/>
        <w:szCs w:val="22"/>
      </w:rPr>
    </w:lvl>
    <w:lvl w:ilvl="1">
      <w:start w:val="0"/>
      <w:numFmt w:val="bullet"/>
      <w:lvlText w:val="•"/>
      <w:lvlJc w:val="left"/>
      <w:pPr>
        <w:ind w:left="1914" w:hanging="229"/>
      </w:pPr>
      <w:rPr>
        <w:rFonts w:hint="default"/>
      </w:rPr>
    </w:lvl>
    <w:lvl w:ilvl="2">
      <w:start w:val="0"/>
      <w:numFmt w:val="bullet"/>
      <w:lvlText w:val="•"/>
      <w:lvlJc w:val="left"/>
      <w:pPr>
        <w:ind w:left="2768" w:hanging="229"/>
      </w:pPr>
      <w:rPr>
        <w:rFonts w:hint="default"/>
      </w:rPr>
    </w:lvl>
    <w:lvl w:ilvl="3">
      <w:start w:val="0"/>
      <w:numFmt w:val="bullet"/>
      <w:lvlText w:val="•"/>
      <w:lvlJc w:val="left"/>
      <w:pPr>
        <w:ind w:left="3622" w:hanging="229"/>
      </w:pPr>
      <w:rPr>
        <w:rFonts w:hint="default"/>
      </w:rPr>
    </w:lvl>
    <w:lvl w:ilvl="4">
      <w:start w:val="0"/>
      <w:numFmt w:val="bullet"/>
      <w:lvlText w:val="•"/>
      <w:lvlJc w:val="left"/>
      <w:pPr>
        <w:ind w:left="4476" w:hanging="229"/>
      </w:pPr>
      <w:rPr>
        <w:rFonts w:hint="default"/>
      </w:rPr>
    </w:lvl>
    <w:lvl w:ilvl="5">
      <w:start w:val="0"/>
      <w:numFmt w:val="bullet"/>
      <w:lvlText w:val="•"/>
      <w:lvlJc w:val="left"/>
      <w:pPr>
        <w:ind w:left="5330" w:hanging="229"/>
      </w:pPr>
      <w:rPr>
        <w:rFonts w:hint="default"/>
      </w:rPr>
    </w:lvl>
    <w:lvl w:ilvl="6">
      <w:start w:val="0"/>
      <w:numFmt w:val="bullet"/>
      <w:lvlText w:val="•"/>
      <w:lvlJc w:val="left"/>
      <w:pPr>
        <w:ind w:left="6184" w:hanging="229"/>
      </w:pPr>
      <w:rPr>
        <w:rFonts w:hint="default"/>
      </w:rPr>
    </w:lvl>
    <w:lvl w:ilvl="7">
      <w:start w:val="0"/>
      <w:numFmt w:val="bullet"/>
      <w:lvlText w:val="•"/>
      <w:lvlJc w:val="left"/>
      <w:pPr>
        <w:ind w:left="7038" w:hanging="229"/>
      </w:pPr>
      <w:rPr>
        <w:rFonts w:hint="default"/>
      </w:rPr>
    </w:lvl>
    <w:lvl w:ilvl="8">
      <w:start w:val="0"/>
      <w:numFmt w:val="bullet"/>
      <w:lvlText w:val="•"/>
      <w:lvlJc w:val="left"/>
      <w:pPr>
        <w:ind w:left="7892" w:hanging="229"/>
      </w:pPr>
      <w:rPr>
        <w:rFonts w:hint="default"/>
      </w:rPr>
    </w:lvl>
  </w:abstractNum>
  <w:abstractNum w:abstractNumId="99">
    <w:multiLevelType w:val="hybridMultilevel"/>
    <w:lvl w:ilvl="0">
      <w:start w:val="1"/>
      <w:numFmt w:val="decimal"/>
      <w:lvlText w:val="%1."/>
      <w:lvlJc w:val="left"/>
      <w:pPr>
        <w:ind w:left="120" w:hanging="243"/>
        <w:jc w:val="left"/>
      </w:pPr>
      <w:rPr>
        <w:rFonts w:hint="default" w:ascii="Times New Roman" w:hAnsi="Times New Roman" w:eastAsia="Times New Roman" w:cs="Times New Roman"/>
        <w:w w:val="100"/>
        <w:sz w:val="22"/>
        <w:szCs w:val="22"/>
      </w:rPr>
    </w:lvl>
    <w:lvl w:ilvl="1">
      <w:start w:val="0"/>
      <w:numFmt w:val="bullet"/>
      <w:lvlText w:val="•"/>
      <w:lvlJc w:val="left"/>
      <w:pPr>
        <w:ind w:left="1068" w:hanging="243"/>
      </w:pPr>
      <w:rPr>
        <w:rFonts w:hint="default"/>
      </w:rPr>
    </w:lvl>
    <w:lvl w:ilvl="2">
      <w:start w:val="0"/>
      <w:numFmt w:val="bullet"/>
      <w:lvlText w:val="•"/>
      <w:lvlJc w:val="left"/>
      <w:pPr>
        <w:ind w:left="2016" w:hanging="243"/>
      </w:pPr>
      <w:rPr>
        <w:rFonts w:hint="default"/>
      </w:rPr>
    </w:lvl>
    <w:lvl w:ilvl="3">
      <w:start w:val="0"/>
      <w:numFmt w:val="bullet"/>
      <w:lvlText w:val="•"/>
      <w:lvlJc w:val="left"/>
      <w:pPr>
        <w:ind w:left="2964" w:hanging="243"/>
      </w:pPr>
      <w:rPr>
        <w:rFonts w:hint="default"/>
      </w:rPr>
    </w:lvl>
    <w:lvl w:ilvl="4">
      <w:start w:val="0"/>
      <w:numFmt w:val="bullet"/>
      <w:lvlText w:val="•"/>
      <w:lvlJc w:val="left"/>
      <w:pPr>
        <w:ind w:left="3912" w:hanging="243"/>
      </w:pPr>
      <w:rPr>
        <w:rFonts w:hint="default"/>
      </w:rPr>
    </w:lvl>
    <w:lvl w:ilvl="5">
      <w:start w:val="0"/>
      <w:numFmt w:val="bullet"/>
      <w:lvlText w:val="•"/>
      <w:lvlJc w:val="left"/>
      <w:pPr>
        <w:ind w:left="4860" w:hanging="243"/>
      </w:pPr>
      <w:rPr>
        <w:rFonts w:hint="default"/>
      </w:rPr>
    </w:lvl>
    <w:lvl w:ilvl="6">
      <w:start w:val="0"/>
      <w:numFmt w:val="bullet"/>
      <w:lvlText w:val="•"/>
      <w:lvlJc w:val="left"/>
      <w:pPr>
        <w:ind w:left="5808" w:hanging="243"/>
      </w:pPr>
      <w:rPr>
        <w:rFonts w:hint="default"/>
      </w:rPr>
    </w:lvl>
    <w:lvl w:ilvl="7">
      <w:start w:val="0"/>
      <w:numFmt w:val="bullet"/>
      <w:lvlText w:val="•"/>
      <w:lvlJc w:val="left"/>
      <w:pPr>
        <w:ind w:left="6756" w:hanging="243"/>
      </w:pPr>
      <w:rPr>
        <w:rFonts w:hint="default"/>
      </w:rPr>
    </w:lvl>
    <w:lvl w:ilvl="8">
      <w:start w:val="0"/>
      <w:numFmt w:val="bullet"/>
      <w:lvlText w:val="•"/>
      <w:lvlJc w:val="left"/>
      <w:pPr>
        <w:ind w:left="7704" w:hanging="243"/>
      </w:pPr>
      <w:rPr>
        <w:rFonts w:hint="default"/>
      </w:rPr>
    </w:lvl>
  </w:abstractNum>
  <w:abstractNum w:abstractNumId="98">
    <w:multiLevelType w:val="hybridMultilevel"/>
    <w:lvl w:ilvl="0">
      <w:start w:val="1"/>
      <w:numFmt w:val="decimal"/>
      <w:lvlText w:val="%1."/>
      <w:lvlJc w:val="left"/>
      <w:pPr>
        <w:ind w:left="119" w:hanging="284"/>
        <w:jc w:val="left"/>
      </w:pPr>
      <w:rPr>
        <w:rFonts w:hint="default" w:ascii="Times New Roman" w:hAnsi="Times New Roman" w:eastAsia="Times New Roman" w:cs="Times New Roman"/>
        <w:w w:val="100"/>
        <w:sz w:val="22"/>
        <w:szCs w:val="22"/>
      </w:rPr>
    </w:lvl>
    <w:lvl w:ilvl="1">
      <w:start w:val="0"/>
      <w:numFmt w:val="bullet"/>
      <w:lvlText w:val="•"/>
      <w:lvlJc w:val="left"/>
      <w:pPr>
        <w:ind w:left="1068" w:hanging="284"/>
      </w:pPr>
      <w:rPr>
        <w:rFonts w:hint="default"/>
      </w:rPr>
    </w:lvl>
    <w:lvl w:ilvl="2">
      <w:start w:val="0"/>
      <w:numFmt w:val="bullet"/>
      <w:lvlText w:val="•"/>
      <w:lvlJc w:val="left"/>
      <w:pPr>
        <w:ind w:left="2016" w:hanging="284"/>
      </w:pPr>
      <w:rPr>
        <w:rFonts w:hint="default"/>
      </w:rPr>
    </w:lvl>
    <w:lvl w:ilvl="3">
      <w:start w:val="0"/>
      <w:numFmt w:val="bullet"/>
      <w:lvlText w:val="•"/>
      <w:lvlJc w:val="left"/>
      <w:pPr>
        <w:ind w:left="2964" w:hanging="284"/>
      </w:pPr>
      <w:rPr>
        <w:rFonts w:hint="default"/>
      </w:rPr>
    </w:lvl>
    <w:lvl w:ilvl="4">
      <w:start w:val="0"/>
      <w:numFmt w:val="bullet"/>
      <w:lvlText w:val="•"/>
      <w:lvlJc w:val="left"/>
      <w:pPr>
        <w:ind w:left="3912" w:hanging="284"/>
      </w:pPr>
      <w:rPr>
        <w:rFonts w:hint="default"/>
      </w:rPr>
    </w:lvl>
    <w:lvl w:ilvl="5">
      <w:start w:val="0"/>
      <w:numFmt w:val="bullet"/>
      <w:lvlText w:val="•"/>
      <w:lvlJc w:val="left"/>
      <w:pPr>
        <w:ind w:left="4860" w:hanging="284"/>
      </w:pPr>
      <w:rPr>
        <w:rFonts w:hint="default"/>
      </w:rPr>
    </w:lvl>
    <w:lvl w:ilvl="6">
      <w:start w:val="0"/>
      <w:numFmt w:val="bullet"/>
      <w:lvlText w:val="•"/>
      <w:lvlJc w:val="left"/>
      <w:pPr>
        <w:ind w:left="5808" w:hanging="284"/>
      </w:pPr>
      <w:rPr>
        <w:rFonts w:hint="default"/>
      </w:rPr>
    </w:lvl>
    <w:lvl w:ilvl="7">
      <w:start w:val="0"/>
      <w:numFmt w:val="bullet"/>
      <w:lvlText w:val="•"/>
      <w:lvlJc w:val="left"/>
      <w:pPr>
        <w:ind w:left="6756" w:hanging="284"/>
      </w:pPr>
      <w:rPr>
        <w:rFonts w:hint="default"/>
      </w:rPr>
    </w:lvl>
    <w:lvl w:ilvl="8">
      <w:start w:val="0"/>
      <w:numFmt w:val="bullet"/>
      <w:lvlText w:val="•"/>
      <w:lvlJc w:val="left"/>
      <w:pPr>
        <w:ind w:left="7704" w:hanging="284"/>
      </w:pPr>
      <w:rPr>
        <w:rFonts w:hint="default"/>
      </w:rPr>
    </w:lvl>
  </w:abstractNum>
  <w:abstractNum w:abstractNumId="97">
    <w:multiLevelType w:val="hybridMultilevel"/>
    <w:lvl w:ilvl="0">
      <w:start w:val="1"/>
      <w:numFmt w:val="decimal"/>
      <w:lvlText w:val="%1."/>
      <w:lvlJc w:val="left"/>
      <w:pPr>
        <w:ind w:left="119" w:hanging="250"/>
        <w:jc w:val="left"/>
      </w:pPr>
      <w:rPr>
        <w:rFonts w:hint="default" w:ascii="Times New Roman" w:hAnsi="Times New Roman" w:eastAsia="Times New Roman" w:cs="Times New Roman"/>
        <w:w w:val="100"/>
        <w:sz w:val="22"/>
        <w:szCs w:val="22"/>
      </w:rPr>
    </w:lvl>
    <w:lvl w:ilvl="1">
      <w:start w:val="0"/>
      <w:numFmt w:val="bullet"/>
      <w:lvlText w:val="•"/>
      <w:lvlJc w:val="left"/>
      <w:pPr>
        <w:ind w:left="1068" w:hanging="250"/>
      </w:pPr>
      <w:rPr>
        <w:rFonts w:hint="default"/>
      </w:rPr>
    </w:lvl>
    <w:lvl w:ilvl="2">
      <w:start w:val="0"/>
      <w:numFmt w:val="bullet"/>
      <w:lvlText w:val="•"/>
      <w:lvlJc w:val="left"/>
      <w:pPr>
        <w:ind w:left="2016" w:hanging="250"/>
      </w:pPr>
      <w:rPr>
        <w:rFonts w:hint="default"/>
      </w:rPr>
    </w:lvl>
    <w:lvl w:ilvl="3">
      <w:start w:val="0"/>
      <w:numFmt w:val="bullet"/>
      <w:lvlText w:val="•"/>
      <w:lvlJc w:val="left"/>
      <w:pPr>
        <w:ind w:left="2964" w:hanging="250"/>
      </w:pPr>
      <w:rPr>
        <w:rFonts w:hint="default"/>
      </w:rPr>
    </w:lvl>
    <w:lvl w:ilvl="4">
      <w:start w:val="0"/>
      <w:numFmt w:val="bullet"/>
      <w:lvlText w:val="•"/>
      <w:lvlJc w:val="left"/>
      <w:pPr>
        <w:ind w:left="3912" w:hanging="250"/>
      </w:pPr>
      <w:rPr>
        <w:rFonts w:hint="default"/>
      </w:rPr>
    </w:lvl>
    <w:lvl w:ilvl="5">
      <w:start w:val="0"/>
      <w:numFmt w:val="bullet"/>
      <w:lvlText w:val="•"/>
      <w:lvlJc w:val="left"/>
      <w:pPr>
        <w:ind w:left="4860" w:hanging="250"/>
      </w:pPr>
      <w:rPr>
        <w:rFonts w:hint="default"/>
      </w:rPr>
    </w:lvl>
    <w:lvl w:ilvl="6">
      <w:start w:val="0"/>
      <w:numFmt w:val="bullet"/>
      <w:lvlText w:val="•"/>
      <w:lvlJc w:val="left"/>
      <w:pPr>
        <w:ind w:left="5808" w:hanging="250"/>
      </w:pPr>
      <w:rPr>
        <w:rFonts w:hint="default"/>
      </w:rPr>
    </w:lvl>
    <w:lvl w:ilvl="7">
      <w:start w:val="0"/>
      <w:numFmt w:val="bullet"/>
      <w:lvlText w:val="•"/>
      <w:lvlJc w:val="left"/>
      <w:pPr>
        <w:ind w:left="6756" w:hanging="250"/>
      </w:pPr>
      <w:rPr>
        <w:rFonts w:hint="default"/>
      </w:rPr>
    </w:lvl>
    <w:lvl w:ilvl="8">
      <w:start w:val="0"/>
      <w:numFmt w:val="bullet"/>
      <w:lvlText w:val="•"/>
      <w:lvlJc w:val="left"/>
      <w:pPr>
        <w:ind w:left="7704" w:hanging="250"/>
      </w:pPr>
      <w:rPr>
        <w:rFonts w:hint="default"/>
      </w:rPr>
    </w:lvl>
  </w:abstractNum>
  <w:abstractNum w:abstractNumId="96">
    <w:multiLevelType w:val="hybridMultilevel"/>
    <w:lvl w:ilvl="0">
      <w:start w:val="1"/>
      <w:numFmt w:val="decimal"/>
      <w:lvlText w:val="%1."/>
      <w:lvlJc w:val="left"/>
      <w:pPr>
        <w:ind w:left="120" w:hanging="231"/>
        <w:jc w:val="left"/>
      </w:pPr>
      <w:rPr>
        <w:rFonts w:hint="default" w:ascii="Times New Roman" w:hAnsi="Times New Roman" w:eastAsia="Times New Roman" w:cs="Times New Roman"/>
        <w:w w:val="100"/>
        <w:sz w:val="22"/>
        <w:szCs w:val="22"/>
      </w:rPr>
    </w:lvl>
    <w:lvl w:ilvl="1">
      <w:start w:val="0"/>
      <w:numFmt w:val="bullet"/>
      <w:lvlText w:val="•"/>
      <w:lvlJc w:val="left"/>
      <w:pPr>
        <w:ind w:left="1068" w:hanging="231"/>
      </w:pPr>
      <w:rPr>
        <w:rFonts w:hint="default"/>
      </w:rPr>
    </w:lvl>
    <w:lvl w:ilvl="2">
      <w:start w:val="0"/>
      <w:numFmt w:val="bullet"/>
      <w:lvlText w:val="•"/>
      <w:lvlJc w:val="left"/>
      <w:pPr>
        <w:ind w:left="2016" w:hanging="231"/>
      </w:pPr>
      <w:rPr>
        <w:rFonts w:hint="default"/>
      </w:rPr>
    </w:lvl>
    <w:lvl w:ilvl="3">
      <w:start w:val="0"/>
      <w:numFmt w:val="bullet"/>
      <w:lvlText w:val="•"/>
      <w:lvlJc w:val="left"/>
      <w:pPr>
        <w:ind w:left="2964" w:hanging="231"/>
      </w:pPr>
      <w:rPr>
        <w:rFonts w:hint="default"/>
      </w:rPr>
    </w:lvl>
    <w:lvl w:ilvl="4">
      <w:start w:val="0"/>
      <w:numFmt w:val="bullet"/>
      <w:lvlText w:val="•"/>
      <w:lvlJc w:val="left"/>
      <w:pPr>
        <w:ind w:left="3912" w:hanging="231"/>
      </w:pPr>
      <w:rPr>
        <w:rFonts w:hint="default"/>
      </w:rPr>
    </w:lvl>
    <w:lvl w:ilvl="5">
      <w:start w:val="0"/>
      <w:numFmt w:val="bullet"/>
      <w:lvlText w:val="•"/>
      <w:lvlJc w:val="left"/>
      <w:pPr>
        <w:ind w:left="4860" w:hanging="231"/>
      </w:pPr>
      <w:rPr>
        <w:rFonts w:hint="default"/>
      </w:rPr>
    </w:lvl>
    <w:lvl w:ilvl="6">
      <w:start w:val="0"/>
      <w:numFmt w:val="bullet"/>
      <w:lvlText w:val="•"/>
      <w:lvlJc w:val="left"/>
      <w:pPr>
        <w:ind w:left="5808" w:hanging="231"/>
      </w:pPr>
      <w:rPr>
        <w:rFonts w:hint="default"/>
      </w:rPr>
    </w:lvl>
    <w:lvl w:ilvl="7">
      <w:start w:val="0"/>
      <w:numFmt w:val="bullet"/>
      <w:lvlText w:val="•"/>
      <w:lvlJc w:val="left"/>
      <w:pPr>
        <w:ind w:left="6756" w:hanging="231"/>
      </w:pPr>
      <w:rPr>
        <w:rFonts w:hint="default"/>
      </w:rPr>
    </w:lvl>
    <w:lvl w:ilvl="8">
      <w:start w:val="0"/>
      <w:numFmt w:val="bullet"/>
      <w:lvlText w:val="•"/>
      <w:lvlJc w:val="left"/>
      <w:pPr>
        <w:ind w:left="7704" w:hanging="231"/>
      </w:pPr>
      <w:rPr>
        <w:rFonts w:hint="default"/>
      </w:rPr>
    </w:lvl>
  </w:abstractNum>
  <w:abstractNum w:abstractNumId="95">
    <w:multiLevelType w:val="hybridMultilevel"/>
    <w:lvl w:ilvl="0">
      <w:start w:val="1"/>
      <w:numFmt w:val="lowerLetter"/>
      <w:lvlText w:val="%1)"/>
      <w:lvlJc w:val="left"/>
      <w:pPr>
        <w:ind w:left="1068" w:hanging="229"/>
        <w:jc w:val="left"/>
      </w:pPr>
      <w:rPr>
        <w:rFonts w:hint="default" w:ascii="Times New Roman" w:hAnsi="Times New Roman" w:eastAsia="Times New Roman" w:cs="Times New Roman"/>
        <w:w w:val="100"/>
        <w:sz w:val="22"/>
        <w:szCs w:val="22"/>
      </w:rPr>
    </w:lvl>
    <w:lvl w:ilvl="1">
      <w:start w:val="0"/>
      <w:numFmt w:val="bullet"/>
      <w:lvlText w:val="•"/>
      <w:lvlJc w:val="left"/>
      <w:pPr>
        <w:ind w:left="1914" w:hanging="229"/>
      </w:pPr>
      <w:rPr>
        <w:rFonts w:hint="default"/>
      </w:rPr>
    </w:lvl>
    <w:lvl w:ilvl="2">
      <w:start w:val="0"/>
      <w:numFmt w:val="bullet"/>
      <w:lvlText w:val="•"/>
      <w:lvlJc w:val="left"/>
      <w:pPr>
        <w:ind w:left="2768" w:hanging="229"/>
      </w:pPr>
      <w:rPr>
        <w:rFonts w:hint="default"/>
      </w:rPr>
    </w:lvl>
    <w:lvl w:ilvl="3">
      <w:start w:val="0"/>
      <w:numFmt w:val="bullet"/>
      <w:lvlText w:val="•"/>
      <w:lvlJc w:val="left"/>
      <w:pPr>
        <w:ind w:left="3622" w:hanging="229"/>
      </w:pPr>
      <w:rPr>
        <w:rFonts w:hint="default"/>
      </w:rPr>
    </w:lvl>
    <w:lvl w:ilvl="4">
      <w:start w:val="0"/>
      <w:numFmt w:val="bullet"/>
      <w:lvlText w:val="•"/>
      <w:lvlJc w:val="left"/>
      <w:pPr>
        <w:ind w:left="4476" w:hanging="229"/>
      </w:pPr>
      <w:rPr>
        <w:rFonts w:hint="default"/>
      </w:rPr>
    </w:lvl>
    <w:lvl w:ilvl="5">
      <w:start w:val="0"/>
      <w:numFmt w:val="bullet"/>
      <w:lvlText w:val="•"/>
      <w:lvlJc w:val="left"/>
      <w:pPr>
        <w:ind w:left="5330" w:hanging="229"/>
      </w:pPr>
      <w:rPr>
        <w:rFonts w:hint="default"/>
      </w:rPr>
    </w:lvl>
    <w:lvl w:ilvl="6">
      <w:start w:val="0"/>
      <w:numFmt w:val="bullet"/>
      <w:lvlText w:val="•"/>
      <w:lvlJc w:val="left"/>
      <w:pPr>
        <w:ind w:left="6184" w:hanging="229"/>
      </w:pPr>
      <w:rPr>
        <w:rFonts w:hint="default"/>
      </w:rPr>
    </w:lvl>
    <w:lvl w:ilvl="7">
      <w:start w:val="0"/>
      <w:numFmt w:val="bullet"/>
      <w:lvlText w:val="•"/>
      <w:lvlJc w:val="left"/>
      <w:pPr>
        <w:ind w:left="7038" w:hanging="229"/>
      </w:pPr>
      <w:rPr>
        <w:rFonts w:hint="default"/>
      </w:rPr>
    </w:lvl>
    <w:lvl w:ilvl="8">
      <w:start w:val="0"/>
      <w:numFmt w:val="bullet"/>
      <w:lvlText w:val="•"/>
      <w:lvlJc w:val="left"/>
      <w:pPr>
        <w:ind w:left="7892" w:hanging="229"/>
      </w:pPr>
      <w:rPr>
        <w:rFonts w:hint="default"/>
      </w:rPr>
    </w:lvl>
  </w:abstractNum>
  <w:abstractNum w:abstractNumId="94">
    <w:multiLevelType w:val="hybridMultilevel"/>
    <w:lvl w:ilvl="0">
      <w:start w:val="1"/>
      <w:numFmt w:val="lowerLetter"/>
      <w:lvlText w:val="%1)"/>
      <w:lvlJc w:val="left"/>
      <w:pPr>
        <w:ind w:left="120" w:hanging="240"/>
        <w:jc w:val="left"/>
      </w:pPr>
      <w:rPr>
        <w:rFonts w:hint="default" w:ascii="Times New Roman" w:hAnsi="Times New Roman" w:eastAsia="Times New Roman" w:cs="Times New Roman"/>
        <w:w w:val="100"/>
        <w:sz w:val="22"/>
        <w:szCs w:val="22"/>
      </w:rPr>
    </w:lvl>
    <w:lvl w:ilvl="1">
      <w:start w:val="0"/>
      <w:numFmt w:val="bullet"/>
      <w:lvlText w:val="•"/>
      <w:lvlJc w:val="left"/>
      <w:pPr>
        <w:ind w:left="1068" w:hanging="240"/>
      </w:pPr>
      <w:rPr>
        <w:rFonts w:hint="default"/>
      </w:rPr>
    </w:lvl>
    <w:lvl w:ilvl="2">
      <w:start w:val="0"/>
      <w:numFmt w:val="bullet"/>
      <w:lvlText w:val="•"/>
      <w:lvlJc w:val="left"/>
      <w:pPr>
        <w:ind w:left="2016" w:hanging="240"/>
      </w:pPr>
      <w:rPr>
        <w:rFonts w:hint="default"/>
      </w:rPr>
    </w:lvl>
    <w:lvl w:ilvl="3">
      <w:start w:val="0"/>
      <w:numFmt w:val="bullet"/>
      <w:lvlText w:val="•"/>
      <w:lvlJc w:val="left"/>
      <w:pPr>
        <w:ind w:left="2964" w:hanging="240"/>
      </w:pPr>
      <w:rPr>
        <w:rFonts w:hint="default"/>
      </w:rPr>
    </w:lvl>
    <w:lvl w:ilvl="4">
      <w:start w:val="0"/>
      <w:numFmt w:val="bullet"/>
      <w:lvlText w:val="•"/>
      <w:lvlJc w:val="left"/>
      <w:pPr>
        <w:ind w:left="3912" w:hanging="240"/>
      </w:pPr>
      <w:rPr>
        <w:rFonts w:hint="default"/>
      </w:rPr>
    </w:lvl>
    <w:lvl w:ilvl="5">
      <w:start w:val="0"/>
      <w:numFmt w:val="bullet"/>
      <w:lvlText w:val="•"/>
      <w:lvlJc w:val="left"/>
      <w:pPr>
        <w:ind w:left="4860" w:hanging="240"/>
      </w:pPr>
      <w:rPr>
        <w:rFonts w:hint="default"/>
      </w:rPr>
    </w:lvl>
    <w:lvl w:ilvl="6">
      <w:start w:val="0"/>
      <w:numFmt w:val="bullet"/>
      <w:lvlText w:val="•"/>
      <w:lvlJc w:val="left"/>
      <w:pPr>
        <w:ind w:left="5808" w:hanging="240"/>
      </w:pPr>
      <w:rPr>
        <w:rFonts w:hint="default"/>
      </w:rPr>
    </w:lvl>
    <w:lvl w:ilvl="7">
      <w:start w:val="0"/>
      <w:numFmt w:val="bullet"/>
      <w:lvlText w:val="•"/>
      <w:lvlJc w:val="left"/>
      <w:pPr>
        <w:ind w:left="6756" w:hanging="240"/>
      </w:pPr>
      <w:rPr>
        <w:rFonts w:hint="default"/>
      </w:rPr>
    </w:lvl>
    <w:lvl w:ilvl="8">
      <w:start w:val="0"/>
      <w:numFmt w:val="bullet"/>
      <w:lvlText w:val="•"/>
      <w:lvlJc w:val="left"/>
      <w:pPr>
        <w:ind w:left="7704" w:hanging="240"/>
      </w:pPr>
      <w:rPr>
        <w:rFonts w:hint="default"/>
      </w:rPr>
    </w:lvl>
  </w:abstractNum>
  <w:abstractNum w:abstractNumId="93">
    <w:multiLevelType w:val="hybridMultilevel"/>
    <w:lvl w:ilvl="0">
      <w:start w:val="1"/>
      <w:numFmt w:val="decimal"/>
      <w:lvlText w:val="%1."/>
      <w:lvlJc w:val="left"/>
      <w:pPr>
        <w:ind w:left="1061" w:hanging="221"/>
        <w:jc w:val="left"/>
      </w:pPr>
      <w:rPr>
        <w:rFonts w:hint="default" w:ascii="Times New Roman" w:hAnsi="Times New Roman" w:eastAsia="Times New Roman" w:cs="Times New Roman"/>
        <w:w w:val="100"/>
        <w:sz w:val="22"/>
        <w:szCs w:val="22"/>
      </w:rPr>
    </w:lvl>
    <w:lvl w:ilvl="1">
      <w:start w:val="0"/>
      <w:numFmt w:val="bullet"/>
      <w:lvlText w:val="•"/>
      <w:lvlJc w:val="left"/>
      <w:pPr>
        <w:ind w:left="1914" w:hanging="221"/>
      </w:pPr>
      <w:rPr>
        <w:rFonts w:hint="default"/>
      </w:rPr>
    </w:lvl>
    <w:lvl w:ilvl="2">
      <w:start w:val="0"/>
      <w:numFmt w:val="bullet"/>
      <w:lvlText w:val="•"/>
      <w:lvlJc w:val="left"/>
      <w:pPr>
        <w:ind w:left="2768" w:hanging="221"/>
      </w:pPr>
      <w:rPr>
        <w:rFonts w:hint="default"/>
      </w:rPr>
    </w:lvl>
    <w:lvl w:ilvl="3">
      <w:start w:val="0"/>
      <w:numFmt w:val="bullet"/>
      <w:lvlText w:val="•"/>
      <w:lvlJc w:val="left"/>
      <w:pPr>
        <w:ind w:left="3622" w:hanging="221"/>
      </w:pPr>
      <w:rPr>
        <w:rFonts w:hint="default"/>
      </w:rPr>
    </w:lvl>
    <w:lvl w:ilvl="4">
      <w:start w:val="0"/>
      <w:numFmt w:val="bullet"/>
      <w:lvlText w:val="•"/>
      <w:lvlJc w:val="left"/>
      <w:pPr>
        <w:ind w:left="4476" w:hanging="221"/>
      </w:pPr>
      <w:rPr>
        <w:rFonts w:hint="default"/>
      </w:rPr>
    </w:lvl>
    <w:lvl w:ilvl="5">
      <w:start w:val="0"/>
      <w:numFmt w:val="bullet"/>
      <w:lvlText w:val="•"/>
      <w:lvlJc w:val="left"/>
      <w:pPr>
        <w:ind w:left="5330" w:hanging="221"/>
      </w:pPr>
      <w:rPr>
        <w:rFonts w:hint="default"/>
      </w:rPr>
    </w:lvl>
    <w:lvl w:ilvl="6">
      <w:start w:val="0"/>
      <w:numFmt w:val="bullet"/>
      <w:lvlText w:val="•"/>
      <w:lvlJc w:val="left"/>
      <w:pPr>
        <w:ind w:left="6184" w:hanging="221"/>
      </w:pPr>
      <w:rPr>
        <w:rFonts w:hint="default"/>
      </w:rPr>
    </w:lvl>
    <w:lvl w:ilvl="7">
      <w:start w:val="0"/>
      <w:numFmt w:val="bullet"/>
      <w:lvlText w:val="•"/>
      <w:lvlJc w:val="left"/>
      <w:pPr>
        <w:ind w:left="7038" w:hanging="221"/>
      </w:pPr>
      <w:rPr>
        <w:rFonts w:hint="default"/>
      </w:rPr>
    </w:lvl>
    <w:lvl w:ilvl="8">
      <w:start w:val="0"/>
      <w:numFmt w:val="bullet"/>
      <w:lvlText w:val="•"/>
      <w:lvlJc w:val="left"/>
      <w:pPr>
        <w:ind w:left="7892" w:hanging="221"/>
      </w:pPr>
      <w:rPr>
        <w:rFonts w:hint="default"/>
      </w:rPr>
    </w:lvl>
  </w:abstractNum>
  <w:abstractNum w:abstractNumId="92">
    <w:multiLevelType w:val="hybridMultilevel"/>
    <w:lvl w:ilvl="0">
      <w:start w:val="1"/>
      <w:numFmt w:val="lowerLetter"/>
      <w:lvlText w:val="%1)"/>
      <w:lvlJc w:val="left"/>
      <w:pPr>
        <w:ind w:left="1068" w:hanging="229"/>
        <w:jc w:val="left"/>
      </w:pPr>
      <w:rPr>
        <w:rFonts w:hint="default" w:ascii="Times New Roman" w:hAnsi="Times New Roman" w:eastAsia="Times New Roman" w:cs="Times New Roman"/>
        <w:w w:val="100"/>
        <w:sz w:val="22"/>
        <w:szCs w:val="22"/>
      </w:rPr>
    </w:lvl>
    <w:lvl w:ilvl="1">
      <w:start w:val="0"/>
      <w:numFmt w:val="bullet"/>
      <w:lvlText w:val="•"/>
      <w:lvlJc w:val="left"/>
      <w:pPr>
        <w:ind w:left="1914" w:hanging="229"/>
      </w:pPr>
      <w:rPr>
        <w:rFonts w:hint="default"/>
      </w:rPr>
    </w:lvl>
    <w:lvl w:ilvl="2">
      <w:start w:val="0"/>
      <w:numFmt w:val="bullet"/>
      <w:lvlText w:val="•"/>
      <w:lvlJc w:val="left"/>
      <w:pPr>
        <w:ind w:left="2768" w:hanging="229"/>
      </w:pPr>
      <w:rPr>
        <w:rFonts w:hint="default"/>
      </w:rPr>
    </w:lvl>
    <w:lvl w:ilvl="3">
      <w:start w:val="0"/>
      <w:numFmt w:val="bullet"/>
      <w:lvlText w:val="•"/>
      <w:lvlJc w:val="left"/>
      <w:pPr>
        <w:ind w:left="3622" w:hanging="229"/>
      </w:pPr>
      <w:rPr>
        <w:rFonts w:hint="default"/>
      </w:rPr>
    </w:lvl>
    <w:lvl w:ilvl="4">
      <w:start w:val="0"/>
      <w:numFmt w:val="bullet"/>
      <w:lvlText w:val="•"/>
      <w:lvlJc w:val="left"/>
      <w:pPr>
        <w:ind w:left="4476" w:hanging="229"/>
      </w:pPr>
      <w:rPr>
        <w:rFonts w:hint="default"/>
      </w:rPr>
    </w:lvl>
    <w:lvl w:ilvl="5">
      <w:start w:val="0"/>
      <w:numFmt w:val="bullet"/>
      <w:lvlText w:val="•"/>
      <w:lvlJc w:val="left"/>
      <w:pPr>
        <w:ind w:left="5330" w:hanging="229"/>
      </w:pPr>
      <w:rPr>
        <w:rFonts w:hint="default"/>
      </w:rPr>
    </w:lvl>
    <w:lvl w:ilvl="6">
      <w:start w:val="0"/>
      <w:numFmt w:val="bullet"/>
      <w:lvlText w:val="•"/>
      <w:lvlJc w:val="left"/>
      <w:pPr>
        <w:ind w:left="6184" w:hanging="229"/>
      </w:pPr>
      <w:rPr>
        <w:rFonts w:hint="default"/>
      </w:rPr>
    </w:lvl>
    <w:lvl w:ilvl="7">
      <w:start w:val="0"/>
      <w:numFmt w:val="bullet"/>
      <w:lvlText w:val="•"/>
      <w:lvlJc w:val="left"/>
      <w:pPr>
        <w:ind w:left="7038" w:hanging="229"/>
      </w:pPr>
      <w:rPr>
        <w:rFonts w:hint="default"/>
      </w:rPr>
    </w:lvl>
    <w:lvl w:ilvl="8">
      <w:start w:val="0"/>
      <w:numFmt w:val="bullet"/>
      <w:lvlText w:val="•"/>
      <w:lvlJc w:val="left"/>
      <w:pPr>
        <w:ind w:left="7892" w:hanging="229"/>
      </w:pPr>
      <w:rPr>
        <w:rFonts w:hint="default"/>
      </w:rPr>
    </w:lvl>
  </w:abstractNum>
  <w:abstractNum w:abstractNumId="91">
    <w:multiLevelType w:val="hybridMultilevel"/>
    <w:lvl w:ilvl="0">
      <w:start w:val="1"/>
      <w:numFmt w:val="lowerLetter"/>
      <w:lvlText w:val="%1)"/>
      <w:lvlJc w:val="left"/>
      <w:pPr>
        <w:ind w:left="120" w:hanging="245"/>
        <w:jc w:val="left"/>
      </w:pPr>
      <w:rPr>
        <w:rFonts w:hint="default" w:ascii="Times New Roman" w:hAnsi="Times New Roman" w:eastAsia="Times New Roman" w:cs="Times New Roman"/>
        <w:w w:val="100"/>
        <w:sz w:val="22"/>
        <w:szCs w:val="22"/>
      </w:rPr>
    </w:lvl>
    <w:lvl w:ilvl="1">
      <w:start w:val="0"/>
      <w:numFmt w:val="bullet"/>
      <w:lvlText w:val="•"/>
      <w:lvlJc w:val="left"/>
      <w:pPr>
        <w:ind w:left="1068" w:hanging="245"/>
      </w:pPr>
      <w:rPr>
        <w:rFonts w:hint="default"/>
      </w:rPr>
    </w:lvl>
    <w:lvl w:ilvl="2">
      <w:start w:val="0"/>
      <w:numFmt w:val="bullet"/>
      <w:lvlText w:val="•"/>
      <w:lvlJc w:val="left"/>
      <w:pPr>
        <w:ind w:left="2016" w:hanging="245"/>
      </w:pPr>
      <w:rPr>
        <w:rFonts w:hint="default"/>
      </w:rPr>
    </w:lvl>
    <w:lvl w:ilvl="3">
      <w:start w:val="0"/>
      <w:numFmt w:val="bullet"/>
      <w:lvlText w:val="•"/>
      <w:lvlJc w:val="left"/>
      <w:pPr>
        <w:ind w:left="2964" w:hanging="245"/>
      </w:pPr>
      <w:rPr>
        <w:rFonts w:hint="default"/>
      </w:rPr>
    </w:lvl>
    <w:lvl w:ilvl="4">
      <w:start w:val="0"/>
      <w:numFmt w:val="bullet"/>
      <w:lvlText w:val="•"/>
      <w:lvlJc w:val="left"/>
      <w:pPr>
        <w:ind w:left="3912" w:hanging="245"/>
      </w:pPr>
      <w:rPr>
        <w:rFonts w:hint="default"/>
      </w:rPr>
    </w:lvl>
    <w:lvl w:ilvl="5">
      <w:start w:val="0"/>
      <w:numFmt w:val="bullet"/>
      <w:lvlText w:val="•"/>
      <w:lvlJc w:val="left"/>
      <w:pPr>
        <w:ind w:left="4860" w:hanging="245"/>
      </w:pPr>
      <w:rPr>
        <w:rFonts w:hint="default"/>
      </w:rPr>
    </w:lvl>
    <w:lvl w:ilvl="6">
      <w:start w:val="0"/>
      <w:numFmt w:val="bullet"/>
      <w:lvlText w:val="•"/>
      <w:lvlJc w:val="left"/>
      <w:pPr>
        <w:ind w:left="5808" w:hanging="245"/>
      </w:pPr>
      <w:rPr>
        <w:rFonts w:hint="default"/>
      </w:rPr>
    </w:lvl>
    <w:lvl w:ilvl="7">
      <w:start w:val="0"/>
      <w:numFmt w:val="bullet"/>
      <w:lvlText w:val="•"/>
      <w:lvlJc w:val="left"/>
      <w:pPr>
        <w:ind w:left="6756" w:hanging="245"/>
      </w:pPr>
      <w:rPr>
        <w:rFonts w:hint="default"/>
      </w:rPr>
    </w:lvl>
    <w:lvl w:ilvl="8">
      <w:start w:val="0"/>
      <w:numFmt w:val="bullet"/>
      <w:lvlText w:val="•"/>
      <w:lvlJc w:val="left"/>
      <w:pPr>
        <w:ind w:left="7704" w:hanging="245"/>
      </w:pPr>
      <w:rPr>
        <w:rFonts w:hint="default"/>
      </w:rPr>
    </w:lvl>
  </w:abstractNum>
  <w:abstractNum w:abstractNumId="90">
    <w:multiLevelType w:val="hybridMultilevel"/>
    <w:lvl w:ilvl="0">
      <w:start w:val="1"/>
      <w:numFmt w:val="lowerLetter"/>
      <w:lvlText w:val="%1)"/>
      <w:lvlJc w:val="left"/>
      <w:pPr>
        <w:ind w:left="119" w:hanging="276"/>
        <w:jc w:val="left"/>
      </w:pPr>
      <w:rPr>
        <w:rFonts w:hint="default" w:ascii="Times New Roman" w:hAnsi="Times New Roman" w:eastAsia="Times New Roman" w:cs="Times New Roman"/>
        <w:w w:val="100"/>
        <w:sz w:val="22"/>
        <w:szCs w:val="22"/>
      </w:rPr>
    </w:lvl>
    <w:lvl w:ilvl="1">
      <w:start w:val="0"/>
      <w:numFmt w:val="bullet"/>
      <w:lvlText w:val="•"/>
      <w:lvlJc w:val="left"/>
      <w:pPr>
        <w:ind w:left="1068" w:hanging="276"/>
      </w:pPr>
      <w:rPr>
        <w:rFonts w:hint="default"/>
      </w:rPr>
    </w:lvl>
    <w:lvl w:ilvl="2">
      <w:start w:val="0"/>
      <w:numFmt w:val="bullet"/>
      <w:lvlText w:val="•"/>
      <w:lvlJc w:val="left"/>
      <w:pPr>
        <w:ind w:left="2016" w:hanging="276"/>
      </w:pPr>
      <w:rPr>
        <w:rFonts w:hint="default"/>
      </w:rPr>
    </w:lvl>
    <w:lvl w:ilvl="3">
      <w:start w:val="0"/>
      <w:numFmt w:val="bullet"/>
      <w:lvlText w:val="•"/>
      <w:lvlJc w:val="left"/>
      <w:pPr>
        <w:ind w:left="2964" w:hanging="276"/>
      </w:pPr>
      <w:rPr>
        <w:rFonts w:hint="default"/>
      </w:rPr>
    </w:lvl>
    <w:lvl w:ilvl="4">
      <w:start w:val="0"/>
      <w:numFmt w:val="bullet"/>
      <w:lvlText w:val="•"/>
      <w:lvlJc w:val="left"/>
      <w:pPr>
        <w:ind w:left="3912" w:hanging="276"/>
      </w:pPr>
      <w:rPr>
        <w:rFonts w:hint="default"/>
      </w:rPr>
    </w:lvl>
    <w:lvl w:ilvl="5">
      <w:start w:val="0"/>
      <w:numFmt w:val="bullet"/>
      <w:lvlText w:val="•"/>
      <w:lvlJc w:val="left"/>
      <w:pPr>
        <w:ind w:left="4860" w:hanging="276"/>
      </w:pPr>
      <w:rPr>
        <w:rFonts w:hint="default"/>
      </w:rPr>
    </w:lvl>
    <w:lvl w:ilvl="6">
      <w:start w:val="0"/>
      <w:numFmt w:val="bullet"/>
      <w:lvlText w:val="•"/>
      <w:lvlJc w:val="left"/>
      <w:pPr>
        <w:ind w:left="5808" w:hanging="276"/>
      </w:pPr>
      <w:rPr>
        <w:rFonts w:hint="default"/>
      </w:rPr>
    </w:lvl>
    <w:lvl w:ilvl="7">
      <w:start w:val="0"/>
      <w:numFmt w:val="bullet"/>
      <w:lvlText w:val="•"/>
      <w:lvlJc w:val="left"/>
      <w:pPr>
        <w:ind w:left="6756" w:hanging="276"/>
      </w:pPr>
      <w:rPr>
        <w:rFonts w:hint="default"/>
      </w:rPr>
    </w:lvl>
    <w:lvl w:ilvl="8">
      <w:start w:val="0"/>
      <w:numFmt w:val="bullet"/>
      <w:lvlText w:val="•"/>
      <w:lvlJc w:val="left"/>
      <w:pPr>
        <w:ind w:left="7704" w:hanging="276"/>
      </w:pPr>
      <w:rPr>
        <w:rFonts w:hint="default"/>
      </w:rPr>
    </w:lvl>
  </w:abstractNum>
  <w:abstractNum w:abstractNumId="89">
    <w:multiLevelType w:val="hybridMultilevel"/>
    <w:lvl w:ilvl="0">
      <w:start w:val="1"/>
      <w:numFmt w:val="decimal"/>
      <w:lvlText w:val="%1."/>
      <w:lvlJc w:val="left"/>
      <w:pPr>
        <w:ind w:left="120" w:hanging="233"/>
        <w:jc w:val="left"/>
      </w:pPr>
      <w:rPr>
        <w:rFonts w:hint="default" w:ascii="Times New Roman" w:hAnsi="Times New Roman" w:eastAsia="Times New Roman" w:cs="Times New Roman"/>
        <w:w w:val="100"/>
        <w:sz w:val="22"/>
        <w:szCs w:val="22"/>
      </w:rPr>
    </w:lvl>
    <w:lvl w:ilvl="1">
      <w:start w:val="0"/>
      <w:numFmt w:val="bullet"/>
      <w:lvlText w:val="•"/>
      <w:lvlJc w:val="left"/>
      <w:pPr>
        <w:ind w:left="1068" w:hanging="233"/>
      </w:pPr>
      <w:rPr>
        <w:rFonts w:hint="default"/>
      </w:rPr>
    </w:lvl>
    <w:lvl w:ilvl="2">
      <w:start w:val="0"/>
      <w:numFmt w:val="bullet"/>
      <w:lvlText w:val="•"/>
      <w:lvlJc w:val="left"/>
      <w:pPr>
        <w:ind w:left="2016" w:hanging="233"/>
      </w:pPr>
      <w:rPr>
        <w:rFonts w:hint="default"/>
      </w:rPr>
    </w:lvl>
    <w:lvl w:ilvl="3">
      <w:start w:val="0"/>
      <w:numFmt w:val="bullet"/>
      <w:lvlText w:val="•"/>
      <w:lvlJc w:val="left"/>
      <w:pPr>
        <w:ind w:left="2964" w:hanging="233"/>
      </w:pPr>
      <w:rPr>
        <w:rFonts w:hint="default"/>
      </w:rPr>
    </w:lvl>
    <w:lvl w:ilvl="4">
      <w:start w:val="0"/>
      <w:numFmt w:val="bullet"/>
      <w:lvlText w:val="•"/>
      <w:lvlJc w:val="left"/>
      <w:pPr>
        <w:ind w:left="3912" w:hanging="233"/>
      </w:pPr>
      <w:rPr>
        <w:rFonts w:hint="default"/>
      </w:rPr>
    </w:lvl>
    <w:lvl w:ilvl="5">
      <w:start w:val="0"/>
      <w:numFmt w:val="bullet"/>
      <w:lvlText w:val="•"/>
      <w:lvlJc w:val="left"/>
      <w:pPr>
        <w:ind w:left="4860" w:hanging="233"/>
      </w:pPr>
      <w:rPr>
        <w:rFonts w:hint="default"/>
      </w:rPr>
    </w:lvl>
    <w:lvl w:ilvl="6">
      <w:start w:val="0"/>
      <w:numFmt w:val="bullet"/>
      <w:lvlText w:val="•"/>
      <w:lvlJc w:val="left"/>
      <w:pPr>
        <w:ind w:left="5808" w:hanging="233"/>
      </w:pPr>
      <w:rPr>
        <w:rFonts w:hint="default"/>
      </w:rPr>
    </w:lvl>
    <w:lvl w:ilvl="7">
      <w:start w:val="0"/>
      <w:numFmt w:val="bullet"/>
      <w:lvlText w:val="•"/>
      <w:lvlJc w:val="left"/>
      <w:pPr>
        <w:ind w:left="6756" w:hanging="233"/>
      </w:pPr>
      <w:rPr>
        <w:rFonts w:hint="default"/>
      </w:rPr>
    </w:lvl>
    <w:lvl w:ilvl="8">
      <w:start w:val="0"/>
      <w:numFmt w:val="bullet"/>
      <w:lvlText w:val="•"/>
      <w:lvlJc w:val="left"/>
      <w:pPr>
        <w:ind w:left="7704" w:hanging="233"/>
      </w:pPr>
      <w:rPr>
        <w:rFonts w:hint="default"/>
      </w:rPr>
    </w:lvl>
  </w:abstractNum>
  <w:abstractNum w:abstractNumId="88">
    <w:multiLevelType w:val="hybridMultilevel"/>
    <w:lvl w:ilvl="0">
      <w:start w:val="1"/>
      <w:numFmt w:val="lowerLetter"/>
      <w:lvlText w:val="%1)"/>
      <w:lvlJc w:val="left"/>
      <w:pPr>
        <w:ind w:left="120" w:hanging="238"/>
        <w:jc w:val="left"/>
      </w:pPr>
      <w:rPr>
        <w:rFonts w:hint="default" w:ascii="Times New Roman" w:hAnsi="Times New Roman" w:eastAsia="Times New Roman" w:cs="Times New Roman"/>
        <w:w w:val="100"/>
        <w:sz w:val="22"/>
        <w:szCs w:val="22"/>
      </w:rPr>
    </w:lvl>
    <w:lvl w:ilvl="1">
      <w:start w:val="0"/>
      <w:numFmt w:val="bullet"/>
      <w:lvlText w:val="•"/>
      <w:lvlJc w:val="left"/>
      <w:pPr>
        <w:ind w:left="1068" w:hanging="238"/>
      </w:pPr>
      <w:rPr>
        <w:rFonts w:hint="default"/>
      </w:rPr>
    </w:lvl>
    <w:lvl w:ilvl="2">
      <w:start w:val="0"/>
      <w:numFmt w:val="bullet"/>
      <w:lvlText w:val="•"/>
      <w:lvlJc w:val="left"/>
      <w:pPr>
        <w:ind w:left="2016" w:hanging="238"/>
      </w:pPr>
      <w:rPr>
        <w:rFonts w:hint="default"/>
      </w:rPr>
    </w:lvl>
    <w:lvl w:ilvl="3">
      <w:start w:val="0"/>
      <w:numFmt w:val="bullet"/>
      <w:lvlText w:val="•"/>
      <w:lvlJc w:val="left"/>
      <w:pPr>
        <w:ind w:left="2964" w:hanging="238"/>
      </w:pPr>
      <w:rPr>
        <w:rFonts w:hint="default"/>
      </w:rPr>
    </w:lvl>
    <w:lvl w:ilvl="4">
      <w:start w:val="0"/>
      <w:numFmt w:val="bullet"/>
      <w:lvlText w:val="•"/>
      <w:lvlJc w:val="left"/>
      <w:pPr>
        <w:ind w:left="3912" w:hanging="238"/>
      </w:pPr>
      <w:rPr>
        <w:rFonts w:hint="default"/>
      </w:rPr>
    </w:lvl>
    <w:lvl w:ilvl="5">
      <w:start w:val="0"/>
      <w:numFmt w:val="bullet"/>
      <w:lvlText w:val="•"/>
      <w:lvlJc w:val="left"/>
      <w:pPr>
        <w:ind w:left="4860" w:hanging="238"/>
      </w:pPr>
      <w:rPr>
        <w:rFonts w:hint="default"/>
      </w:rPr>
    </w:lvl>
    <w:lvl w:ilvl="6">
      <w:start w:val="0"/>
      <w:numFmt w:val="bullet"/>
      <w:lvlText w:val="•"/>
      <w:lvlJc w:val="left"/>
      <w:pPr>
        <w:ind w:left="5808" w:hanging="238"/>
      </w:pPr>
      <w:rPr>
        <w:rFonts w:hint="default"/>
      </w:rPr>
    </w:lvl>
    <w:lvl w:ilvl="7">
      <w:start w:val="0"/>
      <w:numFmt w:val="bullet"/>
      <w:lvlText w:val="•"/>
      <w:lvlJc w:val="left"/>
      <w:pPr>
        <w:ind w:left="6756" w:hanging="238"/>
      </w:pPr>
      <w:rPr>
        <w:rFonts w:hint="default"/>
      </w:rPr>
    </w:lvl>
    <w:lvl w:ilvl="8">
      <w:start w:val="0"/>
      <w:numFmt w:val="bullet"/>
      <w:lvlText w:val="•"/>
      <w:lvlJc w:val="left"/>
      <w:pPr>
        <w:ind w:left="7704" w:hanging="238"/>
      </w:pPr>
      <w:rPr>
        <w:rFonts w:hint="default"/>
      </w:rPr>
    </w:lvl>
  </w:abstractNum>
  <w:abstractNum w:abstractNumId="87">
    <w:multiLevelType w:val="hybridMultilevel"/>
    <w:lvl w:ilvl="0">
      <w:start w:val="1"/>
      <w:numFmt w:val="decimal"/>
      <w:lvlText w:val="%1."/>
      <w:lvlJc w:val="left"/>
      <w:pPr>
        <w:ind w:left="120" w:hanging="276"/>
        <w:jc w:val="left"/>
      </w:pPr>
      <w:rPr>
        <w:rFonts w:hint="default" w:ascii="Times New Roman" w:hAnsi="Times New Roman" w:eastAsia="Times New Roman" w:cs="Times New Roman"/>
        <w:w w:val="100"/>
        <w:sz w:val="22"/>
        <w:szCs w:val="22"/>
      </w:rPr>
    </w:lvl>
    <w:lvl w:ilvl="1">
      <w:start w:val="0"/>
      <w:numFmt w:val="bullet"/>
      <w:lvlText w:val="•"/>
      <w:lvlJc w:val="left"/>
      <w:pPr>
        <w:ind w:left="1068" w:hanging="276"/>
      </w:pPr>
      <w:rPr>
        <w:rFonts w:hint="default"/>
      </w:rPr>
    </w:lvl>
    <w:lvl w:ilvl="2">
      <w:start w:val="0"/>
      <w:numFmt w:val="bullet"/>
      <w:lvlText w:val="•"/>
      <w:lvlJc w:val="left"/>
      <w:pPr>
        <w:ind w:left="2016" w:hanging="276"/>
      </w:pPr>
      <w:rPr>
        <w:rFonts w:hint="default"/>
      </w:rPr>
    </w:lvl>
    <w:lvl w:ilvl="3">
      <w:start w:val="0"/>
      <w:numFmt w:val="bullet"/>
      <w:lvlText w:val="•"/>
      <w:lvlJc w:val="left"/>
      <w:pPr>
        <w:ind w:left="2964" w:hanging="276"/>
      </w:pPr>
      <w:rPr>
        <w:rFonts w:hint="default"/>
      </w:rPr>
    </w:lvl>
    <w:lvl w:ilvl="4">
      <w:start w:val="0"/>
      <w:numFmt w:val="bullet"/>
      <w:lvlText w:val="•"/>
      <w:lvlJc w:val="left"/>
      <w:pPr>
        <w:ind w:left="3912" w:hanging="276"/>
      </w:pPr>
      <w:rPr>
        <w:rFonts w:hint="default"/>
      </w:rPr>
    </w:lvl>
    <w:lvl w:ilvl="5">
      <w:start w:val="0"/>
      <w:numFmt w:val="bullet"/>
      <w:lvlText w:val="•"/>
      <w:lvlJc w:val="left"/>
      <w:pPr>
        <w:ind w:left="4860" w:hanging="276"/>
      </w:pPr>
      <w:rPr>
        <w:rFonts w:hint="default"/>
      </w:rPr>
    </w:lvl>
    <w:lvl w:ilvl="6">
      <w:start w:val="0"/>
      <w:numFmt w:val="bullet"/>
      <w:lvlText w:val="•"/>
      <w:lvlJc w:val="left"/>
      <w:pPr>
        <w:ind w:left="5808" w:hanging="276"/>
      </w:pPr>
      <w:rPr>
        <w:rFonts w:hint="default"/>
      </w:rPr>
    </w:lvl>
    <w:lvl w:ilvl="7">
      <w:start w:val="0"/>
      <w:numFmt w:val="bullet"/>
      <w:lvlText w:val="•"/>
      <w:lvlJc w:val="left"/>
      <w:pPr>
        <w:ind w:left="6756" w:hanging="276"/>
      </w:pPr>
      <w:rPr>
        <w:rFonts w:hint="default"/>
      </w:rPr>
    </w:lvl>
    <w:lvl w:ilvl="8">
      <w:start w:val="0"/>
      <w:numFmt w:val="bullet"/>
      <w:lvlText w:val="•"/>
      <w:lvlJc w:val="left"/>
      <w:pPr>
        <w:ind w:left="7704" w:hanging="276"/>
      </w:pPr>
      <w:rPr>
        <w:rFonts w:hint="default"/>
      </w:rPr>
    </w:lvl>
  </w:abstractNum>
  <w:abstractNum w:abstractNumId="86">
    <w:multiLevelType w:val="hybridMultilevel"/>
    <w:lvl w:ilvl="0">
      <w:start w:val="1"/>
      <w:numFmt w:val="lowerLetter"/>
      <w:lvlText w:val="%1)"/>
      <w:lvlJc w:val="left"/>
      <w:pPr>
        <w:ind w:left="120" w:hanging="279"/>
        <w:jc w:val="left"/>
      </w:pPr>
      <w:rPr>
        <w:rFonts w:hint="default" w:ascii="Times New Roman" w:hAnsi="Times New Roman" w:eastAsia="Times New Roman" w:cs="Times New Roman"/>
        <w:w w:val="100"/>
        <w:sz w:val="22"/>
        <w:szCs w:val="22"/>
      </w:rPr>
    </w:lvl>
    <w:lvl w:ilvl="1">
      <w:start w:val="0"/>
      <w:numFmt w:val="bullet"/>
      <w:lvlText w:val="•"/>
      <w:lvlJc w:val="left"/>
      <w:pPr>
        <w:ind w:left="1068" w:hanging="279"/>
      </w:pPr>
      <w:rPr>
        <w:rFonts w:hint="default"/>
      </w:rPr>
    </w:lvl>
    <w:lvl w:ilvl="2">
      <w:start w:val="0"/>
      <w:numFmt w:val="bullet"/>
      <w:lvlText w:val="•"/>
      <w:lvlJc w:val="left"/>
      <w:pPr>
        <w:ind w:left="2016" w:hanging="279"/>
      </w:pPr>
      <w:rPr>
        <w:rFonts w:hint="default"/>
      </w:rPr>
    </w:lvl>
    <w:lvl w:ilvl="3">
      <w:start w:val="0"/>
      <w:numFmt w:val="bullet"/>
      <w:lvlText w:val="•"/>
      <w:lvlJc w:val="left"/>
      <w:pPr>
        <w:ind w:left="2964" w:hanging="279"/>
      </w:pPr>
      <w:rPr>
        <w:rFonts w:hint="default"/>
      </w:rPr>
    </w:lvl>
    <w:lvl w:ilvl="4">
      <w:start w:val="0"/>
      <w:numFmt w:val="bullet"/>
      <w:lvlText w:val="•"/>
      <w:lvlJc w:val="left"/>
      <w:pPr>
        <w:ind w:left="3912" w:hanging="279"/>
      </w:pPr>
      <w:rPr>
        <w:rFonts w:hint="default"/>
      </w:rPr>
    </w:lvl>
    <w:lvl w:ilvl="5">
      <w:start w:val="0"/>
      <w:numFmt w:val="bullet"/>
      <w:lvlText w:val="•"/>
      <w:lvlJc w:val="left"/>
      <w:pPr>
        <w:ind w:left="4860" w:hanging="279"/>
      </w:pPr>
      <w:rPr>
        <w:rFonts w:hint="default"/>
      </w:rPr>
    </w:lvl>
    <w:lvl w:ilvl="6">
      <w:start w:val="0"/>
      <w:numFmt w:val="bullet"/>
      <w:lvlText w:val="•"/>
      <w:lvlJc w:val="left"/>
      <w:pPr>
        <w:ind w:left="5808" w:hanging="279"/>
      </w:pPr>
      <w:rPr>
        <w:rFonts w:hint="default"/>
      </w:rPr>
    </w:lvl>
    <w:lvl w:ilvl="7">
      <w:start w:val="0"/>
      <w:numFmt w:val="bullet"/>
      <w:lvlText w:val="•"/>
      <w:lvlJc w:val="left"/>
      <w:pPr>
        <w:ind w:left="6756" w:hanging="279"/>
      </w:pPr>
      <w:rPr>
        <w:rFonts w:hint="default"/>
      </w:rPr>
    </w:lvl>
    <w:lvl w:ilvl="8">
      <w:start w:val="0"/>
      <w:numFmt w:val="bullet"/>
      <w:lvlText w:val="•"/>
      <w:lvlJc w:val="left"/>
      <w:pPr>
        <w:ind w:left="7704" w:hanging="279"/>
      </w:pPr>
      <w:rPr>
        <w:rFonts w:hint="default"/>
      </w:rPr>
    </w:lvl>
  </w:abstractNum>
  <w:abstractNum w:abstractNumId="85">
    <w:multiLevelType w:val="hybridMultilevel"/>
    <w:lvl w:ilvl="0">
      <w:start w:val="1"/>
      <w:numFmt w:val="lowerLetter"/>
      <w:lvlText w:val="%1)"/>
      <w:lvlJc w:val="left"/>
      <w:pPr>
        <w:ind w:left="1103" w:hanging="265"/>
        <w:jc w:val="left"/>
      </w:pPr>
      <w:rPr>
        <w:rFonts w:hint="default" w:ascii="Times New Roman" w:hAnsi="Times New Roman" w:eastAsia="Times New Roman" w:cs="Times New Roman"/>
        <w:w w:val="100"/>
        <w:sz w:val="22"/>
        <w:szCs w:val="22"/>
      </w:rPr>
    </w:lvl>
    <w:lvl w:ilvl="1">
      <w:start w:val="0"/>
      <w:numFmt w:val="bullet"/>
      <w:lvlText w:val="•"/>
      <w:lvlJc w:val="left"/>
      <w:pPr>
        <w:ind w:left="1950" w:hanging="265"/>
      </w:pPr>
      <w:rPr>
        <w:rFonts w:hint="default"/>
      </w:rPr>
    </w:lvl>
    <w:lvl w:ilvl="2">
      <w:start w:val="0"/>
      <w:numFmt w:val="bullet"/>
      <w:lvlText w:val="•"/>
      <w:lvlJc w:val="left"/>
      <w:pPr>
        <w:ind w:left="2800" w:hanging="265"/>
      </w:pPr>
      <w:rPr>
        <w:rFonts w:hint="default"/>
      </w:rPr>
    </w:lvl>
    <w:lvl w:ilvl="3">
      <w:start w:val="0"/>
      <w:numFmt w:val="bullet"/>
      <w:lvlText w:val="•"/>
      <w:lvlJc w:val="left"/>
      <w:pPr>
        <w:ind w:left="3650" w:hanging="265"/>
      </w:pPr>
      <w:rPr>
        <w:rFonts w:hint="default"/>
      </w:rPr>
    </w:lvl>
    <w:lvl w:ilvl="4">
      <w:start w:val="0"/>
      <w:numFmt w:val="bullet"/>
      <w:lvlText w:val="•"/>
      <w:lvlJc w:val="left"/>
      <w:pPr>
        <w:ind w:left="4500" w:hanging="265"/>
      </w:pPr>
      <w:rPr>
        <w:rFonts w:hint="default"/>
      </w:rPr>
    </w:lvl>
    <w:lvl w:ilvl="5">
      <w:start w:val="0"/>
      <w:numFmt w:val="bullet"/>
      <w:lvlText w:val="•"/>
      <w:lvlJc w:val="left"/>
      <w:pPr>
        <w:ind w:left="5350" w:hanging="265"/>
      </w:pPr>
      <w:rPr>
        <w:rFonts w:hint="default"/>
      </w:rPr>
    </w:lvl>
    <w:lvl w:ilvl="6">
      <w:start w:val="0"/>
      <w:numFmt w:val="bullet"/>
      <w:lvlText w:val="•"/>
      <w:lvlJc w:val="left"/>
      <w:pPr>
        <w:ind w:left="6200" w:hanging="265"/>
      </w:pPr>
      <w:rPr>
        <w:rFonts w:hint="default"/>
      </w:rPr>
    </w:lvl>
    <w:lvl w:ilvl="7">
      <w:start w:val="0"/>
      <w:numFmt w:val="bullet"/>
      <w:lvlText w:val="•"/>
      <w:lvlJc w:val="left"/>
      <w:pPr>
        <w:ind w:left="7050" w:hanging="265"/>
      </w:pPr>
      <w:rPr>
        <w:rFonts w:hint="default"/>
      </w:rPr>
    </w:lvl>
    <w:lvl w:ilvl="8">
      <w:start w:val="0"/>
      <w:numFmt w:val="bullet"/>
      <w:lvlText w:val="•"/>
      <w:lvlJc w:val="left"/>
      <w:pPr>
        <w:ind w:left="7900" w:hanging="265"/>
      </w:pPr>
      <w:rPr>
        <w:rFonts w:hint="default"/>
      </w:rPr>
    </w:lvl>
  </w:abstractNum>
  <w:abstractNum w:abstractNumId="84">
    <w:multiLevelType w:val="hybridMultilevel"/>
    <w:lvl w:ilvl="0">
      <w:start w:val="1"/>
      <w:numFmt w:val="decimal"/>
      <w:lvlText w:val="%1."/>
      <w:lvlJc w:val="left"/>
      <w:pPr>
        <w:ind w:left="119" w:hanging="233"/>
        <w:jc w:val="left"/>
      </w:pPr>
      <w:rPr>
        <w:rFonts w:hint="default" w:ascii="Times New Roman" w:hAnsi="Times New Roman" w:eastAsia="Times New Roman" w:cs="Times New Roman"/>
        <w:w w:val="100"/>
        <w:sz w:val="22"/>
        <w:szCs w:val="22"/>
      </w:rPr>
    </w:lvl>
    <w:lvl w:ilvl="1">
      <w:start w:val="0"/>
      <w:numFmt w:val="bullet"/>
      <w:lvlText w:val="•"/>
      <w:lvlJc w:val="left"/>
      <w:pPr>
        <w:ind w:left="1068" w:hanging="233"/>
      </w:pPr>
      <w:rPr>
        <w:rFonts w:hint="default"/>
      </w:rPr>
    </w:lvl>
    <w:lvl w:ilvl="2">
      <w:start w:val="0"/>
      <w:numFmt w:val="bullet"/>
      <w:lvlText w:val="•"/>
      <w:lvlJc w:val="left"/>
      <w:pPr>
        <w:ind w:left="2016" w:hanging="233"/>
      </w:pPr>
      <w:rPr>
        <w:rFonts w:hint="default"/>
      </w:rPr>
    </w:lvl>
    <w:lvl w:ilvl="3">
      <w:start w:val="0"/>
      <w:numFmt w:val="bullet"/>
      <w:lvlText w:val="•"/>
      <w:lvlJc w:val="left"/>
      <w:pPr>
        <w:ind w:left="2964" w:hanging="233"/>
      </w:pPr>
      <w:rPr>
        <w:rFonts w:hint="default"/>
      </w:rPr>
    </w:lvl>
    <w:lvl w:ilvl="4">
      <w:start w:val="0"/>
      <w:numFmt w:val="bullet"/>
      <w:lvlText w:val="•"/>
      <w:lvlJc w:val="left"/>
      <w:pPr>
        <w:ind w:left="3912" w:hanging="233"/>
      </w:pPr>
      <w:rPr>
        <w:rFonts w:hint="default"/>
      </w:rPr>
    </w:lvl>
    <w:lvl w:ilvl="5">
      <w:start w:val="0"/>
      <w:numFmt w:val="bullet"/>
      <w:lvlText w:val="•"/>
      <w:lvlJc w:val="left"/>
      <w:pPr>
        <w:ind w:left="4860" w:hanging="233"/>
      </w:pPr>
      <w:rPr>
        <w:rFonts w:hint="default"/>
      </w:rPr>
    </w:lvl>
    <w:lvl w:ilvl="6">
      <w:start w:val="0"/>
      <w:numFmt w:val="bullet"/>
      <w:lvlText w:val="•"/>
      <w:lvlJc w:val="left"/>
      <w:pPr>
        <w:ind w:left="5808" w:hanging="233"/>
      </w:pPr>
      <w:rPr>
        <w:rFonts w:hint="default"/>
      </w:rPr>
    </w:lvl>
    <w:lvl w:ilvl="7">
      <w:start w:val="0"/>
      <w:numFmt w:val="bullet"/>
      <w:lvlText w:val="•"/>
      <w:lvlJc w:val="left"/>
      <w:pPr>
        <w:ind w:left="6756" w:hanging="233"/>
      </w:pPr>
      <w:rPr>
        <w:rFonts w:hint="default"/>
      </w:rPr>
    </w:lvl>
    <w:lvl w:ilvl="8">
      <w:start w:val="0"/>
      <w:numFmt w:val="bullet"/>
      <w:lvlText w:val="•"/>
      <w:lvlJc w:val="left"/>
      <w:pPr>
        <w:ind w:left="7704" w:hanging="233"/>
      </w:pPr>
      <w:rPr>
        <w:rFonts w:hint="default"/>
      </w:rPr>
    </w:lvl>
  </w:abstractNum>
  <w:abstractNum w:abstractNumId="83">
    <w:multiLevelType w:val="hybridMultilevel"/>
    <w:lvl w:ilvl="0">
      <w:start w:val="1"/>
      <w:numFmt w:val="lowerLetter"/>
      <w:lvlText w:val="%1)"/>
      <w:lvlJc w:val="left"/>
      <w:pPr>
        <w:ind w:left="1067" w:hanging="229"/>
        <w:jc w:val="left"/>
      </w:pPr>
      <w:rPr>
        <w:rFonts w:hint="default" w:ascii="Times New Roman" w:hAnsi="Times New Roman" w:eastAsia="Times New Roman" w:cs="Times New Roman"/>
        <w:w w:val="100"/>
        <w:sz w:val="22"/>
        <w:szCs w:val="22"/>
      </w:rPr>
    </w:lvl>
    <w:lvl w:ilvl="1">
      <w:start w:val="0"/>
      <w:numFmt w:val="bullet"/>
      <w:lvlText w:val="•"/>
      <w:lvlJc w:val="left"/>
      <w:pPr>
        <w:ind w:left="1914" w:hanging="229"/>
      </w:pPr>
      <w:rPr>
        <w:rFonts w:hint="default"/>
      </w:rPr>
    </w:lvl>
    <w:lvl w:ilvl="2">
      <w:start w:val="0"/>
      <w:numFmt w:val="bullet"/>
      <w:lvlText w:val="•"/>
      <w:lvlJc w:val="left"/>
      <w:pPr>
        <w:ind w:left="2768" w:hanging="229"/>
      </w:pPr>
      <w:rPr>
        <w:rFonts w:hint="default"/>
      </w:rPr>
    </w:lvl>
    <w:lvl w:ilvl="3">
      <w:start w:val="0"/>
      <w:numFmt w:val="bullet"/>
      <w:lvlText w:val="•"/>
      <w:lvlJc w:val="left"/>
      <w:pPr>
        <w:ind w:left="3622" w:hanging="229"/>
      </w:pPr>
      <w:rPr>
        <w:rFonts w:hint="default"/>
      </w:rPr>
    </w:lvl>
    <w:lvl w:ilvl="4">
      <w:start w:val="0"/>
      <w:numFmt w:val="bullet"/>
      <w:lvlText w:val="•"/>
      <w:lvlJc w:val="left"/>
      <w:pPr>
        <w:ind w:left="4476" w:hanging="229"/>
      </w:pPr>
      <w:rPr>
        <w:rFonts w:hint="default"/>
      </w:rPr>
    </w:lvl>
    <w:lvl w:ilvl="5">
      <w:start w:val="0"/>
      <w:numFmt w:val="bullet"/>
      <w:lvlText w:val="•"/>
      <w:lvlJc w:val="left"/>
      <w:pPr>
        <w:ind w:left="5330" w:hanging="229"/>
      </w:pPr>
      <w:rPr>
        <w:rFonts w:hint="default"/>
      </w:rPr>
    </w:lvl>
    <w:lvl w:ilvl="6">
      <w:start w:val="0"/>
      <w:numFmt w:val="bullet"/>
      <w:lvlText w:val="•"/>
      <w:lvlJc w:val="left"/>
      <w:pPr>
        <w:ind w:left="6184" w:hanging="229"/>
      </w:pPr>
      <w:rPr>
        <w:rFonts w:hint="default"/>
      </w:rPr>
    </w:lvl>
    <w:lvl w:ilvl="7">
      <w:start w:val="0"/>
      <w:numFmt w:val="bullet"/>
      <w:lvlText w:val="•"/>
      <w:lvlJc w:val="left"/>
      <w:pPr>
        <w:ind w:left="7038" w:hanging="229"/>
      </w:pPr>
      <w:rPr>
        <w:rFonts w:hint="default"/>
      </w:rPr>
    </w:lvl>
    <w:lvl w:ilvl="8">
      <w:start w:val="0"/>
      <w:numFmt w:val="bullet"/>
      <w:lvlText w:val="•"/>
      <w:lvlJc w:val="left"/>
      <w:pPr>
        <w:ind w:left="7892" w:hanging="229"/>
      </w:pPr>
      <w:rPr>
        <w:rFonts w:hint="default"/>
      </w:rPr>
    </w:lvl>
  </w:abstractNum>
  <w:abstractNum w:abstractNumId="82">
    <w:multiLevelType w:val="hybridMultilevel"/>
    <w:lvl w:ilvl="0">
      <w:start w:val="1"/>
      <w:numFmt w:val="decimal"/>
      <w:lvlText w:val="%1."/>
      <w:lvlJc w:val="left"/>
      <w:pPr>
        <w:ind w:left="1070" w:hanging="231"/>
        <w:jc w:val="left"/>
      </w:pPr>
      <w:rPr>
        <w:rFonts w:hint="default" w:ascii="Times New Roman" w:hAnsi="Times New Roman" w:eastAsia="Times New Roman" w:cs="Times New Roman"/>
        <w:w w:val="100"/>
        <w:sz w:val="22"/>
        <w:szCs w:val="22"/>
      </w:rPr>
    </w:lvl>
    <w:lvl w:ilvl="1">
      <w:start w:val="0"/>
      <w:numFmt w:val="bullet"/>
      <w:lvlText w:val="•"/>
      <w:lvlJc w:val="left"/>
      <w:pPr>
        <w:ind w:left="1932" w:hanging="231"/>
      </w:pPr>
      <w:rPr>
        <w:rFonts w:hint="default"/>
      </w:rPr>
    </w:lvl>
    <w:lvl w:ilvl="2">
      <w:start w:val="0"/>
      <w:numFmt w:val="bullet"/>
      <w:lvlText w:val="•"/>
      <w:lvlJc w:val="left"/>
      <w:pPr>
        <w:ind w:left="2784" w:hanging="231"/>
      </w:pPr>
      <w:rPr>
        <w:rFonts w:hint="default"/>
      </w:rPr>
    </w:lvl>
    <w:lvl w:ilvl="3">
      <w:start w:val="0"/>
      <w:numFmt w:val="bullet"/>
      <w:lvlText w:val="•"/>
      <w:lvlJc w:val="left"/>
      <w:pPr>
        <w:ind w:left="3636" w:hanging="231"/>
      </w:pPr>
      <w:rPr>
        <w:rFonts w:hint="default"/>
      </w:rPr>
    </w:lvl>
    <w:lvl w:ilvl="4">
      <w:start w:val="0"/>
      <w:numFmt w:val="bullet"/>
      <w:lvlText w:val="•"/>
      <w:lvlJc w:val="left"/>
      <w:pPr>
        <w:ind w:left="4488" w:hanging="231"/>
      </w:pPr>
      <w:rPr>
        <w:rFonts w:hint="default"/>
      </w:rPr>
    </w:lvl>
    <w:lvl w:ilvl="5">
      <w:start w:val="0"/>
      <w:numFmt w:val="bullet"/>
      <w:lvlText w:val="•"/>
      <w:lvlJc w:val="left"/>
      <w:pPr>
        <w:ind w:left="5340" w:hanging="231"/>
      </w:pPr>
      <w:rPr>
        <w:rFonts w:hint="default"/>
      </w:rPr>
    </w:lvl>
    <w:lvl w:ilvl="6">
      <w:start w:val="0"/>
      <w:numFmt w:val="bullet"/>
      <w:lvlText w:val="•"/>
      <w:lvlJc w:val="left"/>
      <w:pPr>
        <w:ind w:left="6192" w:hanging="231"/>
      </w:pPr>
      <w:rPr>
        <w:rFonts w:hint="default"/>
      </w:rPr>
    </w:lvl>
    <w:lvl w:ilvl="7">
      <w:start w:val="0"/>
      <w:numFmt w:val="bullet"/>
      <w:lvlText w:val="•"/>
      <w:lvlJc w:val="left"/>
      <w:pPr>
        <w:ind w:left="7044" w:hanging="231"/>
      </w:pPr>
      <w:rPr>
        <w:rFonts w:hint="default"/>
      </w:rPr>
    </w:lvl>
    <w:lvl w:ilvl="8">
      <w:start w:val="0"/>
      <w:numFmt w:val="bullet"/>
      <w:lvlText w:val="•"/>
      <w:lvlJc w:val="left"/>
      <w:pPr>
        <w:ind w:left="7896" w:hanging="231"/>
      </w:pPr>
      <w:rPr>
        <w:rFonts w:hint="default"/>
      </w:rPr>
    </w:lvl>
  </w:abstractNum>
  <w:abstractNum w:abstractNumId="81">
    <w:multiLevelType w:val="hybridMultilevel"/>
    <w:lvl w:ilvl="0">
      <w:start w:val="1"/>
      <w:numFmt w:val="lowerLetter"/>
      <w:lvlText w:val="%1)"/>
      <w:lvlJc w:val="left"/>
      <w:pPr>
        <w:ind w:left="1067" w:hanging="229"/>
        <w:jc w:val="left"/>
      </w:pPr>
      <w:rPr>
        <w:rFonts w:hint="default" w:ascii="Times New Roman" w:hAnsi="Times New Roman" w:eastAsia="Times New Roman" w:cs="Times New Roman"/>
        <w:w w:val="100"/>
        <w:sz w:val="22"/>
        <w:szCs w:val="22"/>
      </w:rPr>
    </w:lvl>
    <w:lvl w:ilvl="1">
      <w:start w:val="0"/>
      <w:numFmt w:val="bullet"/>
      <w:lvlText w:val="•"/>
      <w:lvlJc w:val="left"/>
      <w:pPr>
        <w:ind w:left="1914" w:hanging="229"/>
      </w:pPr>
      <w:rPr>
        <w:rFonts w:hint="default"/>
      </w:rPr>
    </w:lvl>
    <w:lvl w:ilvl="2">
      <w:start w:val="0"/>
      <w:numFmt w:val="bullet"/>
      <w:lvlText w:val="•"/>
      <w:lvlJc w:val="left"/>
      <w:pPr>
        <w:ind w:left="2768" w:hanging="229"/>
      </w:pPr>
      <w:rPr>
        <w:rFonts w:hint="default"/>
      </w:rPr>
    </w:lvl>
    <w:lvl w:ilvl="3">
      <w:start w:val="0"/>
      <w:numFmt w:val="bullet"/>
      <w:lvlText w:val="•"/>
      <w:lvlJc w:val="left"/>
      <w:pPr>
        <w:ind w:left="3622" w:hanging="229"/>
      </w:pPr>
      <w:rPr>
        <w:rFonts w:hint="default"/>
      </w:rPr>
    </w:lvl>
    <w:lvl w:ilvl="4">
      <w:start w:val="0"/>
      <w:numFmt w:val="bullet"/>
      <w:lvlText w:val="•"/>
      <w:lvlJc w:val="left"/>
      <w:pPr>
        <w:ind w:left="4476" w:hanging="229"/>
      </w:pPr>
      <w:rPr>
        <w:rFonts w:hint="default"/>
      </w:rPr>
    </w:lvl>
    <w:lvl w:ilvl="5">
      <w:start w:val="0"/>
      <w:numFmt w:val="bullet"/>
      <w:lvlText w:val="•"/>
      <w:lvlJc w:val="left"/>
      <w:pPr>
        <w:ind w:left="5330" w:hanging="229"/>
      </w:pPr>
      <w:rPr>
        <w:rFonts w:hint="default"/>
      </w:rPr>
    </w:lvl>
    <w:lvl w:ilvl="6">
      <w:start w:val="0"/>
      <w:numFmt w:val="bullet"/>
      <w:lvlText w:val="•"/>
      <w:lvlJc w:val="left"/>
      <w:pPr>
        <w:ind w:left="6184" w:hanging="229"/>
      </w:pPr>
      <w:rPr>
        <w:rFonts w:hint="default"/>
      </w:rPr>
    </w:lvl>
    <w:lvl w:ilvl="7">
      <w:start w:val="0"/>
      <w:numFmt w:val="bullet"/>
      <w:lvlText w:val="•"/>
      <w:lvlJc w:val="left"/>
      <w:pPr>
        <w:ind w:left="7038" w:hanging="229"/>
      </w:pPr>
      <w:rPr>
        <w:rFonts w:hint="default"/>
      </w:rPr>
    </w:lvl>
    <w:lvl w:ilvl="8">
      <w:start w:val="0"/>
      <w:numFmt w:val="bullet"/>
      <w:lvlText w:val="•"/>
      <w:lvlJc w:val="left"/>
      <w:pPr>
        <w:ind w:left="7892" w:hanging="229"/>
      </w:pPr>
      <w:rPr>
        <w:rFonts w:hint="default"/>
      </w:rPr>
    </w:lvl>
  </w:abstractNum>
  <w:abstractNum w:abstractNumId="80">
    <w:multiLevelType w:val="hybridMultilevel"/>
    <w:lvl w:ilvl="0">
      <w:start w:val="1"/>
      <w:numFmt w:val="decimal"/>
      <w:lvlText w:val="%1."/>
      <w:lvlJc w:val="left"/>
      <w:pPr>
        <w:ind w:left="119" w:hanging="279"/>
        <w:jc w:val="left"/>
      </w:pPr>
      <w:rPr>
        <w:rFonts w:hint="default" w:ascii="Times New Roman" w:hAnsi="Times New Roman" w:eastAsia="Times New Roman" w:cs="Times New Roman"/>
        <w:w w:val="100"/>
        <w:sz w:val="22"/>
        <w:szCs w:val="22"/>
      </w:rPr>
    </w:lvl>
    <w:lvl w:ilvl="1">
      <w:start w:val="0"/>
      <w:numFmt w:val="bullet"/>
      <w:lvlText w:val="•"/>
      <w:lvlJc w:val="left"/>
      <w:pPr>
        <w:ind w:left="1068" w:hanging="279"/>
      </w:pPr>
      <w:rPr>
        <w:rFonts w:hint="default"/>
      </w:rPr>
    </w:lvl>
    <w:lvl w:ilvl="2">
      <w:start w:val="0"/>
      <w:numFmt w:val="bullet"/>
      <w:lvlText w:val="•"/>
      <w:lvlJc w:val="left"/>
      <w:pPr>
        <w:ind w:left="2016" w:hanging="279"/>
      </w:pPr>
      <w:rPr>
        <w:rFonts w:hint="default"/>
      </w:rPr>
    </w:lvl>
    <w:lvl w:ilvl="3">
      <w:start w:val="0"/>
      <w:numFmt w:val="bullet"/>
      <w:lvlText w:val="•"/>
      <w:lvlJc w:val="left"/>
      <w:pPr>
        <w:ind w:left="2964" w:hanging="279"/>
      </w:pPr>
      <w:rPr>
        <w:rFonts w:hint="default"/>
      </w:rPr>
    </w:lvl>
    <w:lvl w:ilvl="4">
      <w:start w:val="0"/>
      <w:numFmt w:val="bullet"/>
      <w:lvlText w:val="•"/>
      <w:lvlJc w:val="left"/>
      <w:pPr>
        <w:ind w:left="3912" w:hanging="279"/>
      </w:pPr>
      <w:rPr>
        <w:rFonts w:hint="default"/>
      </w:rPr>
    </w:lvl>
    <w:lvl w:ilvl="5">
      <w:start w:val="0"/>
      <w:numFmt w:val="bullet"/>
      <w:lvlText w:val="•"/>
      <w:lvlJc w:val="left"/>
      <w:pPr>
        <w:ind w:left="4860" w:hanging="279"/>
      </w:pPr>
      <w:rPr>
        <w:rFonts w:hint="default"/>
      </w:rPr>
    </w:lvl>
    <w:lvl w:ilvl="6">
      <w:start w:val="0"/>
      <w:numFmt w:val="bullet"/>
      <w:lvlText w:val="•"/>
      <w:lvlJc w:val="left"/>
      <w:pPr>
        <w:ind w:left="5808" w:hanging="279"/>
      </w:pPr>
      <w:rPr>
        <w:rFonts w:hint="default"/>
      </w:rPr>
    </w:lvl>
    <w:lvl w:ilvl="7">
      <w:start w:val="0"/>
      <w:numFmt w:val="bullet"/>
      <w:lvlText w:val="•"/>
      <w:lvlJc w:val="left"/>
      <w:pPr>
        <w:ind w:left="6756" w:hanging="279"/>
      </w:pPr>
      <w:rPr>
        <w:rFonts w:hint="default"/>
      </w:rPr>
    </w:lvl>
    <w:lvl w:ilvl="8">
      <w:start w:val="0"/>
      <w:numFmt w:val="bullet"/>
      <w:lvlText w:val="•"/>
      <w:lvlJc w:val="left"/>
      <w:pPr>
        <w:ind w:left="7704" w:hanging="279"/>
      </w:pPr>
      <w:rPr>
        <w:rFonts w:hint="default"/>
      </w:rPr>
    </w:lvl>
  </w:abstractNum>
  <w:abstractNum w:abstractNumId="79">
    <w:multiLevelType w:val="hybridMultilevel"/>
    <w:lvl w:ilvl="0">
      <w:start w:val="1"/>
      <w:numFmt w:val="decimal"/>
      <w:lvlText w:val="%1."/>
      <w:lvlJc w:val="left"/>
      <w:pPr>
        <w:ind w:left="121" w:hanging="272"/>
        <w:jc w:val="left"/>
      </w:pPr>
      <w:rPr>
        <w:rFonts w:hint="default" w:ascii="Times New Roman" w:hAnsi="Times New Roman" w:eastAsia="Times New Roman" w:cs="Times New Roman"/>
        <w:w w:val="100"/>
        <w:sz w:val="22"/>
        <w:szCs w:val="22"/>
      </w:rPr>
    </w:lvl>
    <w:lvl w:ilvl="1">
      <w:start w:val="0"/>
      <w:numFmt w:val="bullet"/>
      <w:lvlText w:val="•"/>
      <w:lvlJc w:val="left"/>
      <w:pPr>
        <w:ind w:left="1068" w:hanging="272"/>
      </w:pPr>
      <w:rPr>
        <w:rFonts w:hint="default"/>
      </w:rPr>
    </w:lvl>
    <w:lvl w:ilvl="2">
      <w:start w:val="0"/>
      <w:numFmt w:val="bullet"/>
      <w:lvlText w:val="•"/>
      <w:lvlJc w:val="left"/>
      <w:pPr>
        <w:ind w:left="2016" w:hanging="272"/>
      </w:pPr>
      <w:rPr>
        <w:rFonts w:hint="default"/>
      </w:rPr>
    </w:lvl>
    <w:lvl w:ilvl="3">
      <w:start w:val="0"/>
      <w:numFmt w:val="bullet"/>
      <w:lvlText w:val="•"/>
      <w:lvlJc w:val="left"/>
      <w:pPr>
        <w:ind w:left="2964" w:hanging="272"/>
      </w:pPr>
      <w:rPr>
        <w:rFonts w:hint="default"/>
      </w:rPr>
    </w:lvl>
    <w:lvl w:ilvl="4">
      <w:start w:val="0"/>
      <w:numFmt w:val="bullet"/>
      <w:lvlText w:val="•"/>
      <w:lvlJc w:val="left"/>
      <w:pPr>
        <w:ind w:left="3912" w:hanging="272"/>
      </w:pPr>
      <w:rPr>
        <w:rFonts w:hint="default"/>
      </w:rPr>
    </w:lvl>
    <w:lvl w:ilvl="5">
      <w:start w:val="0"/>
      <w:numFmt w:val="bullet"/>
      <w:lvlText w:val="•"/>
      <w:lvlJc w:val="left"/>
      <w:pPr>
        <w:ind w:left="4860" w:hanging="272"/>
      </w:pPr>
      <w:rPr>
        <w:rFonts w:hint="default"/>
      </w:rPr>
    </w:lvl>
    <w:lvl w:ilvl="6">
      <w:start w:val="0"/>
      <w:numFmt w:val="bullet"/>
      <w:lvlText w:val="•"/>
      <w:lvlJc w:val="left"/>
      <w:pPr>
        <w:ind w:left="5808" w:hanging="272"/>
      </w:pPr>
      <w:rPr>
        <w:rFonts w:hint="default"/>
      </w:rPr>
    </w:lvl>
    <w:lvl w:ilvl="7">
      <w:start w:val="0"/>
      <w:numFmt w:val="bullet"/>
      <w:lvlText w:val="•"/>
      <w:lvlJc w:val="left"/>
      <w:pPr>
        <w:ind w:left="6756" w:hanging="272"/>
      </w:pPr>
      <w:rPr>
        <w:rFonts w:hint="default"/>
      </w:rPr>
    </w:lvl>
    <w:lvl w:ilvl="8">
      <w:start w:val="0"/>
      <w:numFmt w:val="bullet"/>
      <w:lvlText w:val="•"/>
      <w:lvlJc w:val="left"/>
      <w:pPr>
        <w:ind w:left="7704" w:hanging="272"/>
      </w:pPr>
      <w:rPr>
        <w:rFonts w:hint="default"/>
      </w:rPr>
    </w:lvl>
  </w:abstractNum>
  <w:abstractNum w:abstractNumId="78">
    <w:multiLevelType w:val="hybridMultilevel"/>
    <w:lvl w:ilvl="0">
      <w:start w:val="1"/>
      <w:numFmt w:val="decimal"/>
      <w:lvlText w:val="%1."/>
      <w:lvlJc w:val="left"/>
      <w:pPr>
        <w:ind w:left="120" w:hanging="226"/>
        <w:jc w:val="left"/>
      </w:pPr>
      <w:rPr>
        <w:rFonts w:hint="default" w:ascii="Times New Roman" w:hAnsi="Times New Roman" w:eastAsia="Times New Roman" w:cs="Times New Roman"/>
        <w:w w:val="100"/>
        <w:sz w:val="22"/>
        <w:szCs w:val="22"/>
      </w:rPr>
    </w:lvl>
    <w:lvl w:ilvl="1">
      <w:start w:val="0"/>
      <w:numFmt w:val="bullet"/>
      <w:lvlText w:val="•"/>
      <w:lvlJc w:val="left"/>
      <w:pPr>
        <w:ind w:left="1068" w:hanging="226"/>
      </w:pPr>
      <w:rPr>
        <w:rFonts w:hint="default"/>
      </w:rPr>
    </w:lvl>
    <w:lvl w:ilvl="2">
      <w:start w:val="0"/>
      <w:numFmt w:val="bullet"/>
      <w:lvlText w:val="•"/>
      <w:lvlJc w:val="left"/>
      <w:pPr>
        <w:ind w:left="2016" w:hanging="226"/>
      </w:pPr>
      <w:rPr>
        <w:rFonts w:hint="default"/>
      </w:rPr>
    </w:lvl>
    <w:lvl w:ilvl="3">
      <w:start w:val="0"/>
      <w:numFmt w:val="bullet"/>
      <w:lvlText w:val="•"/>
      <w:lvlJc w:val="left"/>
      <w:pPr>
        <w:ind w:left="2964" w:hanging="226"/>
      </w:pPr>
      <w:rPr>
        <w:rFonts w:hint="default"/>
      </w:rPr>
    </w:lvl>
    <w:lvl w:ilvl="4">
      <w:start w:val="0"/>
      <w:numFmt w:val="bullet"/>
      <w:lvlText w:val="•"/>
      <w:lvlJc w:val="left"/>
      <w:pPr>
        <w:ind w:left="3912" w:hanging="226"/>
      </w:pPr>
      <w:rPr>
        <w:rFonts w:hint="default"/>
      </w:rPr>
    </w:lvl>
    <w:lvl w:ilvl="5">
      <w:start w:val="0"/>
      <w:numFmt w:val="bullet"/>
      <w:lvlText w:val="•"/>
      <w:lvlJc w:val="left"/>
      <w:pPr>
        <w:ind w:left="4860" w:hanging="226"/>
      </w:pPr>
      <w:rPr>
        <w:rFonts w:hint="default"/>
      </w:rPr>
    </w:lvl>
    <w:lvl w:ilvl="6">
      <w:start w:val="0"/>
      <w:numFmt w:val="bullet"/>
      <w:lvlText w:val="•"/>
      <w:lvlJc w:val="left"/>
      <w:pPr>
        <w:ind w:left="5808" w:hanging="226"/>
      </w:pPr>
      <w:rPr>
        <w:rFonts w:hint="default"/>
      </w:rPr>
    </w:lvl>
    <w:lvl w:ilvl="7">
      <w:start w:val="0"/>
      <w:numFmt w:val="bullet"/>
      <w:lvlText w:val="•"/>
      <w:lvlJc w:val="left"/>
      <w:pPr>
        <w:ind w:left="6756" w:hanging="226"/>
      </w:pPr>
      <w:rPr>
        <w:rFonts w:hint="default"/>
      </w:rPr>
    </w:lvl>
    <w:lvl w:ilvl="8">
      <w:start w:val="0"/>
      <w:numFmt w:val="bullet"/>
      <w:lvlText w:val="•"/>
      <w:lvlJc w:val="left"/>
      <w:pPr>
        <w:ind w:left="7704" w:hanging="226"/>
      </w:pPr>
      <w:rPr>
        <w:rFonts w:hint="default"/>
      </w:rPr>
    </w:lvl>
  </w:abstractNum>
  <w:abstractNum w:abstractNumId="77">
    <w:multiLevelType w:val="hybridMultilevel"/>
    <w:lvl w:ilvl="0">
      <w:start w:val="1"/>
      <w:numFmt w:val="lowerLetter"/>
      <w:lvlText w:val="%1)"/>
      <w:lvlJc w:val="left"/>
      <w:pPr>
        <w:ind w:left="1068" w:hanging="229"/>
        <w:jc w:val="left"/>
      </w:pPr>
      <w:rPr>
        <w:rFonts w:hint="default" w:ascii="Times New Roman" w:hAnsi="Times New Roman" w:eastAsia="Times New Roman" w:cs="Times New Roman"/>
        <w:w w:val="100"/>
        <w:sz w:val="22"/>
        <w:szCs w:val="22"/>
      </w:rPr>
    </w:lvl>
    <w:lvl w:ilvl="1">
      <w:start w:val="0"/>
      <w:numFmt w:val="bullet"/>
      <w:lvlText w:val="•"/>
      <w:lvlJc w:val="left"/>
      <w:pPr>
        <w:ind w:left="1914" w:hanging="229"/>
      </w:pPr>
      <w:rPr>
        <w:rFonts w:hint="default"/>
      </w:rPr>
    </w:lvl>
    <w:lvl w:ilvl="2">
      <w:start w:val="0"/>
      <w:numFmt w:val="bullet"/>
      <w:lvlText w:val="•"/>
      <w:lvlJc w:val="left"/>
      <w:pPr>
        <w:ind w:left="2768" w:hanging="229"/>
      </w:pPr>
      <w:rPr>
        <w:rFonts w:hint="default"/>
      </w:rPr>
    </w:lvl>
    <w:lvl w:ilvl="3">
      <w:start w:val="0"/>
      <w:numFmt w:val="bullet"/>
      <w:lvlText w:val="•"/>
      <w:lvlJc w:val="left"/>
      <w:pPr>
        <w:ind w:left="3622" w:hanging="229"/>
      </w:pPr>
      <w:rPr>
        <w:rFonts w:hint="default"/>
      </w:rPr>
    </w:lvl>
    <w:lvl w:ilvl="4">
      <w:start w:val="0"/>
      <w:numFmt w:val="bullet"/>
      <w:lvlText w:val="•"/>
      <w:lvlJc w:val="left"/>
      <w:pPr>
        <w:ind w:left="4476" w:hanging="229"/>
      </w:pPr>
      <w:rPr>
        <w:rFonts w:hint="default"/>
      </w:rPr>
    </w:lvl>
    <w:lvl w:ilvl="5">
      <w:start w:val="0"/>
      <w:numFmt w:val="bullet"/>
      <w:lvlText w:val="•"/>
      <w:lvlJc w:val="left"/>
      <w:pPr>
        <w:ind w:left="5330" w:hanging="229"/>
      </w:pPr>
      <w:rPr>
        <w:rFonts w:hint="default"/>
      </w:rPr>
    </w:lvl>
    <w:lvl w:ilvl="6">
      <w:start w:val="0"/>
      <w:numFmt w:val="bullet"/>
      <w:lvlText w:val="•"/>
      <w:lvlJc w:val="left"/>
      <w:pPr>
        <w:ind w:left="6184" w:hanging="229"/>
      </w:pPr>
      <w:rPr>
        <w:rFonts w:hint="default"/>
      </w:rPr>
    </w:lvl>
    <w:lvl w:ilvl="7">
      <w:start w:val="0"/>
      <w:numFmt w:val="bullet"/>
      <w:lvlText w:val="•"/>
      <w:lvlJc w:val="left"/>
      <w:pPr>
        <w:ind w:left="7038" w:hanging="229"/>
      </w:pPr>
      <w:rPr>
        <w:rFonts w:hint="default"/>
      </w:rPr>
    </w:lvl>
    <w:lvl w:ilvl="8">
      <w:start w:val="0"/>
      <w:numFmt w:val="bullet"/>
      <w:lvlText w:val="•"/>
      <w:lvlJc w:val="left"/>
      <w:pPr>
        <w:ind w:left="7892" w:hanging="229"/>
      </w:pPr>
      <w:rPr>
        <w:rFonts w:hint="default"/>
      </w:rPr>
    </w:lvl>
  </w:abstractNum>
  <w:abstractNum w:abstractNumId="76">
    <w:multiLevelType w:val="hybridMultilevel"/>
    <w:lvl w:ilvl="0">
      <w:start w:val="1"/>
      <w:numFmt w:val="lowerLetter"/>
      <w:lvlText w:val="%1)"/>
      <w:lvlJc w:val="left"/>
      <w:pPr>
        <w:ind w:left="120" w:hanging="257"/>
        <w:jc w:val="left"/>
      </w:pPr>
      <w:rPr>
        <w:rFonts w:hint="default" w:ascii="Times New Roman" w:hAnsi="Times New Roman" w:eastAsia="Times New Roman" w:cs="Times New Roman"/>
        <w:w w:val="100"/>
        <w:sz w:val="22"/>
        <w:szCs w:val="22"/>
      </w:rPr>
    </w:lvl>
    <w:lvl w:ilvl="1">
      <w:start w:val="0"/>
      <w:numFmt w:val="bullet"/>
      <w:lvlText w:val="•"/>
      <w:lvlJc w:val="left"/>
      <w:pPr>
        <w:ind w:left="1068" w:hanging="257"/>
      </w:pPr>
      <w:rPr>
        <w:rFonts w:hint="default"/>
      </w:rPr>
    </w:lvl>
    <w:lvl w:ilvl="2">
      <w:start w:val="0"/>
      <w:numFmt w:val="bullet"/>
      <w:lvlText w:val="•"/>
      <w:lvlJc w:val="left"/>
      <w:pPr>
        <w:ind w:left="2016" w:hanging="257"/>
      </w:pPr>
      <w:rPr>
        <w:rFonts w:hint="default"/>
      </w:rPr>
    </w:lvl>
    <w:lvl w:ilvl="3">
      <w:start w:val="0"/>
      <w:numFmt w:val="bullet"/>
      <w:lvlText w:val="•"/>
      <w:lvlJc w:val="left"/>
      <w:pPr>
        <w:ind w:left="2964" w:hanging="257"/>
      </w:pPr>
      <w:rPr>
        <w:rFonts w:hint="default"/>
      </w:rPr>
    </w:lvl>
    <w:lvl w:ilvl="4">
      <w:start w:val="0"/>
      <w:numFmt w:val="bullet"/>
      <w:lvlText w:val="•"/>
      <w:lvlJc w:val="left"/>
      <w:pPr>
        <w:ind w:left="3912" w:hanging="257"/>
      </w:pPr>
      <w:rPr>
        <w:rFonts w:hint="default"/>
      </w:rPr>
    </w:lvl>
    <w:lvl w:ilvl="5">
      <w:start w:val="0"/>
      <w:numFmt w:val="bullet"/>
      <w:lvlText w:val="•"/>
      <w:lvlJc w:val="left"/>
      <w:pPr>
        <w:ind w:left="4860" w:hanging="257"/>
      </w:pPr>
      <w:rPr>
        <w:rFonts w:hint="default"/>
      </w:rPr>
    </w:lvl>
    <w:lvl w:ilvl="6">
      <w:start w:val="0"/>
      <w:numFmt w:val="bullet"/>
      <w:lvlText w:val="•"/>
      <w:lvlJc w:val="left"/>
      <w:pPr>
        <w:ind w:left="5808" w:hanging="257"/>
      </w:pPr>
      <w:rPr>
        <w:rFonts w:hint="default"/>
      </w:rPr>
    </w:lvl>
    <w:lvl w:ilvl="7">
      <w:start w:val="0"/>
      <w:numFmt w:val="bullet"/>
      <w:lvlText w:val="•"/>
      <w:lvlJc w:val="left"/>
      <w:pPr>
        <w:ind w:left="6756" w:hanging="257"/>
      </w:pPr>
      <w:rPr>
        <w:rFonts w:hint="default"/>
      </w:rPr>
    </w:lvl>
    <w:lvl w:ilvl="8">
      <w:start w:val="0"/>
      <w:numFmt w:val="bullet"/>
      <w:lvlText w:val="•"/>
      <w:lvlJc w:val="left"/>
      <w:pPr>
        <w:ind w:left="7704" w:hanging="257"/>
      </w:pPr>
      <w:rPr>
        <w:rFonts w:hint="default"/>
      </w:rPr>
    </w:lvl>
  </w:abstractNum>
  <w:abstractNum w:abstractNumId="75">
    <w:multiLevelType w:val="hybridMultilevel"/>
    <w:lvl w:ilvl="0">
      <w:start w:val="1"/>
      <w:numFmt w:val="decimal"/>
      <w:lvlText w:val="%1."/>
      <w:lvlJc w:val="left"/>
      <w:pPr>
        <w:ind w:left="1061" w:hanging="221"/>
        <w:jc w:val="left"/>
      </w:pPr>
      <w:rPr>
        <w:rFonts w:hint="default" w:ascii="Times New Roman" w:hAnsi="Times New Roman" w:eastAsia="Times New Roman" w:cs="Times New Roman"/>
        <w:w w:val="100"/>
        <w:sz w:val="22"/>
        <w:szCs w:val="22"/>
      </w:rPr>
    </w:lvl>
    <w:lvl w:ilvl="1">
      <w:start w:val="0"/>
      <w:numFmt w:val="bullet"/>
      <w:lvlText w:val="•"/>
      <w:lvlJc w:val="left"/>
      <w:pPr>
        <w:ind w:left="1914" w:hanging="221"/>
      </w:pPr>
      <w:rPr>
        <w:rFonts w:hint="default"/>
      </w:rPr>
    </w:lvl>
    <w:lvl w:ilvl="2">
      <w:start w:val="0"/>
      <w:numFmt w:val="bullet"/>
      <w:lvlText w:val="•"/>
      <w:lvlJc w:val="left"/>
      <w:pPr>
        <w:ind w:left="2768" w:hanging="221"/>
      </w:pPr>
      <w:rPr>
        <w:rFonts w:hint="default"/>
      </w:rPr>
    </w:lvl>
    <w:lvl w:ilvl="3">
      <w:start w:val="0"/>
      <w:numFmt w:val="bullet"/>
      <w:lvlText w:val="•"/>
      <w:lvlJc w:val="left"/>
      <w:pPr>
        <w:ind w:left="3622" w:hanging="221"/>
      </w:pPr>
      <w:rPr>
        <w:rFonts w:hint="default"/>
      </w:rPr>
    </w:lvl>
    <w:lvl w:ilvl="4">
      <w:start w:val="0"/>
      <w:numFmt w:val="bullet"/>
      <w:lvlText w:val="•"/>
      <w:lvlJc w:val="left"/>
      <w:pPr>
        <w:ind w:left="4476" w:hanging="221"/>
      </w:pPr>
      <w:rPr>
        <w:rFonts w:hint="default"/>
      </w:rPr>
    </w:lvl>
    <w:lvl w:ilvl="5">
      <w:start w:val="0"/>
      <w:numFmt w:val="bullet"/>
      <w:lvlText w:val="•"/>
      <w:lvlJc w:val="left"/>
      <w:pPr>
        <w:ind w:left="5330" w:hanging="221"/>
      </w:pPr>
      <w:rPr>
        <w:rFonts w:hint="default"/>
      </w:rPr>
    </w:lvl>
    <w:lvl w:ilvl="6">
      <w:start w:val="0"/>
      <w:numFmt w:val="bullet"/>
      <w:lvlText w:val="•"/>
      <w:lvlJc w:val="left"/>
      <w:pPr>
        <w:ind w:left="6184" w:hanging="221"/>
      </w:pPr>
      <w:rPr>
        <w:rFonts w:hint="default"/>
      </w:rPr>
    </w:lvl>
    <w:lvl w:ilvl="7">
      <w:start w:val="0"/>
      <w:numFmt w:val="bullet"/>
      <w:lvlText w:val="•"/>
      <w:lvlJc w:val="left"/>
      <w:pPr>
        <w:ind w:left="7038" w:hanging="221"/>
      </w:pPr>
      <w:rPr>
        <w:rFonts w:hint="default"/>
      </w:rPr>
    </w:lvl>
    <w:lvl w:ilvl="8">
      <w:start w:val="0"/>
      <w:numFmt w:val="bullet"/>
      <w:lvlText w:val="•"/>
      <w:lvlJc w:val="left"/>
      <w:pPr>
        <w:ind w:left="7892" w:hanging="221"/>
      </w:pPr>
      <w:rPr>
        <w:rFonts w:hint="default"/>
      </w:rPr>
    </w:lvl>
  </w:abstractNum>
  <w:abstractNum w:abstractNumId="74">
    <w:multiLevelType w:val="hybridMultilevel"/>
    <w:lvl w:ilvl="0">
      <w:start w:val="1"/>
      <w:numFmt w:val="lowerLetter"/>
      <w:lvlText w:val="%1)"/>
      <w:lvlJc w:val="left"/>
      <w:pPr>
        <w:ind w:left="119" w:hanging="255"/>
        <w:jc w:val="left"/>
      </w:pPr>
      <w:rPr>
        <w:rFonts w:hint="default" w:ascii="Times New Roman" w:hAnsi="Times New Roman" w:eastAsia="Times New Roman" w:cs="Times New Roman"/>
        <w:w w:val="100"/>
        <w:sz w:val="22"/>
        <w:szCs w:val="22"/>
      </w:rPr>
    </w:lvl>
    <w:lvl w:ilvl="1">
      <w:start w:val="0"/>
      <w:numFmt w:val="bullet"/>
      <w:lvlText w:val="•"/>
      <w:lvlJc w:val="left"/>
      <w:pPr>
        <w:ind w:left="1068" w:hanging="255"/>
      </w:pPr>
      <w:rPr>
        <w:rFonts w:hint="default"/>
      </w:rPr>
    </w:lvl>
    <w:lvl w:ilvl="2">
      <w:start w:val="0"/>
      <w:numFmt w:val="bullet"/>
      <w:lvlText w:val="•"/>
      <w:lvlJc w:val="left"/>
      <w:pPr>
        <w:ind w:left="2016" w:hanging="255"/>
      </w:pPr>
      <w:rPr>
        <w:rFonts w:hint="default"/>
      </w:rPr>
    </w:lvl>
    <w:lvl w:ilvl="3">
      <w:start w:val="0"/>
      <w:numFmt w:val="bullet"/>
      <w:lvlText w:val="•"/>
      <w:lvlJc w:val="left"/>
      <w:pPr>
        <w:ind w:left="2964" w:hanging="255"/>
      </w:pPr>
      <w:rPr>
        <w:rFonts w:hint="default"/>
      </w:rPr>
    </w:lvl>
    <w:lvl w:ilvl="4">
      <w:start w:val="0"/>
      <w:numFmt w:val="bullet"/>
      <w:lvlText w:val="•"/>
      <w:lvlJc w:val="left"/>
      <w:pPr>
        <w:ind w:left="3912" w:hanging="255"/>
      </w:pPr>
      <w:rPr>
        <w:rFonts w:hint="default"/>
      </w:rPr>
    </w:lvl>
    <w:lvl w:ilvl="5">
      <w:start w:val="0"/>
      <w:numFmt w:val="bullet"/>
      <w:lvlText w:val="•"/>
      <w:lvlJc w:val="left"/>
      <w:pPr>
        <w:ind w:left="4860" w:hanging="255"/>
      </w:pPr>
      <w:rPr>
        <w:rFonts w:hint="default"/>
      </w:rPr>
    </w:lvl>
    <w:lvl w:ilvl="6">
      <w:start w:val="0"/>
      <w:numFmt w:val="bullet"/>
      <w:lvlText w:val="•"/>
      <w:lvlJc w:val="left"/>
      <w:pPr>
        <w:ind w:left="5808" w:hanging="255"/>
      </w:pPr>
      <w:rPr>
        <w:rFonts w:hint="default"/>
      </w:rPr>
    </w:lvl>
    <w:lvl w:ilvl="7">
      <w:start w:val="0"/>
      <w:numFmt w:val="bullet"/>
      <w:lvlText w:val="•"/>
      <w:lvlJc w:val="left"/>
      <w:pPr>
        <w:ind w:left="6756" w:hanging="255"/>
      </w:pPr>
      <w:rPr>
        <w:rFonts w:hint="default"/>
      </w:rPr>
    </w:lvl>
    <w:lvl w:ilvl="8">
      <w:start w:val="0"/>
      <w:numFmt w:val="bullet"/>
      <w:lvlText w:val="•"/>
      <w:lvlJc w:val="left"/>
      <w:pPr>
        <w:ind w:left="7704" w:hanging="255"/>
      </w:pPr>
      <w:rPr>
        <w:rFonts w:hint="default"/>
      </w:rPr>
    </w:lvl>
  </w:abstractNum>
  <w:abstractNum w:abstractNumId="73">
    <w:multiLevelType w:val="hybridMultilevel"/>
    <w:lvl w:ilvl="0">
      <w:start w:val="1"/>
      <w:numFmt w:val="lowerLetter"/>
      <w:lvlText w:val="%1)"/>
      <w:lvlJc w:val="left"/>
      <w:pPr>
        <w:ind w:left="1068" w:hanging="229"/>
        <w:jc w:val="left"/>
      </w:pPr>
      <w:rPr>
        <w:rFonts w:hint="default" w:ascii="Times New Roman" w:hAnsi="Times New Roman" w:eastAsia="Times New Roman" w:cs="Times New Roman"/>
        <w:w w:val="100"/>
        <w:sz w:val="22"/>
        <w:szCs w:val="22"/>
      </w:rPr>
    </w:lvl>
    <w:lvl w:ilvl="1">
      <w:start w:val="0"/>
      <w:numFmt w:val="bullet"/>
      <w:lvlText w:val="•"/>
      <w:lvlJc w:val="left"/>
      <w:pPr>
        <w:ind w:left="1914" w:hanging="229"/>
      </w:pPr>
      <w:rPr>
        <w:rFonts w:hint="default"/>
      </w:rPr>
    </w:lvl>
    <w:lvl w:ilvl="2">
      <w:start w:val="0"/>
      <w:numFmt w:val="bullet"/>
      <w:lvlText w:val="•"/>
      <w:lvlJc w:val="left"/>
      <w:pPr>
        <w:ind w:left="2768" w:hanging="229"/>
      </w:pPr>
      <w:rPr>
        <w:rFonts w:hint="default"/>
      </w:rPr>
    </w:lvl>
    <w:lvl w:ilvl="3">
      <w:start w:val="0"/>
      <w:numFmt w:val="bullet"/>
      <w:lvlText w:val="•"/>
      <w:lvlJc w:val="left"/>
      <w:pPr>
        <w:ind w:left="3622" w:hanging="229"/>
      </w:pPr>
      <w:rPr>
        <w:rFonts w:hint="default"/>
      </w:rPr>
    </w:lvl>
    <w:lvl w:ilvl="4">
      <w:start w:val="0"/>
      <w:numFmt w:val="bullet"/>
      <w:lvlText w:val="•"/>
      <w:lvlJc w:val="left"/>
      <w:pPr>
        <w:ind w:left="4476" w:hanging="229"/>
      </w:pPr>
      <w:rPr>
        <w:rFonts w:hint="default"/>
      </w:rPr>
    </w:lvl>
    <w:lvl w:ilvl="5">
      <w:start w:val="0"/>
      <w:numFmt w:val="bullet"/>
      <w:lvlText w:val="•"/>
      <w:lvlJc w:val="left"/>
      <w:pPr>
        <w:ind w:left="5330" w:hanging="229"/>
      </w:pPr>
      <w:rPr>
        <w:rFonts w:hint="default"/>
      </w:rPr>
    </w:lvl>
    <w:lvl w:ilvl="6">
      <w:start w:val="0"/>
      <w:numFmt w:val="bullet"/>
      <w:lvlText w:val="•"/>
      <w:lvlJc w:val="left"/>
      <w:pPr>
        <w:ind w:left="6184" w:hanging="229"/>
      </w:pPr>
      <w:rPr>
        <w:rFonts w:hint="default"/>
      </w:rPr>
    </w:lvl>
    <w:lvl w:ilvl="7">
      <w:start w:val="0"/>
      <w:numFmt w:val="bullet"/>
      <w:lvlText w:val="•"/>
      <w:lvlJc w:val="left"/>
      <w:pPr>
        <w:ind w:left="7038" w:hanging="229"/>
      </w:pPr>
      <w:rPr>
        <w:rFonts w:hint="default"/>
      </w:rPr>
    </w:lvl>
    <w:lvl w:ilvl="8">
      <w:start w:val="0"/>
      <w:numFmt w:val="bullet"/>
      <w:lvlText w:val="•"/>
      <w:lvlJc w:val="left"/>
      <w:pPr>
        <w:ind w:left="7892" w:hanging="229"/>
      </w:pPr>
      <w:rPr>
        <w:rFonts w:hint="default"/>
      </w:rPr>
    </w:lvl>
  </w:abstractNum>
  <w:abstractNum w:abstractNumId="72">
    <w:multiLevelType w:val="hybridMultilevel"/>
    <w:lvl w:ilvl="0">
      <w:start w:val="1"/>
      <w:numFmt w:val="lowerLetter"/>
      <w:lvlText w:val="%1)"/>
      <w:lvlJc w:val="left"/>
      <w:pPr>
        <w:ind w:left="1068" w:hanging="229"/>
        <w:jc w:val="left"/>
      </w:pPr>
      <w:rPr>
        <w:rFonts w:hint="default" w:ascii="Times New Roman" w:hAnsi="Times New Roman" w:eastAsia="Times New Roman" w:cs="Times New Roman"/>
        <w:w w:val="100"/>
        <w:sz w:val="22"/>
        <w:szCs w:val="22"/>
      </w:rPr>
    </w:lvl>
    <w:lvl w:ilvl="1">
      <w:start w:val="0"/>
      <w:numFmt w:val="bullet"/>
      <w:lvlText w:val="•"/>
      <w:lvlJc w:val="left"/>
      <w:pPr>
        <w:ind w:left="1914" w:hanging="229"/>
      </w:pPr>
      <w:rPr>
        <w:rFonts w:hint="default"/>
      </w:rPr>
    </w:lvl>
    <w:lvl w:ilvl="2">
      <w:start w:val="0"/>
      <w:numFmt w:val="bullet"/>
      <w:lvlText w:val="•"/>
      <w:lvlJc w:val="left"/>
      <w:pPr>
        <w:ind w:left="2768" w:hanging="229"/>
      </w:pPr>
      <w:rPr>
        <w:rFonts w:hint="default"/>
      </w:rPr>
    </w:lvl>
    <w:lvl w:ilvl="3">
      <w:start w:val="0"/>
      <w:numFmt w:val="bullet"/>
      <w:lvlText w:val="•"/>
      <w:lvlJc w:val="left"/>
      <w:pPr>
        <w:ind w:left="3622" w:hanging="229"/>
      </w:pPr>
      <w:rPr>
        <w:rFonts w:hint="default"/>
      </w:rPr>
    </w:lvl>
    <w:lvl w:ilvl="4">
      <w:start w:val="0"/>
      <w:numFmt w:val="bullet"/>
      <w:lvlText w:val="•"/>
      <w:lvlJc w:val="left"/>
      <w:pPr>
        <w:ind w:left="4476" w:hanging="229"/>
      </w:pPr>
      <w:rPr>
        <w:rFonts w:hint="default"/>
      </w:rPr>
    </w:lvl>
    <w:lvl w:ilvl="5">
      <w:start w:val="0"/>
      <w:numFmt w:val="bullet"/>
      <w:lvlText w:val="•"/>
      <w:lvlJc w:val="left"/>
      <w:pPr>
        <w:ind w:left="5330" w:hanging="229"/>
      </w:pPr>
      <w:rPr>
        <w:rFonts w:hint="default"/>
      </w:rPr>
    </w:lvl>
    <w:lvl w:ilvl="6">
      <w:start w:val="0"/>
      <w:numFmt w:val="bullet"/>
      <w:lvlText w:val="•"/>
      <w:lvlJc w:val="left"/>
      <w:pPr>
        <w:ind w:left="6184" w:hanging="229"/>
      </w:pPr>
      <w:rPr>
        <w:rFonts w:hint="default"/>
      </w:rPr>
    </w:lvl>
    <w:lvl w:ilvl="7">
      <w:start w:val="0"/>
      <w:numFmt w:val="bullet"/>
      <w:lvlText w:val="•"/>
      <w:lvlJc w:val="left"/>
      <w:pPr>
        <w:ind w:left="7038" w:hanging="229"/>
      </w:pPr>
      <w:rPr>
        <w:rFonts w:hint="default"/>
      </w:rPr>
    </w:lvl>
    <w:lvl w:ilvl="8">
      <w:start w:val="0"/>
      <w:numFmt w:val="bullet"/>
      <w:lvlText w:val="•"/>
      <w:lvlJc w:val="left"/>
      <w:pPr>
        <w:ind w:left="7892" w:hanging="229"/>
      </w:pPr>
      <w:rPr>
        <w:rFonts w:hint="default"/>
      </w:rPr>
    </w:lvl>
  </w:abstractNum>
  <w:abstractNum w:abstractNumId="71">
    <w:multiLevelType w:val="hybridMultilevel"/>
    <w:lvl w:ilvl="0">
      <w:start w:val="1"/>
      <w:numFmt w:val="lowerLetter"/>
      <w:lvlText w:val="%1)"/>
      <w:lvlJc w:val="left"/>
      <w:pPr>
        <w:ind w:left="1068" w:hanging="229"/>
        <w:jc w:val="left"/>
      </w:pPr>
      <w:rPr>
        <w:rFonts w:hint="default" w:ascii="Times New Roman" w:hAnsi="Times New Roman" w:eastAsia="Times New Roman" w:cs="Times New Roman"/>
        <w:w w:val="100"/>
        <w:sz w:val="22"/>
        <w:szCs w:val="22"/>
      </w:rPr>
    </w:lvl>
    <w:lvl w:ilvl="1">
      <w:start w:val="0"/>
      <w:numFmt w:val="bullet"/>
      <w:lvlText w:val="•"/>
      <w:lvlJc w:val="left"/>
      <w:pPr>
        <w:ind w:left="1914" w:hanging="229"/>
      </w:pPr>
      <w:rPr>
        <w:rFonts w:hint="default"/>
      </w:rPr>
    </w:lvl>
    <w:lvl w:ilvl="2">
      <w:start w:val="0"/>
      <w:numFmt w:val="bullet"/>
      <w:lvlText w:val="•"/>
      <w:lvlJc w:val="left"/>
      <w:pPr>
        <w:ind w:left="2768" w:hanging="229"/>
      </w:pPr>
      <w:rPr>
        <w:rFonts w:hint="default"/>
      </w:rPr>
    </w:lvl>
    <w:lvl w:ilvl="3">
      <w:start w:val="0"/>
      <w:numFmt w:val="bullet"/>
      <w:lvlText w:val="•"/>
      <w:lvlJc w:val="left"/>
      <w:pPr>
        <w:ind w:left="3622" w:hanging="229"/>
      </w:pPr>
      <w:rPr>
        <w:rFonts w:hint="default"/>
      </w:rPr>
    </w:lvl>
    <w:lvl w:ilvl="4">
      <w:start w:val="0"/>
      <w:numFmt w:val="bullet"/>
      <w:lvlText w:val="•"/>
      <w:lvlJc w:val="left"/>
      <w:pPr>
        <w:ind w:left="4476" w:hanging="229"/>
      </w:pPr>
      <w:rPr>
        <w:rFonts w:hint="default"/>
      </w:rPr>
    </w:lvl>
    <w:lvl w:ilvl="5">
      <w:start w:val="0"/>
      <w:numFmt w:val="bullet"/>
      <w:lvlText w:val="•"/>
      <w:lvlJc w:val="left"/>
      <w:pPr>
        <w:ind w:left="5330" w:hanging="229"/>
      </w:pPr>
      <w:rPr>
        <w:rFonts w:hint="default"/>
      </w:rPr>
    </w:lvl>
    <w:lvl w:ilvl="6">
      <w:start w:val="0"/>
      <w:numFmt w:val="bullet"/>
      <w:lvlText w:val="•"/>
      <w:lvlJc w:val="left"/>
      <w:pPr>
        <w:ind w:left="6184" w:hanging="229"/>
      </w:pPr>
      <w:rPr>
        <w:rFonts w:hint="default"/>
      </w:rPr>
    </w:lvl>
    <w:lvl w:ilvl="7">
      <w:start w:val="0"/>
      <w:numFmt w:val="bullet"/>
      <w:lvlText w:val="•"/>
      <w:lvlJc w:val="left"/>
      <w:pPr>
        <w:ind w:left="7038" w:hanging="229"/>
      </w:pPr>
      <w:rPr>
        <w:rFonts w:hint="default"/>
      </w:rPr>
    </w:lvl>
    <w:lvl w:ilvl="8">
      <w:start w:val="0"/>
      <w:numFmt w:val="bullet"/>
      <w:lvlText w:val="•"/>
      <w:lvlJc w:val="left"/>
      <w:pPr>
        <w:ind w:left="7892" w:hanging="229"/>
      </w:pPr>
      <w:rPr>
        <w:rFonts w:hint="default"/>
      </w:rPr>
    </w:lvl>
  </w:abstractNum>
  <w:abstractNum w:abstractNumId="70">
    <w:multiLevelType w:val="hybridMultilevel"/>
    <w:lvl w:ilvl="0">
      <w:start w:val="1"/>
      <w:numFmt w:val="decimal"/>
      <w:lvlText w:val="%1."/>
      <w:lvlJc w:val="left"/>
      <w:pPr>
        <w:ind w:left="119" w:hanging="291"/>
        <w:jc w:val="left"/>
      </w:pPr>
      <w:rPr>
        <w:rFonts w:hint="default" w:ascii="Times New Roman" w:hAnsi="Times New Roman" w:eastAsia="Times New Roman" w:cs="Times New Roman"/>
        <w:w w:val="100"/>
        <w:sz w:val="22"/>
        <w:szCs w:val="22"/>
      </w:rPr>
    </w:lvl>
    <w:lvl w:ilvl="1">
      <w:start w:val="0"/>
      <w:numFmt w:val="bullet"/>
      <w:lvlText w:val="•"/>
      <w:lvlJc w:val="left"/>
      <w:pPr>
        <w:ind w:left="1068" w:hanging="291"/>
      </w:pPr>
      <w:rPr>
        <w:rFonts w:hint="default"/>
      </w:rPr>
    </w:lvl>
    <w:lvl w:ilvl="2">
      <w:start w:val="0"/>
      <w:numFmt w:val="bullet"/>
      <w:lvlText w:val="•"/>
      <w:lvlJc w:val="left"/>
      <w:pPr>
        <w:ind w:left="2016" w:hanging="291"/>
      </w:pPr>
      <w:rPr>
        <w:rFonts w:hint="default"/>
      </w:rPr>
    </w:lvl>
    <w:lvl w:ilvl="3">
      <w:start w:val="0"/>
      <w:numFmt w:val="bullet"/>
      <w:lvlText w:val="•"/>
      <w:lvlJc w:val="left"/>
      <w:pPr>
        <w:ind w:left="2964" w:hanging="291"/>
      </w:pPr>
      <w:rPr>
        <w:rFonts w:hint="default"/>
      </w:rPr>
    </w:lvl>
    <w:lvl w:ilvl="4">
      <w:start w:val="0"/>
      <w:numFmt w:val="bullet"/>
      <w:lvlText w:val="•"/>
      <w:lvlJc w:val="left"/>
      <w:pPr>
        <w:ind w:left="3912" w:hanging="291"/>
      </w:pPr>
      <w:rPr>
        <w:rFonts w:hint="default"/>
      </w:rPr>
    </w:lvl>
    <w:lvl w:ilvl="5">
      <w:start w:val="0"/>
      <w:numFmt w:val="bullet"/>
      <w:lvlText w:val="•"/>
      <w:lvlJc w:val="left"/>
      <w:pPr>
        <w:ind w:left="4860" w:hanging="291"/>
      </w:pPr>
      <w:rPr>
        <w:rFonts w:hint="default"/>
      </w:rPr>
    </w:lvl>
    <w:lvl w:ilvl="6">
      <w:start w:val="0"/>
      <w:numFmt w:val="bullet"/>
      <w:lvlText w:val="•"/>
      <w:lvlJc w:val="left"/>
      <w:pPr>
        <w:ind w:left="5808" w:hanging="291"/>
      </w:pPr>
      <w:rPr>
        <w:rFonts w:hint="default"/>
      </w:rPr>
    </w:lvl>
    <w:lvl w:ilvl="7">
      <w:start w:val="0"/>
      <w:numFmt w:val="bullet"/>
      <w:lvlText w:val="•"/>
      <w:lvlJc w:val="left"/>
      <w:pPr>
        <w:ind w:left="6756" w:hanging="291"/>
      </w:pPr>
      <w:rPr>
        <w:rFonts w:hint="default"/>
      </w:rPr>
    </w:lvl>
    <w:lvl w:ilvl="8">
      <w:start w:val="0"/>
      <w:numFmt w:val="bullet"/>
      <w:lvlText w:val="•"/>
      <w:lvlJc w:val="left"/>
      <w:pPr>
        <w:ind w:left="7704" w:hanging="291"/>
      </w:pPr>
      <w:rPr>
        <w:rFonts w:hint="default"/>
      </w:rPr>
    </w:lvl>
  </w:abstractNum>
  <w:abstractNum w:abstractNumId="69">
    <w:multiLevelType w:val="hybridMultilevel"/>
    <w:lvl w:ilvl="0">
      <w:start w:val="1"/>
      <w:numFmt w:val="decimal"/>
      <w:lvlText w:val="%1."/>
      <w:lvlJc w:val="left"/>
      <w:pPr>
        <w:ind w:left="119" w:hanging="243"/>
        <w:jc w:val="left"/>
      </w:pPr>
      <w:rPr>
        <w:rFonts w:hint="default" w:ascii="Times New Roman" w:hAnsi="Times New Roman" w:eastAsia="Times New Roman" w:cs="Times New Roman"/>
        <w:w w:val="100"/>
        <w:sz w:val="22"/>
        <w:szCs w:val="22"/>
      </w:rPr>
    </w:lvl>
    <w:lvl w:ilvl="1">
      <w:start w:val="0"/>
      <w:numFmt w:val="bullet"/>
      <w:lvlText w:val="•"/>
      <w:lvlJc w:val="left"/>
      <w:pPr>
        <w:ind w:left="1068" w:hanging="243"/>
      </w:pPr>
      <w:rPr>
        <w:rFonts w:hint="default"/>
      </w:rPr>
    </w:lvl>
    <w:lvl w:ilvl="2">
      <w:start w:val="0"/>
      <w:numFmt w:val="bullet"/>
      <w:lvlText w:val="•"/>
      <w:lvlJc w:val="left"/>
      <w:pPr>
        <w:ind w:left="2016" w:hanging="243"/>
      </w:pPr>
      <w:rPr>
        <w:rFonts w:hint="default"/>
      </w:rPr>
    </w:lvl>
    <w:lvl w:ilvl="3">
      <w:start w:val="0"/>
      <w:numFmt w:val="bullet"/>
      <w:lvlText w:val="•"/>
      <w:lvlJc w:val="left"/>
      <w:pPr>
        <w:ind w:left="2964" w:hanging="243"/>
      </w:pPr>
      <w:rPr>
        <w:rFonts w:hint="default"/>
      </w:rPr>
    </w:lvl>
    <w:lvl w:ilvl="4">
      <w:start w:val="0"/>
      <w:numFmt w:val="bullet"/>
      <w:lvlText w:val="•"/>
      <w:lvlJc w:val="left"/>
      <w:pPr>
        <w:ind w:left="3912" w:hanging="243"/>
      </w:pPr>
      <w:rPr>
        <w:rFonts w:hint="default"/>
      </w:rPr>
    </w:lvl>
    <w:lvl w:ilvl="5">
      <w:start w:val="0"/>
      <w:numFmt w:val="bullet"/>
      <w:lvlText w:val="•"/>
      <w:lvlJc w:val="left"/>
      <w:pPr>
        <w:ind w:left="4860" w:hanging="243"/>
      </w:pPr>
      <w:rPr>
        <w:rFonts w:hint="default"/>
      </w:rPr>
    </w:lvl>
    <w:lvl w:ilvl="6">
      <w:start w:val="0"/>
      <w:numFmt w:val="bullet"/>
      <w:lvlText w:val="•"/>
      <w:lvlJc w:val="left"/>
      <w:pPr>
        <w:ind w:left="5808" w:hanging="243"/>
      </w:pPr>
      <w:rPr>
        <w:rFonts w:hint="default"/>
      </w:rPr>
    </w:lvl>
    <w:lvl w:ilvl="7">
      <w:start w:val="0"/>
      <w:numFmt w:val="bullet"/>
      <w:lvlText w:val="•"/>
      <w:lvlJc w:val="left"/>
      <w:pPr>
        <w:ind w:left="6756" w:hanging="243"/>
      </w:pPr>
      <w:rPr>
        <w:rFonts w:hint="default"/>
      </w:rPr>
    </w:lvl>
    <w:lvl w:ilvl="8">
      <w:start w:val="0"/>
      <w:numFmt w:val="bullet"/>
      <w:lvlText w:val="•"/>
      <w:lvlJc w:val="left"/>
      <w:pPr>
        <w:ind w:left="7704" w:hanging="243"/>
      </w:pPr>
      <w:rPr>
        <w:rFonts w:hint="default"/>
      </w:rPr>
    </w:lvl>
  </w:abstractNum>
  <w:abstractNum w:abstractNumId="68">
    <w:multiLevelType w:val="hybridMultilevel"/>
    <w:lvl w:ilvl="0">
      <w:start w:val="1"/>
      <w:numFmt w:val="lowerLetter"/>
      <w:lvlText w:val="%1)"/>
      <w:lvlJc w:val="left"/>
      <w:pPr>
        <w:ind w:left="119" w:hanging="245"/>
        <w:jc w:val="left"/>
      </w:pPr>
      <w:rPr>
        <w:rFonts w:hint="default" w:ascii="Times New Roman" w:hAnsi="Times New Roman" w:eastAsia="Times New Roman" w:cs="Times New Roman"/>
        <w:w w:val="100"/>
        <w:sz w:val="22"/>
        <w:szCs w:val="22"/>
      </w:rPr>
    </w:lvl>
    <w:lvl w:ilvl="1">
      <w:start w:val="0"/>
      <w:numFmt w:val="bullet"/>
      <w:lvlText w:val="•"/>
      <w:lvlJc w:val="left"/>
      <w:pPr>
        <w:ind w:left="1068" w:hanging="245"/>
      </w:pPr>
      <w:rPr>
        <w:rFonts w:hint="default"/>
      </w:rPr>
    </w:lvl>
    <w:lvl w:ilvl="2">
      <w:start w:val="0"/>
      <w:numFmt w:val="bullet"/>
      <w:lvlText w:val="•"/>
      <w:lvlJc w:val="left"/>
      <w:pPr>
        <w:ind w:left="2016" w:hanging="245"/>
      </w:pPr>
      <w:rPr>
        <w:rFonts w:hint="default"/>
      </w:rPr>
    </w:lvl>
    <w:lvl w:ilvl="3">
      <w:start w:val="0"/>
      <w:numFmt w:val="bullet"/>
      <w:lvlText w:val="•"/>
      <w:lvlJc w:val="left"/>
      <w:pPr>
        <w:ind w:left="2964" w:hanging="245"/>
      </w:pPr>
      <w:rPr>
        <w:rFonts w:hint="default"/>
      </w:rPr>
    </w:lvl>
    <w:lvl w:ilvl="4">
      <w:start w:val="0"/>
      <w:numFmt w:val="bullet"/>
      <w:lvlText w:val="•"/>
      <w:lvlJc w:val="left"/>
      <w:pPr>
        <w:ind w:left="3912" w:hanging="245"/>
      </w:pPr>
      <w:rPr>
        <w:rFonts w:hint="default"/>
      </w:rPr>
    </w:lvl>
    <w:lvl w:ilvl="5">
      <w:start w:val="0"/>
      <w:numFmt w:val="bullet"/>
      <w:lvlText w:val="•"/>
      <w:lvlJc w:val="left"/>
      <w:pPr>
        <w:ind w:left="4860" w:hanging="245"/>
      </w:pPr>
      <w:rPr>
        <w:rFonts w:hint="default"/>
      </w:rPr>
    </w:lvl>
    <w:lvl w:ilvl="6">
      <w:start w:val="0"/>
      <w:numFmt w:val="bullet"/>
      <w:lvlText w:val="•"/>
      <w:lvlJc w:val="left"/>
      <w:pPr>
        <w:ind w:left="5808" w:hanging="245"/>
      </w:pPr>
      <w:rPr>
        <w:rFonts w:hint="default"/>
      </w:rPr>
    </w:lvl>
    <w:lvl w:ilvl="7">
      <w:start w:val="0"/>
      <w:numFmt w:val="bullet"/>
      <w:lvlText w:val="•"/>
      <w:lvlJc w:val="left"/>
      <w:pPr>
        <w:ind w:left="6756" w:hanging="245"/>
      </w:pPr>
      <w:rPr>
        <w:rFonts w:hint="default"/>
      </w:rPr>
    </w:lvl>
    <w:lvl w:ilvl="8">
      <w:start w:val="0"/>
      <w:numFmt w:val="bullet"/>
      <w:lvlText w:val="•"/>
      <w:lvlJc w:val="left"/>
      <w:pPr>
        <w:ind w:left="7704" w:hanging="245"/>
      </w:pPr>
      <w:rPr>
        <w:rFonts w:hint="default"/>
      </w:rPr>
    </w:lvl>
  </w:abstractNum>
  <w:abstractNum w:abstractNumId="67">
    <w:multiLevelType w:val="hybridMultilevel"/>
    <w:lvl w:ilvl="0">
      <w:start w:val="1"/>
      <w:numFmt w:val="lowerLetter"/>
      <w:lvlText w:val="%1)"/>
      <w:lvlJc w:val="left"/>
      <w:pPr>
        <w:ind w:left="120" w:hanging="253"/>
        <w:jc w:val="left"/>
      </w:pPr>
      <w:rPr>
        <w:rFonts w:hint="default" w:ascii="Times New Roman" w:hAnsi="Times New Roman" w:eastAsia="Times New Roman" w:cs="Times New Roman"/>
        <w:w w:val="100"/>
        <w:sz w:val="22"/>
        <w:szCs w:val="22"/>
      </w:rPr>
    </w:lvl>
    <w:lvl w:ilvl="1">
      <w:start w:val="0"/>
      <w:numFmt w:val="bullet"/>
      <w:lvlText w:val="•"/>
      <w:lvlJc w:val="left"/>
      <w:pPr>
        <w:ind w:left="1068" w:hanging="253"/>
      </w:pPr>
      <w:rPr>
        <w:rFonts w:hint="default"/>
      </w:rPr>
    </w:lvl>
    <w:lvl w:ilvl="2">
      <w:start w:val="0"/>
      <w:numFmt w:val="bullet"/>
      <w:lvlText w:val="•"/>
      <w:lvlJc w:val="left"/>
      <w:pPr>
        <w:ind w:left="2016" w:hanging="253"/>
      </w:pPr>
      <w:rPr>
        <w:rFonts w:hint="default"/>
      </w:rPr>
    </w:lvl>
    <w:lvl w:ilvl="3">
      <w:start w:val="0"/>
      <w:numFmt w:val="bullet"/>
      <w:lvlText w:val="•"/>
      <w:lvlJc w:val="left"/>
      <w:pPr>
        <w:ind w:left="2964" w:hanging="253"/>
      </w:pPr>
      <w:rPr>
        <w:rFonts w:hint="default"/>
      </w:rPr>
    </w:lvl>
    <w:lvl w:ilvl="4">
      <w:start w:val="0"/>
      <w:numFmt w:val="bullet"/>
      <w:lvlText w:val="•"/>
      <w:lvlJc w:val="left"/>
      <w:pPr>
        <w:ind w:left="3912" w:hanging="253"/>
      </w:pPr>
      <w:rPr>
        <w:rFonts w:hint="default"/>
      </w:rPr>
    </w:lvl>
    <w:lvl w:ilvl="5">
      <w:start w:val="0"/>
      <w:numFmt w:val="bullet"/>
      <w:lvlText w:val="•"/>
      <w:lvlJc w:val="left"/>
      <w:pPr>
        <w:ind w:left="4860" w:hanging="253"/>
      </w:pPr>
      <w:rPr>
        <w:rFonts w:hint="default"/>
      </w:rPr>
    </w:lvl>
    <w:lvl w:ilvl="6">
      <w:start w:val="0"/>
      <w:numFmt w:val="bullet"/>
      <w:lvlText w:val="•"/>
      <w:lvlJc w:val="left"/>
      <w:pPr>
        <w:ind w:left="5808" w:hanging="253"/>
      </w:pPr>
      <w:rPr>
        <w:rFonts w:hint="default"/>
      </w:rPr>
    </w:lvl>
    <w:lvl w:ilvl="7">
      <w:start w:val="0"/>
      <w:numFmt w:val="bullet"/>
      <w:lvlText w:val="•"/>
      <w:lvlJc w:val="left"/>
      <w:pPr>
        <w:ind w:left="6756" w:hanging="253"/>
      </w:pPr>
      <w:rPr>
        <w:rFonts w:hint="default"/>
      </w:rPr>
    </w:lvl>
    <w:lvl w:ilvl="8">
      <w:start w:val="0"/>
      <w:numFmt w:val="bullet"/>
      <w:lvlText w:val="•"/>
      <w:lvlJc w:val="left"/>
      <w:pPr>
        <w:ind w:left="7704" w:hanging="253"/>
      </w:pPr>
      <w:rPr>
        <w:rFonts w:hint="default"/>
      </w:rPr>
    </w:lvl>
  </w:abstractNum>
  <w:abstractNum w:abstractNumId="66">
    <w:multiLevelType w:val="hybridMultilevel"/>
    <w:lvl w:ilvl="0">
      <w:start w:val="1"/>
      <w:numFmt w:val="decimal"/>
      <w:lvlText w:val="%1."/>
      <w:lvlJc w:val="left"/>
      <w:pPr>
        <w:ind w:left="1060" w:hanging="221"/>
        <w:jc w:val="left"/>
      </w:pPr>
      <w:rPr>
        <w:rFonts w:hint="default" w:ascii="Times New Roman" w:hAnsi="Times New Roman" w:eastAsia="Times New Roman" w:cs="Times New Roman"/>
        <w:w w:val="100"/>
        <w:sz w:val="22"/>
        <w:szCs w:val="22"/>
      </w:rPr>
    </w:lvl>
    <w:lvl w:ilvl="1">
      <w:start w:val="0"/>
      <w:numFmt w:val="bullet"/>
      <w:lvlText w:val="•"/>
      <w:lvlJc w:val="left"/>
      <w:pPr>
        <w:ind w:left="1914" w:hanging="221"/>
      </w:pPr>
      <w:rPr>
        <w:rFonts w:hint="default"/>
      </w:rPr>
    </w:lvl>
    <w:lvl w:ilvl="2">
      <w:start w:val="0"/>
      <w:numFmt w:val="bullet"/>
      <w:lvlText w:val="•"/>
      <w:lvlJc w:val="left"/>
      <w:pPr>
        <w:ind w:left="2768" w:hanging="221"/>
      </w:pPr>
      <w:rPr>
        <w:rFonts w:hint="default"/>
      </w:rPr>
    </w:lvl>
    <w:lvl w:ilvl="3">
      <w:start w:val="0"/>
      <w:numFmt w:val="bullet"/>
      <w:lvlText w:val="•"/>
      <w:lvlJc w:val="left"/>
      <w:pPr>
        <w:ind w:left="3622" w:hanging="221"/>
      </w:pPr>
      <w:rPr>
        <w:rFonts w:hint="default"/>
      </w:rPr>
    </w:lvl>
    <w:lvl w:ilvl="4">
      <w:start w:val="0"/>
      <w:numFmt w:val="bullet"/>
      <w:lvlText w:val="•"/>
      <w:lvlJc w:val="left"/>
      <w:pPr>
        <w:ind w:left="4476" w:hanging="221"/>
      </w:pPr>
      <w:rPr>
        <w:rFonts w:hint="default"/>
      </w:rPr>
    </w:lvl>
    <w:lvl w:ilvl="5">
      <w:start w:val="0"/>
      <w:numFmt w:val="bullet"/>
      <w:lvlText w:val="•"/>
      <w:lvlJc w:val="left"/>
      <w:pPr>
        <w:ind w:left="5330" w:hanging="221"/>
      </w:pPr>
      <w:rPr>
        <w:rFonts w:hint="default"/>
      </w:rPr>
    </w:lvl>
    <w:lvl w:ilvl="6">
      <w:start w:val="0"/>
      <w:numFmt w:val="bullet"/>
      <w:lvlText w:val="•"/>
      <w:lvlJc w:val="left"/>
      <w:pPr>
        <w:ind w:left="6184" w:hanging="221"/>
      </w:pPr>
      <w:rPr>
        <w:rFonts w:hint="default"/>
      </w:rPr>
    </w:lvl>
    <w:lvl w:ilvl="7">
      <w:start w:val="0"/>
      <w:numFmt w:val="bullet"/>
      <w:lvlText w:val="•"/>
      <w:lvlJc w:val="left"/>
      <w:pPr>
        <w:ind w:left="7038" w:hanging="221"/>
      </w:pPr>
      <w:rPr>
        <w:rFonts w:hint="default"/>
      </w:rPr>
    </w:lvl>
    <w:lvl w:ilvl="8">
      <w:start w:val="0"/>
      <w:numFmt w:val="bullet"/>
      <w:lvlText w:val="•"/>
      <w:lvlJc w:val="left"/>
      <w:pPr>
        <w:ind w:left="7892" w:hanging="221"/>
      </w:pPr>
      <w:rPr>
        <w:rFonts w:hint="default"/>
      </w:rPr>
    </w:lvl>
  </w:abstractNum>
  <w:abstractNum w:abstractNumId="65">
    <w:multiLevelType w:val="hybridMultilevel"/>
    <w:lvl w:ilvl="0">
      <w:start w:val="1"/>
      <w:numFmt w:val="decimal"/>
      <w:lvlText w:val="%1."/>
      <w:lvlJc w:val="left"/>
      <w:pPr>
        <w:ind w:left="120" w:hanging="248"/>
        <w:jc w:val="left"/>
      </w:pPr>
      <w:rPr>
        <w:rFonts w:hint="default" w:ascii="Times New Roman" w:hAnsi="Times New Roman" w:eastAsia="Times New Roman" w:cs="Times New Roman"/>
        <w:w w:val="100"/>
        <w:sz w:val="22"/>
        <w:szCs w:val="22"/>
      </w:rPr>
    </w:lvl>
    <w:lvl w:ilvl="1">
      <w:start w:val="0"/>
      <w:numFmt w:val="bullet"/>
      <w:lvlText w:val="•"/>
      <w:lvlJc w:val="left"/>
      <w:pPr>
        <w:ind w:left="1068" w:hanging="248"/>
      </w:pPr>
      <w:rPr>
        <w:rFonts w:hint="default"/>
      </w:rPr>
    </w:lvl>
    <w:lvl w:ilvl="2">
      <w:start w:val="0"/>
      <w:numFmt w:val="bullet"/>
      <w:lvlText w:val="•"/>
      <w:lvlJc w:val="left"/>
      <w:pPr>
        <w:ind w:left="2016" w:hanging="248"/>
      </w:pPr>
      <w:rPr>
        <w:rFonts w:hint="default"/>
      </w:rPr>
    </w:lvl>
    <w:lvl w:ilvl="3">
      <w:start w:val="0"/>
      <w:numFmt w:val="bullet"/>
      <w:lvlText w:val="•"/>
      <w:lvlJc w:val="left"/>
      <w:pPr>
        <w:ind w:left="2964" w:hanging="248"/>
      </w:pPr>
      <w:rPr>
        <w:rFonts w:hint="default"/>
      </w:rPr>
    </w:lvl>
    <w:lvl w:ilvl="4">
      <w:start w:val="0"/>
      <w:numFmt w:val="bullet"/>
      <w:lvlText w:val="•"/>
      <w:lvlJc w:val="left"/>
      <w:pPr>
        <w:ind w:left="3912" w:hanging="248"/>
      </w:pPr>
      <w:rPr>
        <w:rFonts w:hint="default"/>
      </w:rPr>
    </w:lvl>
    <w:lvl w:ilvl="5">
      <w:start w:val="0"/>
      <w:numFmt w:val="bullet"/>
      <w:lvlText w:val="•"/>
      <w:lvlJc w:val="left"/>
      <w:pPr>
        <w:ind w:left="4860" w:hanging="248"/>
      </w:pPr>
      <w:rPr>
        <w:rFonts w:hint="default"/>
      </w:rPr>
    </w:lvl>
    <w:lvl w:ilvl="6">
      <w:start w:val="0"/>
      <w:numFmt w:val="bullet"/>
      <w:lvlText w:val="•"/>
      <w:lvlJc w:val="left"/>
      <w:pPr>
        <w:ind w:left="5808" w:hanging="248"/>
      </w:pPr>
      <w:rPr>
        <w:rFonts w:hint="default"/>
      </w:rPr>
    </w:lvl>
    <w:lvl w:ilvl="7">
      <w:start w:val="0"/>
      <w:numFmt w:val="bullet"/>
      <w:lvlText w:val="•"/>
      <w:lvlJc w:val="left"/>
      <w:pPr>
        <w:ind w:left="6756" w:hanging="248"/>
      </w:pPr>
      <w:rPr>
        <w:rFonts w:hint="default"/>
      </w:rPr>
    </w:lvl>
    <w:lvl w:ilvl="8">
      <w:start w:val="0"/>
      <w:numFmt w:val="bullet"/>
      <w:lvlText w:val="•"/>
      <w:lvlJc w:val="left"/>
      <w:pPr>
        <w:ind w:left="7704" w:hanging="248"/>
      </w:pPr>
      <w:rPr>
        <w:rFonts w:hint="default"/>
      </w:rPr>
    </w:lvl>
  </w:abstractNum>
  <w:abstractNum w:abstractNumId="64">
    <w:multiLevelType w:val="hybridMultilevel"/>
    <w:lvl w:ilvl="0">
      <w:start w:val="1"/>
      <w:numFmt w:val="decimal"/>
      <w:lvlText w:val="%1."/>
      <w:lvlJc w:val="left"/>
      <w:pPr>
        <w:ind w:left="120" w:hanging="269"/>
        <w:jc w:val="left"/>
      </w:pPr>
      <w:rPr>
        <w:rFonts w:hint="default" w:ascii="Times New Roman" w:hAnsi="Times New Roman" w:eastAsia="Times New Roman" w:cs="Times New Roman"/>
        <w:w w:val="100"/>
        <w:sz w:val="22"/>
        <w:szCs w:val="22"/>
      </w:rPr>
    </w:lvl>
    <w:lvl w:ilvl="1">
      <w:start w:val="0"/>
      <w:numFmt w:val="bullet"/>
      <w:lvlText w:val="•"/>
      <w:lvlJc w:val="left"/>
      <w:pPr>
        <w:ind w:left="1068" w:hanging="269"/>
      </w:pPr>
      <w:rPr>
        <w:rFonts w:hint="default"/>
      </w:rPr>
    </w:lvl>
    <w:lvl w:ilvl="2">
      <w:start w:val="0"/>
      <w:numFmt w:val="bullet"/>
      <w:lvlText w:val="•"/>
      <w:lvlJc w:val="left"/>
      <w:pPr>
        <w:ind w:left="2016" w:hanging="269"/>
      </w:pPr>
      <w:rPr>
        <w:rFonts w:hint="default"/>
      </w:rPr>
    </w:lvl>
    <w:lvl w:ilvl="3">
      <w:start w:val="0"/>
      <w:numFmt w:val="bullet"/>
      <w:lvlText w:val="•"/>
      <w:lvlJc w:val="left"/>
      <w:pPr>
        <w:ind w:left="2964" w:hanging="269"/>
      </w:pPr>
      <w:rPr>
        <w:rFonts w:hint="default"/>
      </w:rPr>
    </w:lvl>
    <w:lvl w:ilvl="4">
      <w:start w:val="0"/>
      <w:numFmt w:val="bullet"/>
      <w:lvlText w:val="•"/>
      <w:lvlJc w:val="left"/>
      <w:pPr>
        <w:ind w:left="3912" w:hanging="269"/>
      </w:pPr>
      <w:rPr>
        <w:rFonts w:hint="default"/>
      </w:rPr>
    </w:lvl>
    <w:lvl w:ilvl="5">
      <w:start w:val="0"/>
      <w:numFmt w:val="bullet"/>
      <w:lvlText w:val="•"/>
      <w:lvlJc w:val="left"/>
      <w:pPr>
        <w:ind w:left="4860" w:hanging="269"/>
      </w:pPr>
      <w:rPr>
        <w:rFonts w:hint="default"/>
      </w:rPr>
    </w:lvl>
    <w:lvl w:ilvl="6">
      <w:start w:val="0"/>
      <w:numFmt w:val="bullet"/>
      <w:lvlText w:val="•"/>
      <w:lvlJc w:val="left"/>
      <w:pPr>
        <w:ind w:left="5808" w:hanging="269"/>
      </w:pPr>
      <w:rPr>
        <w:rFonts w:hint="default"/>
      </w:rPr>
    </w:lvl>
    <w:lvl w:ilvl="7">
      <w:start w:val="0"/>
      <w:numFmt w:val="bullet"/>
      <w:lvlText w:val="•"/>
      <w:lvlJc w:val="left"/>
      <w:pPr>
        <w:ind w:left="6756" w:hanging="269"/>
      </w:pPr>
      <w:rPr>
        <w:rFonts w:hint="default"/>
      </w:rPr>
    </w:lvl>
    <w:lvl w:ilvl="8">
      <w:start w:val="0"/>
      <w:numFmt w:val="bullet"/>
      <w:lvlText w:val="•"/>
      <w:lvlJc w:val="left"/>
      <w:pPr>
        <w:ind w:left="7704" w:hanging="269"/>
      </w:pPr>
      <w:rPr>
        <w:rFonts w:hint="default"/>
      </w:rPr>
    </w:lvl>
  </w:abstractNum>
  <w:abstractNum w:abstractNumId="63">
    <w:multiLevelType w:val="hybridMultilevel"/>
    <w:lvl w:ilvl="0">
      <w:start w:val="1"/>
      <w:numFmt w:val="lowerLetter"/>
      <w:lvlText w:val="%1)"/>
      <w:lvlJc w:val="left"/>
      <w:pPr>
        <w:ind w:left="120" w:hanging="253"/>
        <w:jc w:val="left"/>
      </w:pPr>
      <w:rPr>
        <w:rFonts w:hint="default" w:ascii="Times New Roman" w:hAnsi="Times New Roman" w:eastAsia="Times New Roman" w:cs="Times New Roman"/>
        <w:w w:val="100"/>
        <w:sz w:val="22"/>
        <w:szCs w:val="22"/>
      </w:rPr>
    </w:lvl>
    <w:lvl w:ilvl="1">
      <w:start w:val="0"/>
      <w:numFmt w:val="bullet"/>
      <w:lvlText w:val="•"/>
      <w:lvlJc w:val="left"/>
      <w:pPr>
        <w:ind w:left="1068" w:hanging="253"/>
      </w:pPr>
      <w:rPr>
        <w:rFonts w:hint="default"/>
      </w:rPr>
    </w:lvl>
    <w:lvl w:ilvl="2">
      <w:start w:val="0"/>
      <w:numFmt w:val="bullet"/>
      <w:lvlText w:val="•"/>
      <w:lvlJc w:val="left"/>
      <w:pPr>
        <w:ind w:left="2016" w:hanging="253"/>
      </w:pPr>
      <w:rPr>
        <w:rFonts w:hint="default"/>
      </w:rPr>
    </w:lvl>
    <w:lvl w:ilvl="3">
      <w:start w:val="0"/>
      <w:numFmt w:val="bullet"/>
      <w:lvlText w:val="•"/>
      <w:lvlJc w:val="left"/>
      <w:pPr>
        <w:ind w:left="2964" w:hanging="253"/>
      </w:pPr>
      <w:rPr>
        <w:rFonts w:hint="default"/>
      </w:rPr>
    </w:lvl>
    <w:lvl w:ilvl="4">
      <w:start w:val="0"/>
      <w:numFmt w:val="bullet"/>
      <w:lvlText w:val="•"/>
      <w:lvlJc w:val="left"/>
      <w:pPr>
        <w:ind w:left="3912" w:hanging="253"/>
      </w:pPr>
      <w:rPr>
        <w:rFonts w:hint="default"/>
      </w:rPr>
    </w:lvl>
    <w:lvl w:ilvl="5">
      <w:start w:val="0"/>
      <w:numFmt w:val="bullet"/>
      <w:lvlText w:val="•"/>
      <w:lvlJc w:val="left"/>
      <w:pPr>
        <w:ind w:left="4860" w:hanging="253"/>
      </w:pPr>
      <w:rPr>
        <w:rFonts w:hint="default"/>
      </w:rPr>
    </w:lvl>
    <w:lvl w:ilvl="6">
      <w:start w:val="0"/>
      <w:numFmt w:val="bullet"/>
      <w:lvlText w:val="•"/>
      <w:lvlJc w:val="left"/>
      <w:pPr>
        <w:ind w:left="5808" w:hanging="253"/>
      </w:pPr>
      <w:rPr>
        <w:rFonts w:hint="default"/>
      </w:rPr>
    </w:lvl>
    <w:lvl w:ilvl="7">
      <w:start w:val="0"/>
      <w:numFmt w:val="bullet"/>
      <w:lvlText w:val="•"/>
      <w:lvlJc w:val="left"/>
      <w:pPr>
        <w:ind w:left="6756" w:hanging="253"/>
      </w:pPr>
      <w:rPr>
        <w:rFonts w:hint="default"/>
      </w:rPr>
    </w:lvl>
    <w:lvl w:ilvl="8">
      <w:start w:val="0"/>
      <w:numFmt w:val="bullet"/>
      <w:lvlText w:val="•"/>
      <w:lvlJc w:val="left"/>
      <w:pPr>
        <w:ind w:left="7704" w:hanging="253"/>
      </w:pPr>
      <w:rPr>
        <w:rFonts w:hint="default"/>
      </w:rPr>
    </w:lvl>
  </w:abstractNum>
  <w:abstractNum w:abstractNumId="62">
    <w:multiLevelType w:val="hybridMultilevel"/>
    <w:lvl w:ilvl="0">
      <w:start w:val="1"/>
      <w:numFmt w:val="decimal"/>
      <w:lvlText w:val="%1."/>
      <w:lvlJc w:val="left"/>
      <w:pPr>
        <w:ind w:left="1060" w:hanging="221"/>
        <w:jc w:val="left"/>
      </w:pPr>
      <w:rPr>
        <w:rFonts w:hint="default" w:ascii="Times New Roman" w:hAnsi="Times New Roman" w:eastAsia="Times New Roman" w:cs="Times New Roman"/>
        <w:w w:val="100"/>
        <w:sz w:val="22"/>
        <w:szCs w:val="22"/>
      </w:rPr>
    </w:lvl>
    <w:lvl w:ilvl="1">
      <w:start w:val="0"/>
      <w:numFmt w:val="bullet"/>
      <w:lvlText w:val="•"/>
      <w:lvlJc w:val="left"/>
      <w:pPr>
        <w:ind w:left="1914" w:hanging="221"/>
      </w:pPr>
      <w:rPr>
        <w:rFonts w:hint="default"/>
      </w:rPr>
    </w:lvl>
    <w:lvl w:ilvl="2">
      <w:start w:val="0"/>
      <w:numFmt w:val="bullet"/>
      <w:lvlText w:val="•"/>
      <w:lvlJc w:val="left"/>
      <w:pPr>
        <w:ind w:left="2768" w:hanging="221"/>
      </w:pPr>
      <w:rPr>
        <w:rFonts w:hint="default"/>
      </w:rPr>
    </w:lvl>
    <w:lvl w:ilvl="3">
      <w:start w:val="0"/>
      <w:numFmt w:val="bullet"/>
      <w:lvlText w:val="•"/>
      <w:lvlJc w:val="left"/>
      <w:pPr>
        <w:ind w:left="3622" w:hanging="221"/>
      </w:pPr>
      <w:rPr>
        <w:rFonts w:hint="default"/>
      </w:rPr>
    </w:lvl>
    <w:lvl w:ilvl="4">
      <w:start w:val="0"/>
      <w:numFmt w:val="bullet"/>
      <w:lvlText w:val="•"/>
      <w:lvlJc w:val="left"/>
      <w:pPr>
        <w:ind w:left="4476" w:hanging="221"/>
      </w:pPr>
      <w:rPr>
        <w:rFonts w:hint="default"/>
      </w:rPr>
    </w:lvl>
    <w:lvl w:ilvl="5">
      <w:start w:val="0"/>
      <w:numFmt w:val="bullet"/>
      <w:lvlText w:val="•"/>
      <w:lvlJc w:val="left"/>
      <w:pPr>
        <w:ind w:left="5330" w:hanging="221"/>
      </w:pPr>
      <w:rPr>
        <w:rFonts w:hint="default"/>
      </w:rPr>
    </w:lvl>
    <w:lvl w:ilvl="6">
      <w:start w:val="0"/>
      <w:numFmt w:val="bullet"/>
      <w:lvlText w:val="•"/>
      <w:lvlJc w:val="left"/>
      <w:pPr>
        <w:ind w:left="6184" w:hanging="221"/>
      </w:pPr>
      <w:rPr>
        <w:rFonts w:hint="default"/>
      </w:rPr>
    </w:lvl>
    <w:lvl w:ilvl="7">
      <w:start w:val="0"/>
      <w:numFmt w:val="bullet"/>
      <w:lvlText w:val="•"/>
      <w:lvlJc w:val="left"/>
      <w:pPr>
        <w:ind w:left="7038" w:hanging="221"/>
      </w:pPr>
      <w:rPr>
        <w:rFonts w:hint="default"/>
      </w:rPr>
    </w:lvl>
    <w:lvl w:ilvl="8">
      <w:start w:val="0"/>
      <w:numFmt w:val="bullet"/>
      <w:lvlText w:val="•"/>
      <w:lvlJc w:val="left"/>
      <w:pPr>
        <w:ind w:left="7892" w:hanging="221"/>
      </w:pPr>
      <w:rPr>
        <w:rFonts w:hint="default"/>
      </w:rPr>
    </w:lvl>
  </w:abstractNum>
  <w:abstractNum w:abstractNumId="61">
    <w:multiLevelType w:val="hybridMultilevel"/>
    <w:lvl w:ilvl="0">
      <w:start w:val="1"/>
      <w:numFmt w:val="lowerLetter"/>
      <w:lvlText w:val="%1)"/>
      <w:lvlJc w:val="left"/>
      <w:pPr>
        <w:ind w:left="1068" w:hanging="229"/>
        <w:jc w:val="left"/>
      </w:pPr>
      <w:rPr>
        <w:rFonts w:hint="default" w:ascii="Times New Roman" w:hAnsi="Times New Roman" w:eastAsia="Times New Roman" w:cs="Times New Roman"/>
        <w:w w:val="100"/>
        <w:sz w:val="22"/>
        <w:szCs w:val="22"/>
      </w:rPr>
    </w:lvl>
    <w:lvl w:ilvl="1">
      <w:start w:val="0"/>
      <w:numFmt w:val="bullet"/>
      <w:lvlText w:val="•"/>
      <w:lvlJc w:val="left"/>
      <w:pPr>
        <w:ind w:left="1914" w:hanging="229"/>
      </w:pPr>
      <w:rPr>
        <w:rFonts w:hint="default"/>
      </w:rPr>
    </w:lvl>
    <w:lvl w:ilvl="2">
      <w:start w:val="0"/>
      <w:numFmt w:val="bullet"/>
      <w:lvlText w:val="•"/>
      <w:lvlJc w:val="left"/>
      <w:pPr>
        <w:ind w:left="2768" w:hanging="229"/>
      </w:pPr>
      <w:rPr>
        <w:rFonts w:hint="default"/>
      </w:rPr>
    </w:lvl>
    <w:lvl w:ilvl="3">
      <w:start w:val="0"/>
      <w:numFmt w:val="bullet"/>
      <w:lvlText w:val="•"/>
      <w:lvlJc w:val="left"/>
      <w:pPr>
        <w:ind w:left="3622" w:hanging="229"/>
      </w:pPr>
      <w:rPr>
        <w:rFonts w:hint="default"/>
      </w:rPr>
    </w:lvl>
    <w:lvl w:ilvl="4">
      <w:start w:val="0"/>
      <w:numFmt w:val="bullet"/>
      <w:lvlText w:val="•"/>
      <w:lvlJc w:val="left"/>
      <w:pPr>
        <w:ind w:left="4476" w:hanging="229"/>
      </w:pPr>
      <w:rPr>
        <w:rFonts w:hint="default"/>
      </w:rPr>
    </w:lvl>
    <w:lvl w:ilvl="5">
      <w:start w:val="0"/>
      <w:numFmt w:val="bullet"/>
      <w:lvlText w:val="•"/>
      <w:lvlJc w:val="left"/>
      <w:pPr>
        <w:ind w:left="5330" w:hanging="229"/>
      </w:pPr>
      <w:rPr>
        <w:rFonts w:hint="default"/>
      </w:rPr>
    </w:lvl>
    <w:lvl w:ilvl="6">
      <w:start w:val="0"/>
      <w:numFmt w:val="bullet"/>
      <w:lvlText w:val="•"/>
      <w:lvlJc w:val="left"/>
      <w:pPr>
        <w:ind w:left="6184" w:hanging="229"/>
      </w:pPr>
      <w:rPr>
        <w:rFonts w:hint="default"/>
      </w:rPr>
    </w:lvl>
    <w:lvl w:ilvl="7">
      <w:start w:val="0"/>
      <w:numFmt w:val="bullet"/>
      <w:lvlText w:val="•"/>
      <w:lvlJc w:val="left"/>
      <w:pPr>
        <w:ind w:left="7038" w:hanging="229"/>
      </w:pPr>
      <w:rPr>
        <w:rFonts w:hint="default"/>
      </w:rPr>
    </w:lvl>
    <w:lvl w:ilvl="8">
      <w:start w:val="0"/>
      <w:numFmt w:val="bullet"/>
      <w:lvlText w:val="•"/>
      <w:lvlJc w:val="left"/>
      <w:pPr>
        <w:ind w:left="7892" w:hanging="229"/>
      </w:pPr>
      <w:rPr>
        <w:rFonts w:hint="default"/>
      </w:rPr>
    </w:lvl>
  </w:abstractNum>
  <w:abstractNum w:abstractNumId="60">
    <w:multiLevelType w:val="hybridMultilevel"/>
    <w:lvl w:ilvl="0">
      <w:start w:val="1"/>
      <w:numFmt w:val="decimal"/>
      <w:lvlText w:val="%1."/>
      <w:lvlJc w:val="left"/>
      <w:pPr>
        <w:ind w:left="1060" w:hanging="221"/>
        <w:jc w:val="left"/>
      </w:pPr>
      <w:rPr>
        <w:rFonts w:hint="default" w:ascii="Times New Roman" w:hAnsi="Times New Roman" w:eastAsia="Times New Roman" w:cs="Times New Roman"/>
        <w:w w:val="100"/>
        <w:sz w:val="22"/>
        <w:szCs w:val="22"/>
      </w:rPr>
    </w:lvl>
    <w:lvl w:ilvl="1">
      <w:start w:val="0"/>
      <w:numFmt w:val="bullet"/>
      <w:lvlText w:val="•"/>
      <w:lvlJc w:val="left"/>
      <w:pPr>
        <w:ind w:left="1914" w:hanging="221"/>
      </w:pPr>
      <w:rPr>
        <w:rFonts w:hint="default"/>
      </w:rPr>
    </w:lvl>
    <w:lvl w:ilvl="2">
      <w:start w:val="0"/>
      <w:numFmt w:val="bullet"/>
      <w:lvlText w:val="•"/>
      <w:lvlJc w:val="left"/>
      <w:pPr>
        <w:ind w:left="2768" w:hanging="221"/>
      </w:pPr>
      <w:rPr>
        <w:rFonts w:hint="default"/>
      </w:rPr>
    </w:lvl>
    <w:lvl w:ilvl="3">
      <w:start w:val="0"/>
      <w:numFmt w:val="bullet"/>
      <w:lvlText w:val="•"/>
      <w:lvlJc w:val="left"/>
      <w:pPr>
        <w:ind w:left="3622" w:hanging="221"/>
      </w:pPr>
      <w:rPr>
        <w:rFonts w:hint="default"/>
      </w:rPr>
    </w:lvl>
    <w:lvl w:ilvl="4">
      <w:start w:val="0"/>
      <w:numFmt w:val="bullet"/>
      <w:lvlText w:val="•"/>
      <w:lvlJc w:val="left"/>
      <w:pPr>
        <w:ind w:left="4476" w:hanging="221"/>
      </w:pPr>
      <w:rPr>
        <w:rFonts w:hint="default"/>
      </w:rPr>
    </w:lvl>
    <w:lvl w:ilvl="5">
      <w:start w:val="0"/>
      <w:numFmt w:val="bullet"/>
      <w:lvlText w:val="•"/>
      <w:lvlJc w:val="left"/>
      <w:pPr>
        <w:ind w:left="5330" w:hanging="221"/>
      </w:pPr>
      <w:rPr>
        <w:rFonts w:hint="default"/>
      </w:rPr>
    </w:lvl>
    <w:lvl w:ilvl="6">
      <w:start w:val="0"/>
      <w:numFmt w:val="bullet"/>
      <w:lvlText w:val="•"/>
      <w:lvlJc w:val="left"/>
      <w:pPr>
        <w:ind w:left="6184" w:hanging="221"/>
      </w:pPr>
      <w:rPr>
        <w:rFonts w:hint="default"/>
      </w:rPr>
    </w:lvl>
    <w:lvl w:ilvl="7">
      <w:start w:val="0"/>
      <w:numFmt w:val="bullet"/>
      <w:lvlText w:val="•"/>
      <w:lvlJc w:val="left"/>
      <w:pPr>
        <w:ind w:left="7038" w:hanging="221"/>
      </w:pPr>
      <w:rPr>
        <w:rFonts w:hint="default"/>
      </w:rPr>
    </w:lvl>
    <w:lvl w:ilvl="8">
      <w:start w:val="0"/>
      <w:numFmt w:val="bullet"/>
      <w:lvlText w:val="•"/>
      <w:lvlJc w:val="left"/>
      <w:pPr>
        <w:ind w:left="7892" w:hanging="221"/>
      </w:pPr>
      <w:rPr>
        <w:rFonts w:hint="default"/>
      </w:rPr>
    </w:lvl>
  </w:abstractNum>
  <w:abstractNum w:abstractNumId="59">
    <w:multiLevelType w:val="hybridMultilevel"/>
    <w:lvl w:ilvl="0">
      <w:start w:val="1"/>
      <w:numFmt w:val="lowerLetter"/>
      <w:lvlText w:val="%1)"/>
      <w:lvlJc w:val="left"/>
      <w:pPr>
        <w:ind w:left="119" w:hanging="236"/>
        <w:jc w:val="left"/>
      </w:pPr>
      <w:rPr>
        <w:rFonts w:hint="default" w:ascii="Times New Roman" w:hAnsi="Times New Roman" w:eastAsia="Times New Roman" w:cs="Times New Roman"/>
        <w:w w:val="100"/>
        <w:sz w:val="22"/>
        <w:szCs w:val="22"/>
      </w:rPr>
    </w:lvl>
    <w:lvl w:ilvl="1">
      <w:start w:val="0"/>
      <w:numFmt w:val="bullet"/>
      <w:lvlText w:val="•"/>
      <w:lvlJc w:val="left"/>
      <w:pPr>
        <w:ind w:left="1068" w:hanging="236"/>
      </w:pPr>
      <w:rPr>
        <w:rFonts w:hint="default"/>
      </w:rPr>
    </w:lvl>
    <w:lvl w:ilvl="2">
      <w:start w:val="0"/>
      <w:numFmt w:val="bullet"/>
      <w:lvlText w:val="•"/>
      <w:lvlJc w:val="left"/>
      <w:pPr>
        <w:ind w:left="2016" w:hanging="236"/>
      </w:pPr>
      <w:rPr>
        <w:rFonts w:hint="default"/>
      </w:rPr>
    </w:lvl>
    <w:lvl w:ilvl="3">
      <w:start w:val="0"/>
      <w:numFmt w:val="bullet"/>
      <w:lvlText w:val="•"/>
      <w:lvlJc w:val="left"/>
      <w:pPr>
        <w:ind w:left="2964" w:hanging="236"/>
      </w:pPr>
      <w:rPr>
        <w:rFonts w:hint="default"/>
      </w:rPr>
    </w:lvl>
    <w:lvl w:ilvl="4">
      <w:start w:val="0"/>
      <w:numFmt w:val="bullet"/>
      <w:lvlText w:val="•"/>
      <w:lvlJc w:val="left"/>
      <w:pPr>
        <w:ind w:left="3912" w:hanging="236"/>
      </w:pPr>
      <w:rPr>
        <w:rFonts w:hint="default"/>
      </w:rPr>
    </w:lvl>
    <w:lvl w:ilvl="5">
      <w:start w:val="0"/>
      <w:numFmt w:val="bullet"/>
      <w:lvlText w:val="•"/>
      <w:lvlJc w:val="left"/>
      <w:pPr>
        <w:ind w:left="4860" w:hanging="236"/>
      </w:pPr>
      <w:rPr>
        <w:rFonts w:hint="default"/>
      </w:rPr>
    </w:lvl>
    <w:lvl w:ilvl="6">
      <w:start w:val="0"/>
      <w:numFmt w:val="bullet"/>
      <w:lvlText w:val="•"/>
      <w:lvlJc w:val="left"/>
      <w:pPr>
        <w:ind w:left="5808" w:hanging="236"/>
      </w:pPr>
      <w:rPr>
        <w:rFonts w:hint="default"/>
      </w:rPr>
    </w:lvl>
    <w:lvl w:ilvl="7">
      <w:start w:val="0"/>
      <w:numFmt w:val="bullet"/>
      <w:lvlText w:val="•"/>
      <w:lvlJc w:val="left"/>
      <w:pPr>
        <w:ind w:left="6756" w:hanging="236"/>
      </w:pPr>
      <w:rPr>
        <w:rFonts w:hint="default"/>
      </w:rPr>
    </w:lvl>
    <w:lvl w:ilvl="8">
      <w:start w:val="0"/>
      <w:numFmt w:val="bullet"/>
      <w:lvlText w:val="•"/>
      <w:lvlJc w:val="left"/>
      <w:pPr>
        <w:ind w:left="7704" w:hanging="236"/>
      </w:pPr>
      <w:rPr>
        <w:rFonts w:hint="default"/>
      </w:rPr>
    </w:lvl>
  </w:abstractNum>
  <w:abstractNum w:abstractNumId="58">
    <w:multiLevelType w:val="hybridMultilevel"/>
    <w:lvl w:ilvl="0">
      <w:start w:val="1"/>
      <w:numFmt w:val="decimal"/>
      <w:lvlText w:val="%1."/>
      <w:lvlJc w:val="left"/>
      <w:pPr>
        <w:ind w:left="119" w:hanging="240"/>
        <w:jc w:val="left"/>
      </w:pPr>
      <w:rPr>
        <w:rFonts w:hint="default" w:ascii="Times New Roman" w:hAnsi="Times New Roman" w:eastAsia="Times New Roman" w:cs="Times New Roman"/>
        <w:w w:val="100"/>
        <w:sz w:val="22"/>
        <w:szCs w:val="22"/>
      </w:rPr>
    </w:lvl>
    <w:lvl w:ilvl="1">
      <w:start w:val="0"/>
      <w:numFmt w:val="bullet"/>
      <w:lvlText w:val="•"/>
      <w:lvlJc w:val="left"/>
      <w:pPr>
        <w:ind w:left="1068" w:hanging="240"/>
      </w:pPr>
      <w:rPr>
        <w:rFonts w:hint="default"/>
      </w:rPr>
    </w:lvl>
    <w:lvl w:ilvl="2">
      <w:start w:val="0"/>
      <w:numFmt w:val="bullet"/>
      <w:lvlText w:val="•"/>
      <w:lvlJc w:val="left"/>
      <w:pPr>
        <w:ind w:left="2016" w:hanging="240"/>
      </w:pPr>
      <w:rPr>
        <w:rFonts w:hint="default"/>
      </w:rPr>
    </w:lvl>
    <w:lvl w:ilvl="3">
      <w:start w:val="0"/>
      <w:numFmt w:val="bullet"/>
      <w:lvlText w:val="•"/>
      <w:lvlJc w:val="left"/>
      <w:pPr>
        <w:ind w:left="2964" w:hanging="240"/>
      </w:pPr>
      <w:rPr>
        <w:rFonts w:hint="default"/>
      </w:rPr>
    </w:lvl>
    <w:lvl w:ilvl="4">
      <w:start w:val="0"/>
      <w:numFmt w:val="bullet"/>
      <w:lvlText w:val="•"/>
      <w:lvlJc w:val="left"/>
      <w:pPr>
        <w:ind w:left="3912" w:hanging="240"/>
      </w:pPr>
      <w:rPr>
        <w:rFonts w:hint="default"/>
      </w:rPr>
    </w:lvl>
    <w:lvl w:ilvl="5">
      <w:start w:val="0"/>
      <w:numFmt w:val="bullet"/>
      <w:lvlText w:val="•"/>
      <w:lvlJc w:val="left"/>
      <w:pPr>
        <w:ind w:left="4860" w:hanging="240"/>
      </w:pPr>
      <w:rPr>
        <w:rFonts w:hint="default"/>
      </w:rPr>
    </w:lvl>
    <w:lvl w:ilvl="6">
      <w:start w:val="0"/>
      <w:numFmt w:val="bullet"/>
      <w:lvlText w:val="•"/>
      <w:lvlJc w:val="left"/>
      <w:pPr>
        <w:ind w:left="5808" w:hanging="240"/>
      </w:pPr>
      <w:rPr>
        <w:rFonts w:hint="default"/>
      </w:rPr>
    </w:lvl>
    <w:lvl w:ilvl="7">
      <w:start w:val="0"/>
      <w:numFmt w:val="bullet"/>
      <w:lvlText w:val="•"/>
      <w:lvlJc w:val="left"/>
      <w:pPr>
        <w:ind w:left="6756" w:hanging="240"/>
      </w:pPr>
      <w:rPr>
        <w:rFonts w:hint="default"/>
      </w:rPr>
    </w:lvl>
    <w:lvl w:ilvl="8">
      <w:start w:val="0"/>
      <w:numFmt w:val="bullet"/>
      <w:lvlText w:val="•"/>
      <w:lvlJc w:val="left"/>
      <w:pPr>
        <w:ind w:left="7704" w:hanging="240"/>
      </w:pPr>
      <w:rPr>
        <w:rFonts w:hint="default"/>
      </w:rPr>
    </w:lvl>
  </w:abstractNum>
  <w:abstractNum w:abstractNumId="57">
    <w:multiLevelType w:val="hybridMultilevel"/>
    <w:lvl w:ilvl="0">
      <w:start w:val="1"/>
      <w:numFmt w:val="lowerLetter"/>
      <w:lvlText w:val="%1)"/>
      <w:lvlJc w:val="left"/>
      <w:pPr>
        <w:ind w:left="1068" w:hanging="229"/>
        <w:jc w:val="left"/>
      </w:pPr>
      <w:rPr>
        <w:rFonts w:hint="default" w:ascii="Times New Roman" w:hAnsi="Times New Roman" w:eastAsia="Times New Roman" w:cs="Times New Roman"/>
        <w:w w:val="100"/>
        <w:sz w:val="22"/>
        <w:szCs w:val="22"/>
      </w:rPr>
    </w:lvl>
    <w:lvl w:ilvl="1">
      <w:start w:val="0"/>
      <w:numFmt w:val="bullet"/>
      <w:lvlText w:val="•"/>
      <w:lvlJc w:val="left"/>
      <w:pPr>
        <w:ind w:left="1914" w:hanging="229"/>
      </w:pPr>
      <w:rPr>
        <w:rFonts w:hint="default"/>
      </w:rPr>
    </w:lvl>
    <w:lvl w:ilvl="2">
      <w:start w:val="0"/>
      <w:numFmt w:val="bullet"/>
      <w:lvlText w:val="•"/>
      <w:lvlJc w:val="left"/>
      <w:pPr>
        <w:ind w:left="2768" w:hanging="229"/>
      </w:pPr>
      <w:rPr>
        <w:rFonts w:hint="default"/>
      </w:rPr>
    </w:lvl>
    <w:lvl w:ilvl="3">
      <w:start w:val="0"/>
      <w:numFmt w:val="bullet"/>
      <w:lvlText w:val="•"/>
      <w:lvlJc w:val="left"/>
      <w:pPr>
        <w:ind w:left="3622" w:hanging="229"/>
      </w:pPr>
      <w:rPr>
        <w:rFonts w:hint="default"/>
      </w:rPr>
    </w:lvl>
    <w:lvl w:ilvl="4">
      <w:start w:val="0"/>
      <w:numFmt w:val="bullet"/>
      <w:lvlText w:val="•"/>
      <w:lvlJc w:val="left"/>
      <w:pPr>
        <w:ind w:left="4476" w:hanging="229"/>
      </w:pPr>
      <w:rPr>
        <w:rFonts w:hint="default"/>
      </w:rPr>
    </w:lvl>
    <w:lvl w:ilvl="5">
      <w:start w:val="0"/>
      <w:numFmt w:val="bullet"/>
      <w:lvlText w:val="•"/>
      <w:lvlJc w:val="left"/>
      <w:pPr>
        <w:ind w:left="5330" w:hanging="229"/>
      </w:pPr>
      <w:rPr>
        <w:rFonts w:hint="default"/>
      </w:rPr>
    </w:lvl>
    <w:lvl w:ilvl="6">
      <w:start w:val="0"/>
      <w:numFmt w:val="bullet"/>
      <w:lvlText w:val="•"/>
      <w:lvlJc w:val="left"/>
      <w:pPr>
        <w:ind w:left="6184" w:hanging="229"/>
      </w:pPr>
      <w:rPr>
        <w:rFonts w:hint="default"/>
      </w:rPr>
    </w:lvl>
    <w:lvl w:ilvl="7">
      <w:start w:val="0"/>
      <w:numFmt w:val="bullet"/>
      <w:lvlText w:val="•"/>
      <w:lvlJc w:val="left"/>
      <w:pPr>
        <w:ind w:left="7038" w:hanging="229"/>
      </w:pPr>
      <w:rPr>
        <w:rFonts w:hint="default"/>
      </w:rPr>
    </w:lvl>
    <w:lvl w:ilvl="8">
      <w:start w:val="0"/>
      <w:numFmt w:val="bullet"/>
      <w:lvlText w:val="•"/>
      <w:lvlJc w:val="left"/>
      <w:pPr>
        <w:ind w:left="7892" w:hanging="229"/>
      </w:pPr>
      <w:rPr>
        <w:rFonts w:hint="default"/>
      </w:rPr>
    </w:lvl>
  </w:abstractNum>
  <w:abstractNum w:abstractNumId="56">
    <w:multiLevelType w:val="hybridMultilevel"/>
    <w:lvl w:ilvl="0">
      <w:start w:val="1"/>
      <w:numFmt w:val="decimal"/>
      <w:lvlText w:val="%1."/>
      <w:lvlJc w:val="left"/>
      <w:pPr>
        <w:ind w:left="119" w:hanging="238"/>
        <w:jc w:val="left"/>
      </w:pPr>
      <w:rPr>
        <w:rFonts w:hint="default" w:ascii="Times New Roman" w:hAnsi="Times New Roman" w:eastAsia="Times New Roman" w:cs="Times New Roman"/>
        <w:w w:val="100"/>
        <w:sz w:val="22"/>
        <w:szCs w:val="22"/>
      </w:rPr>
    </w:lvl>
    <w:lvl w:ilvl="1">
      <w:start w:val="0"/>
      <w:numFmt w:val="bullet"/>
      <w:lvlText w:val="•"/>
      <w:lvlJc w:val="left"/>
      <w:pPr>
        <w:ind w:left="1068" w:hanging="238"/>
      </w:pPr>
      <w:rPr>
        <w:rFonts w:hint="default"/>
      </w:rPr>
    </w:lvl>
    <w:lvl w:ilvl="2">
      <w:start w:val="0"/>
      <w:numFmt w:val="bullet"/>
      <w:lvlText w:val="•"/>
      <w:lvlJc w:val="left"/>
      <w:pPr>
        <w:ind w:left="2016" w:hanging="238"/>
      </w:pPr>
      <w:rPr>
        <w:rFonts w:hint="default"/>
      </w:rPr>
    </w:lvl>
    <w:lvl w:ilvl="3">
      <w:start w:val="0"/>
      <w:numFmt w:val="bullet"/>
      <w:lvlText w:val="•"/>
      <w:lvlJc w:val="left"/>
      <w:pPr>
        <w:ind w:left="2964" w:hanging="238"/>
      </w:pPr>
      <w:rPr>
        <w:rFonts w:hint="default"/>
      </w:rPr>
    </w:lvl>
    <w:lvl w:ilvl="4">
      <w:start w:val="0"/>
      <w:numFmt w:val="bullet"/>
      <w:lvlText w:val="•"/>
      <w:lvlJc w:val="left"/>
      <w:pPr>
        <w:ind w:left="3912" w:hanging="238"/>
      </w:pPr>
      <w:rPr>
        <w:rFonts w:hint="default"/>
      </w:rPr>
    </w:lvl>
    <w:lvl w:ilvl="5">
      <w:start w:val="0"/>
      <w:numFmt w:val="bullet"/>
      <w:lvlText w:val="•"/>
      <w:lvlJc w:val="left"/>
      <w:pPr>
        <w:ind w:left="4860" w:hanging="238"/>
      </w:pPr>
      <w:rPr>
        <w:rFonts w:hint="default"/>
      </w:rPr>
    </w:lvl>
    <w:lvl w:ilvl="6">
      <w:start w:val="0"/>
      <w:numFmt w:val="bullet"/>
      <w:lvlText w:val="•"/>
      <w:lvlJc w:val="left"/>
      <w:pPr>
        <w:ind w:left="5808" w:hanging="238"/>
      </w:pPr>
      <w:rPr>
        <w:rFonts w:hint="default"/>
      </w:rPr>
    </w:lvl>
    <w:lvl w:ilvl="7">
      <w:start w:val="0"/>
      <w:numFmt w:val="bullet"/>
      <w:lvlText w:val="•"/>
      <w:lvlJc w:val="left"/>
      <w:pPr>
        <w:ind w:left="6756" w:hanging="238"/>
      </w:pPr>
      <w:rPr>
        <w:rFonts w:hint="default"/>
      </w:rPr>
    </w:lvl>
    <w:lvl w:ilvl="8">
      <w:start w:val="0"/>
      <w:numFmt w:val="bullet"/>
      <w:lvlText w:val="•"/>
      <w:lvlJc w:val="left"/>
      <w:pPr>
        <w:ind w:left="7704" w:hanging="238"/>
      </w:pPr>
      <w:rPr>
        <w:rFonts w:hint="default"/>
      </w:rPr>
    </w:lvl>
  </w:abstractNum>
  <w:abstractNum w:abstractNumId="55">
    <w:multiLevelType w:val="hybridMultilevel"/>
    <w:lvl w:ilvl="0">
      <w:start w:val="1"/>
      <w:numFmt w:val="lowerLetter"/>
      <w:lvlText w:val="%1)"/>
      <w:lvlJc w:val="left"/>
      <w:pPr>
        <w:ind w:left="119" w:hanging="238"/>
        <w:jc w:val="left"/>
      </w:pPr>
      <w:rPr>
        <w:rFonts w:hint="default" w:ascii="Times New Roman" w:hAnsi="Times New Roman" w:eastAsia="Times New Roman" w:cs="Times New Roman"/>
        <w:w w:val="100"/>
        <w:sz w:val="22"/>
        <w:szCs w:val="22"/>
      </w:rPr>
    </w:lvl>
    <w:lvl w:ilvl="1">
      <w:start w:val="0"/>
      <w:numFmt w:val="bullet"/>
      <w:lvlText w:val="•"/>
      <w:lvlJc w:val="left"/>
      <w:pPr>
        <w:ind w:left="1068" w:hanging="238"/>
      </w:pPr>
      <w:rPr>
        <w:rFonts w:hint="default"/>
      </w:rPr>
    </w:lvl>
    <w:lvl w:ilvl="2">
      <w:start w:val="0"/>
      <w:numFmt w:val="bullet"/>
      <w:lvlText w:val="•"/>
      <w:lvlJc w:val="left"/>
      <w:pPr>
        <w:ind w:left="2016" w:hanging="238"/>
      </w:pPr>
      <w:rPr>
        <w:rFonts w:hint="default"/>
      </w:rPr>
    </w:lvl>
    <w:lvl w:ilvl="3">
      <w:start w:val="0"/>
      <w:numFmt w:val="bullet"/>
      <w:lvlText w:val="•"/>
      <w:lvlJc w:val="left"/>
      <w:pPr>
        <w:ind w:left="2964" w:hanging="238"/>
      </w:pPr>
      <w:rPr>
        <w:rFonts w:hint="default"/>
      </w:rPr>
    </w:lvl>
    <w:lvl w:ilvl="4">
      <w:start w:val="0"/>
      <w:numFmt w:val="bullet"/>
      <w:lvlText w:val="•"/>
      <w:lvlJc w:val="left"/>
      <w:pPr>
        <w:ind w:left="3912" w:hanging="238"/>
      </w:pPr>
      <w:rPr>
        <w:rFonts w:hint="default"/>
      </w:rPr>
    </w:lvl>
    <w:lvl w:ilvl="5">
      <w:start w:val="0"/>
      <w:numFmt w:val="bullet"/>
      <w:lvlText w:val="•"/>
      <w:lvlJc w:val="left"/>
      <w:pPr>
        <w:ind w:left="4860" w:hanging="238"/>
      </w:pPr>
      <w:rPr>
        <w:rFonts w:hint="default"/>
      </w:rPr>
    </w:lvl>
    <w:lvl w:ilvl="6">
      <w:start w:val="0"/>
      <w:numFmt w:val="bullet"/>
      <w:lvlText w:val="•"/>
      <w:lvlJc w:val="left"/>
      <w:pPr>
        <w:ind w:left="5808" w:hanging="238"/>
      </w:pPr>
      <w:rPr>
        <w:rFonts w:hint="default"/>
      </w:rPr>
    </w:lvl>
    <w:lvl w:ilvl="7">
      <w:start w:val="0"/>
      <w:numFmt w:val="bullet"/>
      <w:lvlText w:val="•"/>
      <w:lvlJc w:val="left"/>
      <w:pPr>
        <w:ind w:left="6756" w:hanging="238"/>
      </w:pPr>
      <w:rPr>
        <w:rFonts w:hint="default"/>
      </w:rPr>
    </w:lvl>
    <w:lvl w:ilvl="8">
      <w:start w:val="0"/>
      <w:numFmt w:val="bullet"/>
      <w:lvlText w:val="•"/>
      <w:lvlJc w:val="left"/>
      <w:pPr>
        <w:ind w:left="7704" w:hanging="238"/>
      </w:pPr>
      <w:rPr>
        <w:rFonts w:hint="default"/>
      </w:rPr>
    </w:lvl>
  </w:abstractNum>
  <w:abstractNum w:abstractNumId="54">
    <w:multiLevelType w:val="hybridMultilevel"/>
    <w:lvl w:ilvl="0">
      <w:start w:val="1"/>
      <w:numFmt w:val="decimal"/>
      <w:lvlText w:val="%1."/>
      <w:lvlJc w:val="left"/>
      <w:pPr>
        <w:ind w:left="119" w:hanging="224"/>
        <w:jc w:val="left"/>
      </w:pPr>
      <w:rPr>
        <w:rFonts w:hint="default" w:ascii="Times New Roman" w:hAnsi="Times New Roman" w:eastAsia="Times New Roman" w:cs="Times New Roman"/>
        <w:w w:val="100"/>
        <w:sz w:val="22"/>
        <w:szCs w:val="22"/>
      </w:rPr>
    </w:lvl>
    <w:lvl w:ilvl="1">
      <w:start w:val="0"/>
      <w:numFmt w:val="bullet"/>
      <w:lvlText w:val="•"/>
      <w:lvlJc w:val="left"/>
      <w:pPr>
        <w:ind w:left="1068" w:hanging="224"/>
      </w:pPr>
      <w:rPr>
        <w:rFonts w:hint="default"/>
      </w:rPr>
    </w:lvl>
    <w:lvl w:ilvl="2">
      <w:start w:val="0"/>
      <w:numFmt w:val="bullet"/>
      <w:lvlText w:val="•"/>
      <w:lvlJc w:val="left"/>
      <w:pPr>
        <w:ind w:left="2016" w:hanging="224"/>
      </w:pPr>
      <w:rPr>
        <w:rFonts w:hint="default"/>
      </w:rPr>
    </w:lvl>
    <w:lvl w:ilvl="3">
      <w:start w:val="0"/>
      <w:numFmt w:val="bullet"/>
      <w:lvlText w:val="•"/>
      <w:lvlJc w:val="left"/>
      <w:pPr>
        <w:ind w:left="2964" w:hanging="224"/>
      </w:pPr>
      <w:rPr>
        <w:rFonts w:hint="default"/>
      </w:rPr>
    </w:lvl>
    <w:lvl w:ilvl="4">
      <w:start w:val="0"/>
      <w:numFmt w:val="bullet"/>
      <w:lvlText w:val="•"/>
      <w:lvlJc w:val="left"/>
      <w:pPr>
        <w:ind w:left="3912" w:hanging="224"/>
      </w:pPr>
      <w:rPr>
        <w:rFonts w:hint="default"/>
      </w:rPr>
    </w:lvl>
    <w:lvl w:ilvl="5">
      <w:start w:val="0"/>
      <w:numFmt w:val="bullet"/>
      <w:lvlText w:val="•"/>
      <w:lvlJc w:val="left"/>
      <w:pPr>
        <w:ind w:left="4860" w:hanging="224"/>
      </w:pPr>
      <w:rPr>
        <w:rFonts w:hint="default"/>
      </w:rPr>
    </w:lvl>
    <w:lvl w:ilvl="6">
      <w:start w:val="0"/>
      <w:numFmt w:val="bullet"/>
      <w:lvlText w:val="•"/>
      <w:lvlJc w:val="left"/>
      <w:pPr>
        <w:ind w:left="5808" w:hanging="224"/>
      </w:pPr>
      <w:rPr>
        <w:rFonts w:hint="default"/>
      </w:rPr>
    </w:lvl>
    <w:lvl w:ilvl="7">
      <w:start w:val="0"/>
      <w:numFmt w:val="bullet"/>
      <w:lvlText w:val="•"/>
      <w:lvlJc w:val="left"/>
      <w:pPr>
        <w:ind w:left="6756" w:hanging="224"/>
      </w:pPr>
      <w:rPr>
        <w:rFonts w:hint="default"/>
      </w:rPr>
    </w:lvl>
    <w:lvl w:ilvl="8">
      <w:start w:val="0"/>
      <w:numFmt w:val="bullet"/>
      <w:lvlText w:val="•"/>
      <w:lvlJc w:val="left"/>
      <w:pPr>
        <w:ind w:left="7704" w:hanging="224"/>
      </w:pPr>
      <w:rPr>
        <w:rFonts w:hint="default"/>
      </w:rPr>
    </w:lvl>
  </w:abstractNum>
  <w:abstractNum w:abstractNumId="53">
    <w:multiLevelType w:val="hybridMultilevel"/>
    <w:lvl w:ilvl="0">
      <w:start w:val="1"/>
      <w:numFmt w:val="decimal"/>
      <w:lvlText w:val="%1."/>
      <w:lvlJc w:val="left"/>
      <w:pPr>
        <w:ind w:left="120" w:hanging="233"/>
        <w:jc w:val="left"/>
      </w:pPr>
      <w:rPr>
        <w:rFonts w:hint="default" w:ascii="Times New Roman" w:hAnsi="Times New Roman" w:eastAsia="Times New Roman" w:cs="Times New Roman"/>
        <w:w w:val="100"/>
        <w:sz w:val="22"/>
        <w:szCs w:val="22"/>
      </w:rPr>
    </w:lvl>
    <w:lvl w:ilvl="1">
      <w:start w:val="0"/>
      <w:numFmt w:val="bullet"/>
      <w:lvlText w:val="•"/>
      <w:lvlJc w:val="left"/>
      <w:pPr>
        <w:ind w:left="1068" w:hanging="233"/>
      </w:pPr>
      <w:rPr>
        <w:rFonts w:hint="default"/>
      </w:rPr>
    </w:lvl>
    <w:lvl w:ilvl="2">
      <w:start w:val="0"/>
      <w:numFmt w:val="bullet"/>
      <w:lvlText w:val="•"/>
      <w:lvlJc w:val="left"/>
      <w:pPr>
        <w:ind w:left="2016" w:hanging="233"/>
      </w:pPr>
      <w:rPr>
        <w:rFonts w:hint="default"/>
      </w:rPr>
    </w:lvl>
    <w:lvl w:ilvl="3">
      <w:start w:val="0"/>
      <w:numFmt w:val="bullet"/>
      <w:lvlText w:val="•"/>
      <w:lvlJc w:val="left"/>
      <w:pPr>
        <w:ind w:left="2964" w:hanging="233"/>
      </w:pPr>
      <w:rPr>
        <w:rFonts w:hint="default"/>
      </w:rPr>
    </w:lvl>
    <w:lvl w:ilvl="4">
      <w:start w:val="0"/>
      <w:numFmt w:val="bullet"/>
      <w:lvlText w:val="•"/>
      <w:lvlJc w:val="left"/>
      <w:pPr>
        <w:ind w:left="3912" w:hanging="233"/>
      </w:pPr>
      <w:rPr>
        <w:rFonts w:hint="default"/>
      </w:rPr>
    </w:lvl>
    <w:lvl w:ilvl="5">
      <w:start w:val="0"/>
      <w:numFmt w:val="bullet"/>
      <w:lvlText w:val="•"/>
      <w:lvlJc w:val="left"/>
      <w:pPr>
        <w:ind w:left="4860" w:hanging="233"/>
      </w:pPr>
      <w:rPr>
        <w:rFonts w:hint="default"/>
      </w:rPr>
    </w:lvl>
    <w:lvl w:ilvl="6">
      <w:start w:val="0"/>
      <w:numFmt w:val="bullet"/>
      <w:lvlText w:val="•"/>
      <w:lvlJc w:val="left"/>
      <w:pPr>
        <w:ind w:left="5808" w:hanging="233"/>
      </w:pPr>
      <w:rPr>
        <w:rFonts w:hint="default"/>
      </w:rPr>
    </w:lvl>
    <w:lvl w:ilvl="7">
      <w:start w:val="0"/>
      <w:numFmt w:val="bullet"/>
      <w:lvlText w:val="•"/>
      <w:lvlJc w:val="left"/>
      <w:pPr>
        <w:ind w:left="6756" w:hanging="233"/>
      </w:pPr>
      <w:rPr>
        <w:rFonts w:hint="default"/>
      </w:rPr>
    </w:lvl>
    <w:lvl w:ilvl="8">
      <w:start w:val="0"/>
      <w:numFmt w:val="bullet"/>
      <w:lvlText w:val="•"/>
      <w:lvlJc w:val="left"/>
      <w:pPr>
        <w:ind w:left="7704" w:hanging="233"/>
      </w:pPr>
      <w:rPr>
        <w:rFonts w:hint="default"/>
      </w:rPr>
    </w:lvl>
  </w:abstractNum>
  <w:abstractNum w:abstractNumId="52">
    <w:multiLevelType w:val="hybridMultilevel"/>
    <w:lvl w:ilvl="0">
      <w:start w:val="1"/>
      <w:numFmt w:val="decimal"/>
      <w:lvlText w:val="%1."/>
      <w:lvlJc w:val="left"/>
      <w:pPr>
        <w:ind w:left="120" w:hanging="233"/>
        <w:jc w:val="left"/>
      </w:pPr>
      <w:rPr>
        <w:rFonts w:hint="default" w:ascii="Times New Roman" w:hAnsi="Times New Roman" w:eastAsia="Times New Roman" w:cs="Times New Roman"/>
        <w:w w:val="100"/>
        <w:sz w:val="22"/>
        <w:szCs w:val="22"/>
      </w:rPr>
    </w:lvl>
    <w:lvl w:ilvl="1">
      <w:start w:val="0"/>
      <w:numFmt w:val="bullet"/>
      <w:lvlText w:val="•"/>
      <w:lvlJc w:val="left"/>
      <w:pPr>
        <w:ind w:left="1068" w:hanging="233"/>
      </w:pPr>
      <w:rPr>
        <w:rFonts w:hint="default"/>
      </w:rPr>
    </w:lvl>
    <w:lvl w:ilvl="2">
      <w:start w:val="0"/>
      <w:numFmt w:val="bullet"/>
      <w:lvlText w:val="•"/>
      <w:lvlJc w:val="left"/>
      <w:pPr>
        <w:ind w:left="2016" w:hanging="233"/>
      </w:pPr>
      <w:rPr>
        <w:rFonts w:hint="default"/>
      </w:rPr>
    </w:lvl>
    <w:lvl w:ilvl="3">
      <w:start w:val="0"/>
      <w:numFmt w:val="bullet"/>
      <w:lvlText w:val="•"/>
      <w:lvlJc w:val="left"/>
      <w:pPr>
        <w:ind w:left="2964" w:hanging="233"/>
      </w:pPr>
      <w:rPr>
        <w:rFonts w:hint="default"/>
      </w:rPr>
    </w:lvl>
    <w:lvl w:ilvl="4">
      <w:start w:val="0"/>
      <w:numFmt w:val="bullet"/>
      <w:lvlText w:val="•"/>
      <w:lvlJc w:val="left"/>
      <w:pPr>
        <w:ind w:left="3912" w:hanging="233"/>
      </w:pPr>
      <w:rPr>
        <w:rFonts w:hint="default"/>
      </w:rPr>
    </w:lvl>
    <w:lvl w:ilvl="5">
      <w:start w:val="0"/>
      <w:numFmt w:val="bullet"/>
      <w:lvlText w:val="•"/>
      <w:lvlJc w:val="left"/>
      <w:pPr>
        <w:ind w:left="4860" w:hanging="233"/>
      </w:pPr>
      <w:rPr>
        <w:rFonts w:hint="default"/>
      </w:rPr>
    </w:lvl>
    <w:lvl w:ilvl="6">
      <w:start w:val="0"/>
      <w:numFmt w:val="bullet"/>
      <w:lvlText w:val="•"/>
      <w:lvlJc w:val="left"/>
      <w:pPr>
        <w:ind w:left="5808" w:hanging="233"/>
      </w:pPr>
      <w:rPr>
        <w:rFonts w:hint="default"/>
      </w:rPr>
    </w:lvl>
    <w:lvl w:ilvl="7">
      <w:start w:val="0"/>
      <w:numFmt w:val="bullet"/>
      <w:lvlText w:val="•"/>
      <w:lvlJc w:val="left"/>
      <w:pPr>
        <w:ind w:left="6756" w:hanging="233"/>
      </w:pPr>
      <w:rPr>
        <w:rFonts w:hint="default"/>
      </w:rPr>
    </w:lvl>
    <w:lvl w:ilvl="8">
      <w:start w:val="0"/>
      <w:numFmt w:val="bullet"/>
      <w:lvlText w:val="•"/>
      <w:lvlJc w:val="left"/>
      <w:pPr>
        <w:ind w:left="7704" w:hanging="233"/>
      </w:pPr>
      <w:rPr>
        <w:rFonts w:hint="default"/>
      </w:rPr>
    </w:lvl>
  </w:abstractNum>
  <w:abstractNum w:abstractNumId="51">
    <w:multiLevelType w:val="hybridMultilevel"/>
    <w:lvl w:ilvl="0">
      <w:start w:val="1"/>
      <w:numFmt w:val="lowerLetter"/>
      <w:lvlText w:val="%1)"/>
      <w:lvlJc w:val="left"/>
      <w:pPr>
        <w:ind w:left="1067" w:hanging="229"/>
        <w:jc w:val="left"/>
      </w:pPr>
      <w:rPr>
        <w:rFonts w:hint="default" w:ascii="Times New Roman" w:hAnsi="Times New Roman" w:eastAsia="Times New Roman" w:cs="Times New Roman"/>
        <w:w w:val="100"/>
        <w:sz w:val="22"/>
        <w:szCs w:val="22"/>
      </w:rPr>
    </w:lvl>
    <w:lvl w:ilvl="1">
      <w:start w:val="0"/>
      <w:numFmt w:val="bullet"/>
      <w:lvlText w:val="•"/>
      <w:lvlJc w:val="left"/>
      <w:pPr>
        <w:ind w:left="1914" w:hanging="229"/>
      </w:pPr>
      <w:rPr>
        <w:rFonts w:hint="default"/>
      </w:rPr>
    </w:lvl>
    <w:lvl w:ilvl="2">
      <w:start w:val="0"/>
      <w:numFmt w:val="bullet"/>
      <w:lvlText w:val="•"/>
      <w:lvlJc w:val="left"/>
      <w:pPr>
        <w:ind w:left="2768" w:hanging="229"/>
      </w:pPr>
      <w:rPr>
        <w:rFonts w:hint="default"/>
      </w:rPr>
    </w:lvl>
    <w:lvl w:ilvl="3">
      <w:start w:val="0"/>
      <w:numFmt w:val="bullet"/>
      <w:lvlText w:val="•"/>
      <w:lvlJc w:val="left"/>
      <w:pPr>
        <w:ind w:left="3622" w:hanging="229"/>
      </w:pPr>
      <w:rPr>
        <w:rFonts w:hint="default"/>
      </w:rPr>
    </w:lvl>
    <w:lvl w:ilvl="4">
      <w:start w:val="0"/>
      <w:numFmt w:val="bullet"/>
      <w:lvlText w:val="•"/>
      <w:lvlJc w:val="left"/>
      <w:pPr>
        <w:ind w:left="4476" w:hanging="229"/>
      </w:pPr>
      <w:rPr>
        <w:rFonts w:hint="default"/>
      </w:rPr>
    </w:lvl>
    <w:lvl w:ilvl="5">
      <w:start w:val="0"/>
      <w:numFmt w:val="bullet"/>
      <w:lvlText w:val="•"/>
      <w:lvlJc w:val="left"/>
      <w:pPr>
        <w:ind w:left="5330" w:hanging="229"/>
      </w:pPr>
      <w:rPr>
        <w:rFonts w:hint="default"/>
      </w:rPr>
    </w:lvl>
    <w:lvl w:ilvl="6">
      <w:start w:val="0"/>
      <w:numFmt w:val="bullet"/>
      <w:lvlText w:val="•"/>
      <w:lvlJc w:val="left"/>
      <w:pPr>
        <w:ind w:left="6184" w:hanging="229"/>
      </w:pPr>
      <w:rPr>
        <w:rFonts w:hint="default"/>
      </w:rPr>
    </w:lvl>
    <w:lvl w:ilvl="7">
      <w:start w:val="0"/>
      <w:numFmt w:val="bullet"/>
      <w:lvlText w:val="•"/>
      <w:lvlJc w:val="left"/>
      <w:pPr>
        <w:ind w:left="7038" w:hanging="229"/>
      </w:pPr>
      <w:rPr>
        <w:rFonts w:hint="default"/>
      </w:rPr>
    </w:lvl>
    <w:lvl w:ilvl="8">
      <w:start w:val="0"/>
      <w:numFmt w:val="bullet"/>
      <w:lvlText w:val="•"/>
      <w:lvlJc w:val="left"/>
      <w:pPr>
        <w:ind w:left="7892" w:hanging="229"/>
      </w:pPr>
      <w:rPr>
        <w:rFonts w:hint="default"/>
      </w:rPr>
    </w:lvl>
  </w:abstractNum>
  <w:abstractNum w:abstractNumId="50">
    <w:multiLevelType w:val="hybridMultilevel"/>
    <w:lvl w:ilvl="0">
      <w:start w:val="1"/>
      <w:numFmt w:val="lowerLetter"/>
      <w:lvlText w:val="%1)"/>
      <w:lvlJc w:val="left"/>
      <w:pPr>
        <w:ind w:left="1067" w:hanging="229"/>
        <w:jc w:val="left"/>
      </w:pPr>
      <w:rPr>
        <w:rFonts w:hint="default" w:ascii="Times New Roman" w:hAnsi="Times New Roman" w:eastAsia="Times New Roman" w:cs="Times New Roman"/>
        <w:w w:val="100"/>
        <w:sz w:val="22"/>
        <w:szCs w:val="22"/>
      </w:rPr>
    </w:lvl>
    <w:lvl w:ilvl="1">
      <w:start w:val="0"/>
      <w:numFmt w:val="bullet"/>
      <w:lvlText w:val="•"/>
      <w:lvlJc w:val="left"/>
      <w:pPr>
        <w:ind w:left="1914" w:hanging="229"/>
      </w:pPr>
      <w:rPr>
        <w:rFonts w:hint="default"/>
      </w:rPr>
    </w:lvl>
    <w:lvl w:ilvl="2">
      <w:start w:val="0"/>
      <w:numFmt w:val="bullet"/>
      <w:lvlText w:val="•"/>
      <w:lvlJc w:val="left"/>
      <w:pPr>
        <w:ind w:left="2768" w:hanging="229"/>
      </w:pPr>
      <w:rPr>
        <w:rFonts w:hint="default"/>
      </w:rPr>
    </w:lvl>
    <w:lvl w:ilvl="3">
      <w:start w:val="0"/>
      <w:numFmt w:val="bullet"/>
      <w:lvlText w:val="•"/>
      <w:lvlJc w:val="left"/>
      <w:pPr>
        <w:ind w:left="3622" w:hanging="229"/>
      </w:pPr>
      <w:rPr>
        <w:rFonts w:hint="default"/>
      </w:rPr>
    </w:lvl>
    <w:lvl w:ilvl="4">
      <w:start w:val="0"/>
      <w:numFmt w:val="bullet"/>
      <w:lvlText w:val="•"/>
      <w:lvlJc w:val="left"/>
      <w:pPr>
        <w:ind w:left="4476" w:hanging="229"/>
      </w:pPr>
      <w:rPr>
        <w:rFonts w:hint="default"/>
      </w:rPr>
    </w:lvl>
    <w:lvl w:ilvl="5">
      <w:start w:val="0"/>
      <w:numFmt w:val="bullet"/>
      <w:lvlText w:val="•"/>
      <w:lvlJc w:val="left"/>
      <w:pPr>
        <w:ind w:left="5330" w:hanging="229"/>
      </w:pPr>
      <w:rPr>
        <w:rFonts w:hint="default"/>
      </w:rPr>
    </w:lvl>
    <w:lvl w:ilvl="6">
      <w:start w:val="0"/>
      <w:numFmt w:val="bullet"/>
      <w:lvlText w:val="•"/>
      <w:lvlJc w:val="left"/>
      <w:pPr>
        <w:ind w:left="6184" w:hanging="229"/>
      </w:pPr>
      <w:rPr>
        <w:rFonts w:hint="default"/>
      </w:rPr>
    </w:lvl>
    <w:lvl w:ilvl="7">
      <w:start w:val="0"/>
      <w:numFmt w:val="bullet"/>
      <w:lvlText w:val="•"/>
      <w:lvlJc w:val="left"/>
      <w:pPr>
        <w:ind w:left="7038" w:hanging="229"/>
      </w:pPr>
      <w:rPr>
        <w:rFonts w:hint="default"/>
      </w:rPr>
    </w:lvl>
    <w:lvl w:ilvl="8">
      <w:start w:val="0"/>
      <w:numFmt w:val="bullet"/>
      <w:lvlText w:val="•"/>
      <w:lvlJc w:val="left"/>
      <w:pPr>
        <w:ind w:left="7892" w:hanging="229"/>
      </w:pPr>
      <w:rPr>
        <w:rFonts w:hint="default"/>
      </w:rPr>
    </w:lvl>
  </w:abstractNum>
  <w:abstractNum w:abstractNumId="49">
    <w:multiLevelType w:val="hybridMultilevel"/>
    <w:lvl w:ilvl="0">
      <w:start w:val="1"/>
      <w:numFmt w:val="decimal"/>
      <w:lvlText w:val="%1."/>
      <w:lvlJc w:val="left"/>
      <w:pPr>
        <w:ind w:left="1080" w:hanging="240"/>
        <w:jc w:val="left"/>
      </w:pPr>
      <w:rPr>
        <w:rFonts w:hint="default" w:ascii="Times New Roman" w:hAnsi="Times New Roman" w:eastAsia="Times New Roman" w:cs="Times New Roman"/>
        <w:w w:val="100"/>
        <w:sz w:val="22"/>
        <w:szCs w:val="22"/>
      </w:rPr>
    </w:lvl>
    <w:lvl w:ilvl="1">
      <w:start w:val="0"/>
      <w:numFmt w:val="bullet"/>
      <w:lvlText w:val="•"/>
      <w:lvlJc w:val="left"/>
      <w:pPr>
        <w:ind w:left="1932" w:hanging="240"/>
      </w:pPr>
      <w:rPr>
        <w:rFonts w:hint="default"/>
      </w:rPr>
    </w:lvl>
    <w:lvl w:ilvl="2">
      <w:start w:val="0"/>
      <w:numFmt w:val="bullet"/>
      <w:lvlText w:val="•"/>
      <w:lvlJc w:val="left"/>
      <w:pPr>
        <w:ind w:left="2784" w:hanging="240"/>
      </w:pPr>
      <w:rPr>
        <w:rFonts w:hint="default"/>
      </w:rPr>
    </w:lvl>
    <w:lvl w:ilvl="3">
      <w:start w:val="0"/>
      <w:numFmt w:val="bullet"/>
      <w:lvlText w:val="•"/>
      <w:lvlJc w:val="left"/>
      <w:pPr>
        <w:ind w:left="3636" w:hanging="240"/>
      </w:pPr>
      <w:rPr>
        <w:rFonts w:hint="default"/>
      </w:rPr>
    </w:lvl>
    <w:lvl w:ilvl="4">
      <w:start w:val="0"/>
      <w:numFmt w:val="bullet"/>
      <w:lvlText w:val="•"/>
      <w:lvlJc w:val="left"/>
      <w:pPr>
        <w:ind w:left="4488" w:hanging="240"/>
      </w:pPr>
      <w:rPr>
        <w:rFonts w:hint="default"/>
      </w:rPr>
    </w:lvl>
    <w:lvl w:ilvl="5">
      <w:start w:val="0"/>
      <w:numFmt w:val="bullet"/>
      <w:lvlText w:val="•"/>
      <w:lvlJc w:val="left"/>
      <w:pPr>
        <w:ind w:left="5340" w:hanging="240"/>
      </w:pPr>
      <w:rPr>
        <w:rFonts w:hint="default"/>
      </w:rPr>
    </w:lvl>
    <w:lvl w:ilvl="6">
      <w:start w:val="0"/>
      <w:numFmt w:val="bullet"/>
      <w:lvlText w:val="•"/>
      <w:lvlJc w:val="left"/>
      <w:pPr>
        <w:ind w:left="6192" w:hanging="240"/>
      </w:pPr>
      <w:rPr>
        <w:rFonts w:hint="default"/>
      </w:rPr>
    </w:lvl>
    <w:lvl w:ilvl="7">
      <w:start w:val="0"/>
      <w:numFmt w:val="bullet"/>
      <w:lvlText w:val="•"/>
      <w:lvlJc w:val="left"/>
      <w:pPr>
        <w:ind w:left="7044" w:hanging="240"/>
      </w:pPr>
      <w:rPr>
        <w:rFonts w:hint="default"/>
      </w:rPr>
    </w:lvl>
    <w:lvl w:ilvl="8">
      <w:start w:val="0"/>
      <w:numFmt w:val="bullet"/>
      <w:lvlText w:val="•"/>
      <w:lvlJc w:val="left"/>
      <w:pPr>
        <w:ind w:left="7896" w:hanging="240"/>
      </w:pPr>
      <w:rPr>
        <w:rFonts w:hint="default"/>
      </w:rPr>
    </w:lvl>
  </w:abstractNum>
  <w:abstractNum w:abstractNumId="48">
    <w:multiLevelType w:val="hybridMultilevel"/>
    <w:lvl w:ilvl="0">
      <w:start w:val="1"/>
      <w:numFmt w:val="lowerLetter"/>
      <w:lvlText w:val="%1)"/>
      <w:lvlJc w:val="left"/>
      <w:pPr>
        <w:ind w:left="1067" w:hanging="229"/>
        <w:jc w:val="left"/>
      </w:pPr>
      <w:rPr>
        <w:rFonts w:hint="default" w:ascii="Times New Roman" w:hAnsi="Times New Roman" w:eastAsia="Times New Roman" w:cs="Times New Roman"/>
        <w:w w:val="100"/>
        <w:sz w:val="22"/>
        <w:szCs w:val="22"/>
      </w:rPr>
    </w:lvl>
    <w:lvl w:ilvl="1">
      <w:start w:val="0"/>
      <w:numFmt w:val="bullet"/>
      <w:lvlText w:val="•"/>
      <w:lvlJc w:val="left"/>
      <w:pPr>
        <w:ind w:left="1914" w:hanging="229"/>
      </w:pPr>
      <w:rPr>
        <w:rFonts w:hint="default"/>
      </w:rPr>
    </w:lvl>
    <w:lvl w:ilvl="2">
      <w:start w:val="0"/>
      <w:numFmt w:val="bullet"/>
      <w:lvlText w:val="•"/>
      <w:lvlJc w:val="left"/>
      <w:pPr>
        <w:ind w:left="2768" w:hanging="229"/>
      </w:pPr>
      <w:rPr>
        <w:rFonts w:hint="default"/>
      </w:rPr>
    </w:lvl>
    <w:lvl w:ilvl="3">
      <w:start w:val="0"/>
      <w:numFmt w:val="bullet"/>
      <w:lvlText w:val="•"/>
      <w:lvlJc w:val="left"/>
      <w:pPr>
        <w:ind w:left="3622" w:hanging="229"/>
      </w:pPr>
      <w:rPr>
        <w:rFonts w:hint="default"/>
      </w:rPr>
    </w:lvl>
    <w:lvl w:ilvl="4">
      <w:start w:val="0"/>
      <w:numFmt w:val="bullet"/>
      <w:lvlText w:val="•"/>
      <w:lvlJc w:val="left"/>
      <w:pPr>
        <w:ind w:left="4476" w:hanging="229"/>
      </w:pPr>
      <w:rPr>
        <w:rFonts w:hint="default"/>
      </w:rPr>
    </w:lvl>
    <w:lvl w:ilvl="5">
      <w:start w:val="0"/>
      <w:numFmt w:val="bullet"/>
      <w:lvlText w:val="•"/>
      <w:lvlJc w:val="left"/>
      <w:pPr>
        <w:ind w:left="5330" w:hanging="229"/>
      </w:pPr>
      <w:rPr>
        <w:rFonts w:hint="default"/>
      </w:rPr>
    </w:lvl>
    <w:lvl w:ilvl="6">
      <w:start w:val="0"/>
      <w:numFmt w:val="bullet"/>
      <w:lvlText w:val="•"/>
      <w:lvlJc w:val="left"/>
      <w:pPr>
        <w:ind w:left="6184" w:hanging="229"/>
      </w:pPr>
      <w:rPr>
        <w:rFonts w:hint="default"/>
      </w:rPr>
    </w:lvl>
    <w:lvl w:ilvl="7">
      <w:start w:val="0"/>
      <w:numFmt w:val="bullet"/>
      <w:lvlText w:val="•"/>
      <w:lvlJc w:val="left"/>
      <w:pPr>
        <w:ind w:left="7038" w:hanging="229"/>
      </w:pPr>
      <w:rPr>
        <w:rFonts w:hint="default"/>
      </w:rPr>
    </w:lvl>
    <w:lvl w:ilvl="8">
      <w:start w:val="0"/>
      <w:numFmt w:val="bullet"/>
      <w:lvlText w:val="•"/>
      <w:lvlJc w:val="left"/>
      <w:pPr>
        <w:ind w:left="7892" w:hanging="229"/>
      </w:pPr>
      <w:rPr>
        <w:rFonts w:hint="default"/>
      </w:rPr>
    </w:lvl>
  </w:abstractNum>
  <w:abstractNum w:abstractNumId="47">
    <w:multiLevelType w:val="hybridMultilevel"/>
    <w:lvl w:ilvl="0">
      <w:start w:val="1"/>
      <w:numFmt w:val="decimal"/>
      <w:lvlText w:val="%1."/>
      <w:lvlJc w:val="left"/>
      <w:pPr>
        <w:ind w:left="1060" w:hanging="221"/>
        <w:jc w:val="left"/>
      </w:pPr>
      <w:rPr>
        <w:rFonts w:hint="default" w:ascii="Times New Roman" w:hAnsi="Times New Roman" w:eastAsia="Times New Roman" w:cs="Times New Roman"/>
        <w:w w:val="100"/>
        <w:sz w:val="22"/>
        <w:szCs w:val="22"/>
      </w:rPr>
    </w:lvl>
    <w:lvl w:ilvl="1">
      <w:start w:val="0"/>
      <w:numFmt w:val="bullet"/>
      <w:lvlText w:val="•"/>
      <w:lvlJc w:val="left"/>
      <w:pPr>
        <w:ind w:left="1914" w:hanging="221"/>
      </w:pPr>
      <w:rPr>
        <w:rFonts w:hint="default"/>
      </w:rPr>
    </w:lvl>
    <w:lvl w:ilvl="2">
      <w:start w:val="0"/>
      <w:numFmt w:val="bullet"/>
      <w:lvlText w:val="•"/>
      <w:lvlJc w:val="left"/>
      <w:pPr>
        <w:ind w:left="2768" w:hanging="221"/>
      </w:pPr>
      <w:rPr>
        <w:rFonts w:hint="default"/>
      </w:rPr>
    </w:lvl>
    <w:lvl w:ilvl="3">
      <w:start w:val="0"/>
      <w:numFmt w:val="bullet"/>
      <w:lvlText w:val="•"/>
      <w:lvlJc w:val="left"/>
      <w:pPr>
        <w:ind w:left="3622" w:hanging="221"/>
      </w:pPr>
      <w:rPr>
        <w:rFonts w:hint="default"/>
      </w:rPr>
    </w:lvl>
    <w:lvl w:ilvl="4">
      <w:start w:val="0"/>
      <w:numFmt w:val="bullet"/>
      <w:lvlText w:val="•"/>
      <w:lvlJc w:val="left"/>
      <w:pPr>
        <w:ind w:left="4476" w:hanging="221"/>
      </w:pPr>
      <w:rPr>
        <w:rFonts w:hint="default"/>
      </w:rPr>
    </w:lvl>
    <w:lvl w:ilvl="5">
      <w:start w:val="0"/>
      <w:numFmt w:val="bullet"/>
      <w:lvlText w:val="•"/>
      <w:lvlJc w:val="left"/>
      <w:pPr>
        <w:ind w:left="5330" w:hanging="221"/>
      </w:pPr>
      <w:rPr>
        <w:rFonts w:hint="default"/>
      </w:rPr>
    </w:lvl>
    <w:lvl w:ilvl="6">
      <w:start w:val="0"/>
      <w:numFmt w:val="bullet"/>
      <w:lvlText w:val="•"/>
      <w:lvlJc w:val="left"/>
      <w:pPr>
        <w:ind w:left="6184" w:hanging="221"/>
      </w:pPr>
      <w:rPr>
        <w:rFonts w:hint="default"/>
      </w:rPr>
    </w:lvl>
    <w:lvl w:ilvl="7">
      <w:start w:val="0"/>
      <w:numFmt w:val="bullet"/>
      <w:lvlText w:val="•"/>
      <w:lvlJc w:val="left"/>
      <w:pPr>
        <w:ind w:left="7038" w:hanging="221"/>
      </w:pPr>
      <w:rPr>
        <w:rFonts w:hint="default"/>
      </w:rPr>
    </w:lvl>
    <w:lvl w:ilvl="8">
      <w:start w:val="0"/>
      <w:numFmt w:val="bullet"/>
      <w:lvlText w:val="•"/>
      <w:lvlJc w:val="left"/>
      <w:pPr>
        <w:ind w:left="7892" w:hanging="221"/>
      </w:pPr>
      <w:rPr>
        <w:rFonts w:hint="default"/>
      </w:rPr>
    </w:lvl>
  </w:abstractNum>
  <w:abstractNum w:abstractNumId="46">
    <w:multiLevelType w:val="hybridMultilevel"/>
    <w:lvl w:ilvl="0">
      <w:start w:val="1"/>
      <w:numFmt w:val="lowerLetter"/>
      <w:lvlText w:val="%1)"/>
      <w:lvlJc w:val="left"/>
      <w:pPr>
        <w:ind w:left="1067" w:hanging="229"/>
        <w:jc w:val="left"/>
      </w:pPr>
      <w:rPr>
        <w:rFonts w:hint="default" w:ascii="Times New Roman" w:hAnsi="Times New Roman" w:eastAsia="Times New Roman" w:cs="Times New Roman"/>
        <w:w w:val="100"/>
        <w:sz w:val="22"/>
        <w:szCs w:val="22"/>
      </w:rPr>
    </w:lvl>
    <w:lvl w:ilvl="1">
      <w:start w:val="0"/>
      <w:numFmt w:val="bullet"/>
      <w:lvlText w:val="•"/>
      <w:lvlJc w:val="left"/>
      <w:pPr>
        <w:ind w:left="1914" w:hanging="229"/>
      </w:pPr>
      <w:rPr>
        <w:rFonts w:hint="default"/>
      </w:rPr>
    </w:lvl>
    <w:lvl w:ilvl="2">
      <w:start w:val="0"/>
      <w:numFmt w:val="bullet"/>
      <w:lvlText w:val="•"/>
      <w:lvlJc w:val="left"/>
      <w:pPr>
        <w:ind w:left="2768" w:hanging="229"/>
      </w:pPr>
      <w:rPr>
        <w:rFonts w:hint="default"/>
      </w:rPr>
    </w:lvl>
    <w:lvl w:ilvl="3">
      <w:start w:val="0"/>
      <w:numFmt w:val="bullet"/>
      <w:lvlText w:val="•"/>
      <w:lvlJc w:val="left"/>
      <w:pPr>
        <w:ind w:left="3622" w:hanging="229"/>
      </w:pPr>
      <w:rPr>
        <w:rFonts w:hint="default"/>
      </w:rPr>
    </w:lvl>
    <w:lvl w:ilvl="4">
      <w:start w:val="0"/>
      <w:numFmt w:val="bullet"/>
      <w:lvlText w:val="•"/>
      <w:lvlJc w:val="left"/>
      <w:pPr>
        <w:ind w:left="4476" w:hanging="229"/>
      </w:pPr>
      <w:rPr>
        <w:rFonts w:hint="default"/>
      </w:rPr>
    </w:lvl>
    <w:lvl w:ilvl="5">
      <w:start w:val="0"/>
      <w:numFmt w:val="bullet"/>
      <w:lvlText w:val="•"/>
      <w:lvlJc w:val="left"/>
      <w:pPr>
        <w:ind w:left="5330" w:hanging="229"/>
      </w:pPr>
      <w:rPr>
        <w:rFonts w:hint="default"/>
      </w:rPr>
    </w:lvl>
    <w:lvl w:ilvl="6">
      <w:start w:val="0"/>
      <w:numFmt w:val="bullet"/>
      <w:lvlText w:val="•"/>
      <w:lvlJc w:val="left"/>
      <w:pPr>
        <w:ind w:left="6184" w:hanging="229"/>
      </w:pPr>
      <w:rPr>
        <w:rFonts w:hint="default"/>
      </w:rPr>
    </w:lvl>
    <w:lvl w:ilvl="7">
      <w:start w:val="0"/>
      <w:numFmt w:val="bullet"/>
      <w:lvlText w:val="•"/>
      <w:lvlJc w:val="left"/>
      <w:pPr>
        <w:ind w:left="7038" w:hanging="229"/>
      </w:pPr>
      <w:rPr>
        <w:rFonts w:hint="default"/>
      </w:rPr>
    </w:lvl>
    <w:lvl w:ilvl="8">
      <w:start w:val="0"/>
      <w:numFmt w:val="bullet"/>
      <w:lvlText w:val="•"/>
      <w:lvlJc w:val="left"/>
      <w:pPr>
        <w:ind w:left="7892" w:hanging="229"/>
      </w:pPr>
      <w:rPr>
        <w:rFonts w:hint="default"/>
      </w:rPr>
    </w:lvl>
  </w:abstractNum>
  <w:abstractNum w:abstractNumId="45">
    <w:multiLevelType w:val="hybridMultilevel"/>
    <w:lvl w:ilvl="0">
      <w:start w:val="1"/>
      <w:numFmt w:val="decimal"/>
      <w:lvlText w:val="%1."/>
      <w:lvlJc w:val="left"/>
      <w:pPr>
        <w:ind w:left="1060" w:hanging="221"/>
        <w:jc w:val="left"/>
      </w:pPr>
      <w:rPr>
        <w:rFonts w:hint="default" w:ascii="Times New Roman" w:hAnsi="Times New Roman" w:eastAsia="Times New Roman" w:cs="Times New Roman"/>
        <w:w w:val="100"/>
        <w:sz w:val="22"/>
        <w:szCs w:val="22"/>
      </w:rPr>
    </w:lvl>
    <w:lvl w:ilvl="1">
      <w:start w:val="0"/>
      <w:numFmt w:val="bullet"/>
      <w:lvlText w:val="•"/>
      <w:lvlJc w:val="left"/>
      <w:pPr>
        <w:ind w:left="1914" w:hanging="221"/>
      </w:pPr>
      <w:rPr>
        <w:rFonts w:hint="default"/>
      </w:rPr>
    </w:lvl>
    <w:lvl w:ilvl="2">
      <w:start w:val="0"/>
      <w:numFmt w:val="bullet"/>
      <w:lvlText w:val="•"/>
      <w:lvlJc w:val="left"/>
      <w:pPr>
        <w:ind w:left="2768" w:hanging="221"/>
      </w:pPr>
      <w:rPr>
        <w:rFonts w:hint="default"/>
      </w:rPr>
    </w:lvl>
    <w:lvl w:ilvl="3">
      <w:start w:val="0"/>
      <w:numFmt w:val="bullet"/>
      <w:lvlText w:val="•"/>
      <w:lvlJc w:val="left"/>
      <w:pPr>
        <w:ind w:left="3622" w:hanging="221"/>
      </w:pPr>
      <w:rPr>
        <w:rFonts w:hint="default"/>
      </w:rPr>
    </w:lvl>
    <w:lvl w:ilvl="4">
      <w:start w:val="0"/>
      <w:numFmt w:val="bullet"/>
      <w:lvlText w:val="•"/>
      <w:lvlJc w:val="left"/>
      <w:pPr>
        <w:ind w:left="4476" w:hanging="221"/>
      </w:pPr>
      <w:rPr>
        <w:rFonts w:hint="default"/>
      </w:rPr>
    </w:lvl>
    <w:lvl w:ilvl="5">
      <w:start w:val="0"/>
      <w:numFmt w:val="bullet"/>
      <w:lvlText w:val="•"/>
      <w:lvlJc w:val="left"/>
      <w:pPr>
        <w:ind w:left="5330" w:hanging="221"/>
      </w:pPr>
      <w:rPr>
        <w:rFonts w:hint="default"/>
      </w:rPr>
    </w:lvl>
    <w:lvl w:ilvl="6">
      <w:start w:val="0"/>
      <w:numFmt w:val="bullet"/>
      <w:lvlText w:val="•"/>
      <w:lvlJc w:val="left"/>
      <w:pPr>
        <w:ind w:left="6184" w:hanging="221"/>
      </w:pPr>
      <w:rPr>
        <w:rFonts w:hint="default"/>
      </w:rPr>
    </w:lvl>
    <w:lvl w:ilvl="7">
      <w:start w:val="0"/>
      <w:numFmt w:val="bullet"/>
      <w:lvlText w:val="•"/>
      <w:lvlJc w:val="left"/>
      <w:pPr>
        <w:ind w:left="7038" w:hanging="221"/>
      </w:pPr>
      <w:rPr>
        <w:rFonts w:hint="default"/>
      </w:rPr>
    </w:lvl>
    <w:lvl w:ilvl="8">
      <w:start w:val="0"/>
      <w:numFmt w:val="bullet"/>
      <w:lvlText w:val="•"/>
      <w:lvlJc w:val="left"/>
      <w:pPr>
        <w:ind w:left="7892" w:hanging="221"/>
      </w:pPr>
      <w:rPr>
        <w:rFonts w:hint="default"/>
      </w:rPr>
    </w:lvl>
  </w:abstractNum>
  <w:abstractNum w:abstractNumId="44">
    <w:multiLevelType w:val="hybridMultilevel"/>
    <w:lvl w:ilvl="0">
      <w:start w:val="1"/>
      <w:numFmt w:val="decimal"/>
      <w:lvlText w:val="%1."/>
      <w:lvlJc w:val="left"/>
      <w:pPr>
        <w:ind w:left="119" w:hanging="308"/>
        <w:jc w:val="left"/>
      </w:pPr>
      <w:rPr>
        <w:rFonts w:hint="default" w:ascii="Times New Roman" w:hAnsi="Times New Roman" w:eastAsia="Times New Roman" w:cs="Times New Roman"/>
        <w:w w:val="100"/>
        <w:sz w:val="22"/>
        <w:szCs w:val="22"/>
      </w:rPr>
    </w:lvl>
    <w:lvl w:ilvl="1">
      <w:start w:val="0"/>
      <w:numFmt w:val="bullet"/>
      <w:lvlText w:val="•"/>
      <w:lvlJc w:val="left"/>
      <w:pPr>
        <w:ind w:left="1068" w:hanging="308"/>
      </w:pPr>
      <w:rPr>
        <w:rFonts w:hint="default"/>
      </w:rPr>
    </w:lvl>
    <w:lvl w:ilvl="2">
      <w:start w:val="0"/>
      <w:numFmt w:val="bullet"/>
      <w:lvlText w:val="•"/>
      <w:lvlJc w:val="left"/>
      <w:pPr>
        <w:ind w:left="2016" w:hanging="308"/>
      </w:pPr>
      <w:rPr>
        <w:rFonts w:hint="default"/>
      </w:rPr>
    </w:lvl>
    <w:lvl w:ilvl="3">
      <w:start w:val="0"/>
      <w:numFmt w:val="bullet"/>
      <w:lvlText w:val="•"/>
      <w:lvlJc w:val="left"/>
      <w:pPr>
        <w:ind w:left="2964" w:hanging="308"/>
      </w:pPr>
      <w:rPr>
        <w:rFonts w:hint="default"/>
      </w:rPr>
    </w:lvl>
    <w:lvl w:ilvl="4">
      <w:start w:val="0"/>
      <w:numFmt w:val="bullet"/>
      <w:lvlText w:val="•"/>
      <w:lvlJc w:val="left"/>
      <w:pPr>
        <w:ind w:left="3912" w:hanging="308"/>
      </w:pPr>
      <w:rPr>
        <w:rFonts w:hint="default"/>
      </w:rPr>
    </w:lvl>
    <w:lvl w:ilvl="5">
      <w:start w:val="0"/>
      <w:numFmt w:val="bullet"/>
      <w:lvlText w:val="•"/>
      <w:lvlJc w:val="left"/>
      <w:pPr>
        <w:ind w:left="4860" w:hanging="308"/>
      </w:pPr>
      <w:rPr>
        <w:rFonts w:hint="default"/>
      </w:rPr>
    </w:lvl>
    <w:lvl w:ilvl="6">
      <w:start w:val="0"/>
      <w:numFmt w:val="bullet"/>
      <w:lvlText w:val="•"/>
      <w:lvlJc w:val="left"/>
      <w:pPr>
        <w:ind w:left="5808" w:hanging="308"/>
      </w:pPr>
      <w:rPr>
        <w:rFonts w:hint="default"/>
      </w:rPr>
    </w:lvl>
    <w:lvl w:ilvl="7">
      <w:start w:val="0"/>
      <w:numFmt w:val="bullet"/>
      <w:lvlText w:val="•"/>
      <w:lvlJc w:val="left"/>
      <w:pPr>
        <w:ind w:left="6756" w:hanging="308"/>
      </w:pPr>
      <w:rPr>
        <w:rFonts w:hint="default"/>
      </w:rPr>
    </w:lvl>
    <w:lvl w:ilvl="8">
      <w:start w:val="0"/>
      <w:numFmt w:val="bullet"/>
      <w:lvlText w:val="•"/>
      <w:lvlJc w:val="left"/>
      <w:pPr>
        <w:ind w:left="7704" w:hanging="308"/>
      </w:pPr>
      <w:rPr>
        <w:rFonts w:hint="default"/>
      </w:rPr>
    </w:lvl>
  </w:abstractNum>
  <w:abstractNum w:abstractNumId="43">
    <w:multiLevelType w:val="hybridMultilevel"/>
    <w:lvl w:ilvl="0">
      <w:start w:val="1"/>
      <w:numFmt w:val="lowerRoman"/>
      <w:lvlText w:val="%1)"/>
      <w:lvlJc w:val="left"/>
      <w:pPr>
        <w:ind w:left="1032" w:hanging="193"/>
        <w:jc w:val="left"/>
      </w:pPr>
      <w:rPr>
        <w:rFonts w:hint="default" w:ascii="Times New Roman" w:hAnsi="Times New Roman" w:eastAsia="Times New Roman" w:cs="Times New Roman"/>
        <w:spacing w:val="0"/>
        <w:w w:val="100"/>
        <w:sz w:val="22"/>
        <w:szCs w:val="22"/>
      </w:rPr>
    </w:lvl>
    <w:lvl w:ilvl="1">
      <w:start w:val="0"/>
      <w:numFmt w:val="bullet"/>
      <w:lvlText w:val="•"/>
      <w:lvlJc w:val="left"/>
      <w:pPr>
        <w:ind w:left="1896" w:hanging="193"/>
      </w:pPr>
      <w:rPr>
        <w:rFonts w:hint="default"/>
      </w:rPr>
    </w:lvl>
    <w:lvl w:ilvl="2">
      <w:start w:val="0"/>
      <w:numFmt w:val="bullet"/>
      <w:lvlText w:val="•"/>
      <w:lvlJc w:val="left"/>
      <w:pPr>
        <w:ind w:left="2752" w:hanging="193"/>
      </w:pPr>
      <w:rPr>
        <w:rFonts w:hint="default"/>
      </w:rPr>
    </w:lvl>
    <w:lvl w:ilvl="3">
      <w:start w:val="0"/>
      <w:numFmt w:val="bullet"/>
      <w:lvlText w:val="•"/>
      <w:lvlJc w:val="left"/>
      <w:pPr>
        <w:ind w:left="3608" w:hanging="193"/>
      </w:pPr>
      <w:rPr>
        <w:rFonts w:hint="default"/>
      </w:rPr>
    </w:lvl>
    <w:lvl w:ilvl="4">
      <w:start w:val="0"/>
      <w:numFmt w:val="bullet"/>
      <w:lvlText w:val="•"/>
      <w:lvlJc w:val="left"/>
      <w:pPr>
        <w:ind w:left="4464" w:hanging="193"/>
      </w:pPr>
      <w:rPr>
        <w:rFonts w:hint="default"/>
      </w:rPr>
    </w:lvl>
    <w:lvl w:ilvl="5">
      <w:start w:val="0"/>
      <w:numFmt w:val="bullet"/>
      <w:lvlText w:val="•"/>
      <w:lvlJc w:val="left"/>
      <w:pPr>
        <w:ind w:left="5320" w:hanging="193"/>
      </w:pPr>
      <w:rPr>
        <w:rFonts w:hint="default"/>
      </w:rPr>
    </w:lvl>
    <w:lvl w:ilvl="6">
      <w:start w:val="0"/>
      <w:numFmt w:val="bullet"/>
      <w:lvlText w:val="•"/>
      <w:lvlJc w:val="left"/>
      <w:pPr>
        <w:ind w:left="6176" w:hanging="193"/>
      </w:pPr>
      <w:rPr>
        <w:rFonts w:hint="default"/>
      </w:rPr>
    </w:lvl>
    <w:lvl w:ilvl="7">
      <w:start w:val="0"/>
      <w:numFmt w:val="bullet"/>
      <w:lvlText w:val="•"/>
      <w:lvlJc w:val="left"/>
      <w:pPr>
        <w:ind w:left="7032" w:hanging="193"/>
      </w:pPr>
      <w:rPr>
        <w:rFonts w:hint="default"/>
      </w:rPr>
    </w:lvl>
    <w:lvl w:ilvl="8">
      <w:start w:val="0"/>
      <w:numFmt w:val="bullet"/>
      <w:lvlText w:val="•"/>
      <w:lvlJc w:val="left"/>
      <w:pPr>
        <w:ind w:left="7888" w:hanging="193"/>
      </w:pPr>
      <w:rPr>
        <w:rFonts w:hint="default"/>
      </w:rPr>
    </w:lvl>
  </w:abstractNum>
  <w:abstractNum w:abstractNumId="42">
    <w:multiLevelType w:val="hybridMultilevel"/>
    <w:lvl w:ilvl="0">
      <w:start w:val="1"/>
      <w:numFmt w:val="lowerLetter"/>
      <w:lvlText w:val="%1)"/>
      <w:lvlJc w:val="left"/>
      <w:pPr>
        <w:ind w:left="303" w:hanging="255"/>
        <w:jc w:val="right"/>
      </w:pPr>
      <w:rPr>
        <w:rFonts w:hint="default" w:ascii="Times New Roman" w:hAnsi="Times New Roman" w:eastAsia="Times New Roman" w:cs="Times New Roman"/>
        <w:w w:val="100"/>
        <w:sz w:val="22"/>
        <w:szCs w:val="22"/>
      </w:rPr>
    </w:lvl>
    <w:lvl w:ilvl="1">
      <w:start w:val="0"/>
      <w:numFmt w:val="bullet"/>
      <w:lvlText w:val="•"/>
      <w:lvlJc w:val="left"/>
      <w:pPr>
        <w:ind w:left="1150" w:hanging="255"/>
      </w:pPr>
      <w:rPr>
        <w:rFonts w:hint="default"/>
      </w:rPr>
    </w:lvl>
    <w:lvl w:ilvl="2">
      <w:start w:val="0"/>
      <w:numFmt w:val="bullet"/>
      <w:lvlText w:val="•"/>
      <w:lvlJc w:val="left"/>
      <w:pPr>
        <w:ind w:left="2001" w:hanging="255"/>
      </w:pPr>
      <w:rPr>
        <w:rFonts w:hint="default"/>
      </w:rPr>
    </w:lvl>
    <w:lvl w:ilvl="3">
      <w:start w:val="0"/>
      <w:numFmt w:val="bullet"/>
      <w:lvlText w:val="•"/>
      <w:lvlJc w:val="left"/>
      <w:pPr>
        <w:ind w:left="2852" w:hanging="255"/>
      </w:pPr>
      <w:rPr>
        <w:rFonts w:hint="default"/>
      </w:rPr>
    </w:lvl>
    <w:lvl w:ilvl="4">
      <w:start w:val="0"/>
      <w:numFmt w:val="bullet"/>
      <w:lvlText w:val="•"/>
      <w:lvlJc w:val="left"/>
      <w:pPr>
        <w:ind w:left="3703" w:hanging="255"/>
      </w:pPr>
      <w:rPr>
        <w:rFonts w:hint="default"/>
      </w:rPr>
    </w:lvl>
    <w:lvl w:ilvl="5">
      <w:start w:val="0"/>
      <w:numFmt w:val="bullet"/>
      <w:lvlText w:val="•"/>
      <w:lvlJc w:val="left"/>
      <w:pPr>
        <w:ind w:left="4554" w:hanging="255"/>
      </w:pPr>
      <w:rPr>
        <w:rFonts w:hint="default"/>
      </w:rPr>
    </w:lvl>
    <w:lvl w:ilvl="6">
      <w:start w:val="0"/>
      <w:numFmt w:val="bullet"/>
      <w:lvlText w:val="•"/>
      <w:lvlJc w:val="left"/>
      <w:pPr>
        <w:ind w:left="5405" w:hanging="255"/>
      </w:pPr>
      <w:rPr>
        <w:rFonts w:hint="default"/>
      </w:rPr>
    </w:lvl>
    <w:lvl w:ilvl="7">
      <w:start w:val="0"/>
      <w:numFmt w:val="bullet"/>
      <w:lvlText w:val="•"/>
      <w:lvlJc w:val="left"/>
      <w:pPr>
        <w:ind w:left="6256" w:hanging="255"/>
      </w:pPr>
      <w:rPr>
        <w:rFonts w:hint="default"/>
      </w:rPr>
    </w:lvl>
    <w:lvl w:ilvl="8">
      <w:start w:val="0"/>
      <w:numFmt w:val="bullet"/>
      <w:lvlText w:val="•"/>
      <w:lvlJc w:val="left"/>
      <w:pPr>
        <w:ind w:left="7107" w:hanging="255"/>
      </w:pPr>
      <w:rPr>
        <w:rFonts w:hint="default"/>
      </w:rPr>
    </w:lvl>
  </w:abstractNum>
  <w:abstractNum w:abstractNumId="41">
    <w:multiLevelType w:val="hybridMultilevel"/>
    <w:lvl w:ilvl="0">
      <w:start w:val="1"/>
      <w:numFmt w:val="decimal"/>
      <w:lvlText w:val="%1."/>
      <w:lvlJc w:val="left"/>
      <w:pPr>
        <w:ind w:left="272" w:hanging="224"/>
        <w:jc w:val="right"/>
      </w:pPr>
      <w:rPr>
        <w:rFonts w:hint="default" w:ascii="Times New Roman" w:hAnsi="Times New Roman" w:eastAsia="Times New Roman" w:cs="Times New Roman"/>
        <w:w w:val="100"/>
        <w:sz w:val="22"/>
        <w:szCs w:val="22"/>
      </w:rPr>
    </w:lvl>
    <w:lvl w:ilvl="1">
      <w:start w:val="0"/>
      <w:numFmt w:val="bullet"/>
      <w:lvlText w:val="•"/>
      <w:lvlJc w:val="left"/>
      <w:pPr>
        <w:ind w:left="1132" w:hanging="224"/>
      </w:pPr>
      <w:rPr>
        <w:rFonts w:hint="default"/>
      </w:rPr>
    </w:lvl>
    <w:lvl w:ilvl="2">
      <w:start w:val="0"/>
      <w:numFmt w:val="bullet"/>
      <w:lvlText w:val="•"/>
      <w:lvlJc w:val="left"/>
      <w:pPr>
        <w:ind w:left="1985" w:hanging="224"/>
      </w:pPr>
      <w:rPr>
        <w:rFonts w:hint="default"/>
      </w:rPr>
    </w:lvl>
    <w:lvl w:ilvl="3">
      <w:start w:val="0"/>
      <w:numFmt w:val="bullet"/>
      <w:lvlText w:val="•"/>
      <w:lvlJc w:val="left"/>
      <w:pPr>
        <w:ind w:left="2838" w:hanging="224"/>
      </w:pPr>
      <w:rPr>
        <w:rFonts w:hint="default"/>
      </w:rPr>
    </w:lvl>
    <w:lvl w:ilvl="4">
      <w:start w:val="0"/>
      <w:numFmt w:val="bullet"/>
      <w:lvlText w:val="•"/>
      <w:lvlJc w:val="left"/>
      <w:pPr>
        <w:ind w:left="3691" w:hanging="224"/>
      </w:pPr>
      <w:rPr>
        <w:rFonts w:hint="default"/>
      </w:rPr>
    </w:lvl>
    <w:lvl w:ilvl="5">
      <w:start w:val="0"/>
      <w:numFmt w:val="bullet"/>
      <w:lvlText w:val="•"/>
      <w:lvlJc w:val="left"/>
      <w:pPr>
        <w:ind w:left="4544" w:hanging="224"/>
      </w:pPr>
      <w:rPr>
        <w:rFonts w:hint="default"/>
      </w:rPr>
    </w:lvl>
    <w:lvl w:ilvl="6">
      <w:start w:val="0"/>
      <w:numFmt w:val="bullet"/>
      <w:lvlText w:val="•"/>
      <w:lvlJc w:val="left"/>
      <w:pPr>
        <w:ind w:left="5397" w:hanging="224"/>
      </w:pPr>
      <w:rPr>
        <w:rFonts w:hint="default"/>
      </w:rPr>
    </w:lvl>
    <w:lvl w:ilvl="7">
      <w:start w:val="0"/>
      <w:numFmt w:val="bullet"/>
      <w:lvlText w:val="•"/>
      <w:lvlJc w:val="left"/>
      <w:pPr>
        <w:ind w:left="6250" w:hanging="224"/>
      </w:pPr>
      <w:rPr>
        <w:rFonts w:hint="default"/>
      </w:rPr>
    </w:lvl>
    <w:lvl w:ilvl="8">
      <w:start w:val="0"/>
      <w:numFmt w:val="bullet"/>
      <w:lvlText w:val="•"/>
      <w:lvlJc w:val="left"/>
      <w:pPr>
        <w:ind w:left="7103" w:hanging="224"/>
      </w:pPr>
      <w:rPr>
        <w:rFonts w:hint="default"/>
      </w:rPr>
    </w:lvl>
  </w:abstractNum>
  <w:abstractNum w:abstractNumId="40">
    <w:multiLevelType w:val="hybridMultilevel"/>
    <w:lvl w:ilvl="0">
      <w:start w:val="1"/>
      <w:numFmt w:val="lowerLetter"/>
      <w:lvlText w:val="%1)"/>
      <w:lvlJc w:val="left"/>
      <w:pPr>
        <w:ind w:left="119" w:hanging="301"/>
        <w:jc w:val="left"/>
      </w:pPr>
      <w:rPr>
        <w:rFonts w:hint="default" w:ascii="Times New Roman" w:hAnsi="Times New Roman" w:eastAsia="Times New Roman" w:cs="Times New Roman"/>
        <w:w w:val="100"/>
        <w:sz w:val="22"/>
        <w:szCs w:val="22"/>
      </w:rPr>
    </w:lvl>
    <w:lvl w:ilvl="1">
      <w:start w:val="0"/>
      <w:numFmt w:val="bullet"/>
      <w:lvlText w:val="•"/>
      <w:lvlJc w:val="left"/>
      <w:pPr>
        <w:ind w:left="1068" w:hanging="301"/>
      </w:pPr>
      <w:rPr>
        <w:rFonts w:hint="default"/>
      </w:rPr>
    </w:lvl>
    <w:lvl w:ilvl="2">
      <w:start w:val="0"/>
      <w:numFmt w:val="bullet"/>
      <w:lvlText w:val="•"/>
      <w:lvlJc w:val="left"/>
      <w:pPr>
        <w:ind w:left="2016" w:hanging="301"/>
      </w:pPr>
      <w:rPr>
        <w:rFonts w:hint="default"/>
      </w:rPr>
    </w:lvl>
    <w:lvl w:ilvl="3">
      <w:start w:val="0"/>
      <w:numFmt w:val="bullet"/>
      <w:lvlText w:val="•"/>
      <w:lvlJc w:val="left"/>
      <w:pPr>
        <w:ind w:left="2964" w:hanging="301"/>
      </w:pPr>
      <w:rPr>
        <w:rFonts w:hint="default"/>
      </w:rPr>
    </w:lvl>
    <w:lvl w:ilvl="4">
      <w:start w:val="0"/>
      <w:numFmt w:val="bullet"/>
      <w:lvlText w:val="•"/>
      <w:lvlJc w:val="left"/>
      <w:pPr>
        <w:ind w:left="3912" w:hanging="301"/>
      </w:pPr>
      <w:rPr>
        <w:rFonts w:hint="default"/>
      </w:rPr>
    </w:lvl>
    <w:lvl w:ilvl="5">
      <w:start w:val="0"/>
      <w:numFmt w:val="bullet"/>
      <w:lvlText w:val="•"/>
      <w:lvlJc w:val="left"/>
      <w:pPr>
        <w:ind w:left="4860" w:hanging="301"/>
      </w:pPr>
      <w:rPr>
        <w:rFonts w:hint="default"/>
      </w:rPr>
    </w:lvl>
    <w:lvl w:ilvl="6">
      <w:start w:val="0"/>
      <w:numFmt w:val="bullet"/>
      <w:lvlText w:val="•"/>
      <w:lvlJc w:val="left"/>
      <w:pPr>
        <w:ind w:left="5808" w:hanging="301"/>
      </w:pPr>
      <w:rPr>
        <w:rFonts w:hint="default"/>
      </w:rPr>
    </w:lvl>
    <w:lvl w:ilvl="7">
      <w:start w:val="0"/>
      <w:numFmt w:val="bullet"/>
      <w:lvlText w:val="•"/>
      <w:lvlJc w:val="left"/>
      <w:pPr>
        <w:ind w:left="6756" w:hanging="301"/>
      </w:pPr>
      <w:rPr>
        <w:rFonts w:hint="default"/>
      </w:rPr>
    </w:lvl>
    <w:lvl w:ilvl="8">
      <w:start w:val="0"/>
      <w:numFmt w:val="bullet"/>
      <w:lvlText w:val="•"/>
      <w:lvlJc w:val="left"/>
      <w:pPr>
        <w:ind w:left="7704" w:hanging="301"/>
      </w:pPr>
      <w:rPr>
        <w:rFonts w:hint="default"/>
      </w:rPr>
    </w:lvl>
  </w:abstractNum>
  <w:abstractNum w:abstractNumId="39">
    <w:multiLevelType w:val="hybridMultilevel"/>
    <w:lvl w:ilvl="0">
      <w:start w:val="1"/>
      <w:numFmt w:val="decimal"/>
      <w:lvlText w:val="%1."/>
      <w:lvlJc w:val="left"/>
      <w:pPr>
        <w:ind w:left="119" w:hanging="224"/>
        <w:jc w:val="left"/>
      </w:pPr>
      <w:rPr>
        <w:rFonts w:hint="default" w:ascii="Times New Roman" w:hAnsi="Times New Roman" w:eastAsia="Times New Roman" w:cs="Times New Roman"/>
        <w:w w:val="100"/>
        <w:sz w:val="22"/>
        <w:szCs w:val="22"/>
      </w:rPr>
    </w:lvl>
    <w:lvl w:ilvl="1">
      <w:start w:val="0"/>
      <w:numFmt w:val="bullet"/>
      <w:lvlText w:val="•"/>
      <w:lvlJc w:val="left"/>
      <w:pPr>
        <w:ind w:left="1068" w:hanging="224"/>
      </w:pPr>
      <w:rPr>
        <w:rFonts w:hint="default"/>
      </w:rPr>
    </w:lvl>
    <w:lvl w:ilvl="2">
      <w:start w:val="0"/>
      <w:numFmt w:val="bullet"/>
      <w:lvlText w:val="•"/>
      <w:lvlJc w:val="left"/>
      <w:pPr>
        <w:ind w:left="2016" w:hanging="224"/>
      </w:pPr>
      <w:rPr>
        <w:rFonts w:hint="default"/>
      </w:rPr>
    </w:lvl>
    <w:lvl w:ilvl="3">
      <w:start w:val="0"/>
      <w:numFmt w:val="bullet"/>
      <w:lvlText w:val="•"/>
      <w:lvlJc w:val="left"/>
      <w:pPr>
        <w:ind w:left="2964" w:hanging="224"/>
      </w:pPr>
      <w:rPr>
        <w:rFonts w:hint="default"/>
      </w:rPr>
    </w:lvl>
    <w:lvl w:ilvl="4">
      <w:start w:val="0"/>
      <w:numFmt w:val="bullet"/>
      <w:lvlText w:val="•"/>
      <w:lvlJc w:val="left"/>
      <w:pPr>
        <w:ind w:left="3912" w:hanging="224"/>
      </w:pPr>
      <w:rPr>
        <w:rFonts w:hint="default"/>
      </w:rPr>
    </w:lvl>
    <w:lvl w:ilvl="5">
      <w:start w:val="0"/>
      <w:numFmt w:val="bullet"/>
      <w:lvlText w:val="•"/>
      <w:lvlJc w:val="left"/>
      <w:pPr>
        <w:ind w:left="4860" w:hanging="224"/>
      </w:pPr>
      <w:rPr>
        <w:rFonts w:hint="default"/>
      </w:rPr>
    </w:lvl>
    <w:lvl w:ilvl="6">
      <w:start w:val="0"/>
      <w:numFmt w:val="bullet"/>
      <w:lvlText w:val="•"/>
      <w:lvlJc w:val="left"/>
      <w:pPr>
        <w:ind w:left="5808" w:hanging="224"/>
      </w:pPr>
      <w:rPr>
        <w:rFonts w:hint="default"/>
      </w:rPr>
    </w:lvl>
    <w:lvl w:ilvl="7">
      <w:start w:val="0"/>
      <w:numFmt w:val="bullet"/>
      <w:lvlText w:val="•"/>
      <w:lvlJc w:val="left"/>
      <w:pPr>
        <w:ind w:left="6756" w:hanging="224"/>
      </w:pPr>
      <w:rPr>
        <w:rFonts w:hint="default"/>
      </w:rPr>
    </w:lvl>
    <w:lvl w:ilvl="8">
      <w:start w:val="0"/>
      <w:numFmt w:val="bullet"/>
      <w:lvlText w:val="•"/>
      <w:lvlJc w:val="left"/>
      <w:pPr>
        <w:ind w:left="7704" w:hanging="224"/>
      </w:pPr>
      <w:rPr>
        <w:rFonts w:hint="default"/>
      </w:rPr>
    </w:lvl>
  </w:abstractNum>
  <w:abstractNum w:abstractNumId="38">
    <w:multiLevelType w:val="hybridMultilevel"/>
    <w:lvl w:ilvl="0">
      <w:start w:val="1"/>
      <w:numFmt w:val="lowerLetter"/>
      <w:lvlText w:val="%1)"/>
      <w:lvlJc w:val="left"/>
      <w:pPr>
        <w:ind w:left="120" w:hanging="305"/>
        <w:jc w:val="left"/>
      </w:pPr>
      <w:rPr>
        <w:rFonts w:hint="default" w:ascii="Times New Roman" w:hAnsi="Times New Roman" w:eastAsia="Times New Roman" w:cs="Times New Roman"/>
        <w:w w:val="100"/>
        <w:sz w:val="22"/>
        <w:szCs w:val="22"/>
      </w:rPr>
    </w:lvl>
    <w:lvl w:ilvl="1">
      <w:start w:val="0"/>
      <w:numFmt w:val="bullet"/>
      <w:lvlText w:val="•"/>
      <w:lvlJc w:val="left"/>
      <w:pPr>
        <w:ind w:left="1068" w:hanging="305"/>
      </w:pPr>
      <w:rPr>
        <w:rFonts w:hint="default"/>
      </w:rPr>
    </w:lvl>
    <w:lvl w:ilvl="2">
      <w:start w:val="0"/>
      <w:numFmt w:val="bullet"/>
      <w:lvlText w:val="•"/>
      <w:lvlJc w:val="left"/>
      <w:pPr>
        <w:ind w:left="2016" w:hanging="305"/>
      </w:pPr>
      <w:rPr>
        <w:rFonts w:hint="default"/>
      </w:rPr>
    </w:lvl>
    <w:lvl w:ilvl="3">
      <w:start w:val="0"/>
      <w:numFmt w:val="bullet"/>
      <w:lvlText w:val="•"/>
      <w:lvlJc w:val="left"/>
      <w:pPr>
        <w:ind w:left="2964" w:hanging="305"/>
      </w:pPr>
      <w:rPr>
        <w:rFonts w:hint="default"/>
      </w:rPr>
    </w:lvl>
    <w:lvl w:ilvl="4">
      <w:start w:val="0"/>
      <w:numFmt w:val="bullet"/>
      <w:lvlText w:val="•"/>
      <w:lvlJc w:val="left"/>
      <w:pPr>
        <w:ind w:left="3912" w:hanging="305"/>
      </w:pPr>
      <w:rPr>
        <w:rFonts w:hint="default"/>
      </w:rPr>
    </w:lvl>
    <w:lvl w:ilvl="5">
      <w:start w:val="0"/>
      <w:numFmt w:val="bullet"/>
      <w:lvlText w:val="•"/>
      <w:lvlJc w:val="left"/>
      <w:pPr>
        <w:ind w:left="4860" w:hanging="305"/>
      </w:pPr>
      <w:rPr>
        <w:rFonts w:hint="default"/>
      </w:rPr>
    </w:lvl>
    <w:lvl w:ilvl="6">
      <w:start w:val="0"/>
      <w:numFmt w:val="bullet"/>
      <w:lvlText w:val="•"/>
      <w:lvlJc w:val="left"/>
      <w:pPr>
        <w:ind w:left="5808" w:hanging="305"/>
      </w:pPr>
      <w:rPr>
        <w:rFonts w:hint="default"/>
      </w:rPr>
    </w:lvl>
    <w:lvl w:ilvl="7">
      <w:start w:val="0"/>
      <w:numFmt w:val="bullet"/>
      <w:lvlText w:val="•"/>
      <w:lvlJc w:val="left"/>
      <w:pPr>
        <w:ind w:left="6756" w:hanging="305"/>
      </w:pPr>
      <w:rPr>
        <w:rFonts w:hint="default"/>
      </w:rPr>
    </w:lvl>
    <w:lvl w:ilvl="8">
      <w:start w:val="0"/>
      <w:numFmt w:val="bullet"/>
      <w:lvlText w:val="•"/>
      <w:lvlJc w:val="left"/>
      <w:pPr>
        <w:ind w:left="7704" w:hanging="305"/>
      </w:pPr>
      <w:rPr>
        <w:rFonts w:hint="default"/>
      </w:rPr>
    </w:lvl>
  </w:abstractNum>
  <w:abstractNum w:abstractNumId="37">
    <w:multiLevelType w:val="hybridMultilevel"/>
    <w:lvl w:ilvl="0">
      <w:start w:val="1"/>
      <w:numFmt w:val="lowerLetter"/>
      <w:lvlText w:val="%1)"/>
      <w:lvlJc w:val="left"/>
      <w:pPr>
        <w:ind w:left="120" w:hanging="238"/>
        <w:jc w:val="left"/>
      </w:pPr>
      <w:rPr>
        <w:rFonts w:hint="default" w:ascii="Times New Roman" w:hAnsi="Times New Roman" w:eastAsia="Times New Roman" w:cs="Times New Roman"/>
        <w:w w:val="100"/>
        <w:sz w:val="22"/>
        <w:szCs w:val="22"/>
      </w:rPr>
    </w:lvl>
    <w:lvl w:ilvl="1">
      <w:start w:val="0"/>
      <w:numFmt w:val="bullet"/>
      <w:lvlText w:val="•"/>
      <w:lvlJc w:val="left"/>
      <w:pPr>
        <w:ind w:left="1068" w:hanging="238"/>
      </w:pPr>
      <w:rPr>
        <w:rFonts w:hint="default"/>
      </w:rPr>
    </w:lvl>
    <w:lvl w:ilvl="2">
      <w:start w:val="0"/>
      <w:numFmt w:val="bullet"/>
      <w:lvlText w:val="•"/>
      <w:lvlJc w:val="left"/>
      <w:pPr>
        <w:ind w:left="2016" w:hanging="238"/>
      </w:pPr>
      <w:rPr>
        <w:rFonts w:hint="default"/>
      </w:rPr>
    </w:lvl>
    <w:lvl w:ilvl="3">
      <w:start w:val="0"/>
      <w:numFmt w:val="bullet"/>
      <w:lvlText w:val="•"/>
      <w:lvlJc w:val="left"/>
      <w:pPr>
        <w:ind w:left="2964" w:hanging="238"/>
      </w:pPr>
      <w:rPr>
        <w:rFonts w:hint="default"/>
      </w:rPr>
    </w:lvl>
    <w:lvl w:ilvl="4">
      <w:start w:val="0"/>
      <w:numFmt w:val="bullet"/>
      <w:lvlText w:val="•"/>
      <w:lvlJc w:val="left"/>
      <w:pPr>
        <w:ind w:left="3912" w:hanging="238"/>
      </w:pPr>
      <w:rPr>
        <w:rFonts w:hint="default"/>
      </w:rPr>
    </w:lvl>
    <w:lvl w:ilvl="5">
      <w:start w:val="0"/>
      <w:numFmt w:val="bullet"/>
      <w:lvlText w:val="•"/>
      <w:lvlJc w:val="left"/>
      <w:pPr>
        <w:ind w:left="4860" w:hanging="238"/>
      </w:pPr>
      <w:rPr>
        <w:rFonts w:hint="default"/>
      </w:rPr>
    </w:lvl>
    <w:lvl w:ilvl="6">
      <w:start w:val="0"/>
      <w:numFmt w:val="bullet"/>
      <w:lvlText w:val="•"/>
      <w:lvlJc w:val="left"/>
      <w:pPr>
        <w:ind w:left="5808" w:hanging="238"/>
      </w:pPr>
      <w:rPr>
        <w:rFonts w:hint="default"/>
      </w:rPr>
    </w:lvl>
    <w:lvl w:ilvl="7">
      <w:start w:val="0"/>
      <w:numFmt w:val="bullet"/>
      <w:lvlText w:val="•"/>
      <w:lvlJc w:val="left"/>
      <w:pPr>
        <w:ind w:left="6756" w:hanging="238"/>
      </w:pPr>
      <w:rPr>
        <w:rFonts w:hint="default"/>
      </w:rPr>
    </w:lvl>
    <w:lvl w:ilvl="8">
      <w:start w:val="0"/>
      <w:numFmt w:val="bullet"/>
      <w:lvlText w:val="•"/>
      <w:lvlJc w:val="left"/>
      <w:pPr>
        <w:ind w:left="7704" w:hanging="238"/>
      </w:pPr>
      <w:rPr>
        <w:rFonts w:hint="default"/>
      </w:rPr>
    </w:lvl>
  </w:abstractNum>
  <w:abstractNum w:abstractNumId="36">
    <w:multiLevelType w:val="hybridMultilevel"/>
    <w:lvl w:ilvl="0">
      <w:start w:val="1"/>
      <w:numFmt w:val="decimal"/>
      <w:lvlText w:val="%1."/>
      <w:lvlJc w:val="left"/>
      <w:pPr>
        <w:ind w:left="1061" w:hanging="221"/>
        <w:jc w:val="left"/>
      </w:pPr>
      <w:rPr>
        <w:rFonts w:hint="default" w:ascii="Times New Roman" w:hAnsi="Times New Roman" w:eastAsia="Times New Roman" w:cs="Times New Roman"/>
        <w:w w:val="100"/>
        <w:sz w:val="22"/>
        <w:szCs w:val="22"/>
      </w:rPr>
    </w:lvl>
    <w:lvl w:ilvl="1">
      <w:start w:val="0"/>
      <w:numFmt w:val="bullet"/>
      <w:lvlText w:val="•"/>
      <w:lvlJc w:val="left"/>
      <w:pPr>
        <w:ind w:left="1914" w:hanging="221"/>
      </w:pPr>
      <w:rPr>
        <w:rFonts w:hint="default"/>
      </w:rPr>
    </w:lvl>
    <w:lvl w:ilvl="2">
      <w:start w:val="0"/>
      <w:numFmt w:val="bullet"/>
      <w:lvlText w:val="•"/>
      <w:lvlJc w:val="left"/>
      <w:pPr>
        <w:ind w:left="2768" w:hanging="221"/>
      </w:pPr>
      <w:rPr>
        <w:rFonts w:hint="default"/>
      </w:rPr>
    </w:lvl>
    <w:lvl w:ilvl="3">
      <w:start w:val="0"/>
      <w:numFmt w:val="bullet"/>
      <w:lvlText w:val="•"/>
      <w:lvlJc w:val="left"/>
      <w:pPr>
        <w:ind w:left="3622" w:hanging="221"/>
      </w:pPr>
      <w:rPr>
        <w:rFonts w:hint="default"/>
      </w:rPr>
    </w:lvl>
    <w:lvl w:ilvl="4">
      <w:start w:val="0"/>
      <w:numFmt w:val="bullet"/>
      <w:lvlText w:val="•"/>
      <w:lvlJc w:val="left"/>
      <w:pPr>
        <w:ind w:left="4476" w:hanging="221"/>
      </w:pPr>
      <w:rPr>
        <w:rFonts w:hint="default"/>
      </w:rPr>
    </w:lvl>
    <w:lvl w:ilvl="5">
      <w:start w:val="0"/>
      <w:numFmt w:val="bullet"/>
      <w:lvlText w:val="•"/>
      <w:lvlJc w:val="left"/>
      <w:pPr>
        <w:ind w:left="5330" w:hanging="221"/>
      </w:pPr>
      <w:rPr>
        <w:rFonts w:hint="default"/>
      </w:rPr>
    </w:lvl>
    <w:lvl w:ilvl="6">
      <w:start w:val="0"/>
      <w:numFmt w:val="bullet"/>
      <w:lvlText w:val="•"/>
      <w:lvlJc w:val="left"/>
      <w:pPr>
        <w:ind w:left="6184" w:hanging="221"/>
      </w:pPr>
      <w:rPr>
        <w:rFonts w:hint="default"/>
      </w:rPr>
    </w:lvl>
    <w:lvl w:ilvl="7">
      <w:start w:val="0"/>
      <w:numFmt w:val="bullet"/>
      <w:lvlText w:val="•"/>
      <w:lvlJc w:val="left"/>
      <w:pPr>
        <w:ind w:left="7038" w:hanging="221"/>
      </w:pPr>
      <w:rPr>
        <w:rFonts w:hint="default"/>
      </w:rPr>
    </w:lvl>
    <w:lvl w:ilvl="8">
      <w:start w:val="0"/>
      <w:numFmt w:val="bullet"/>
      <w:lvlText w:val="•"/>
      <w:lvlJc w:val="left"/>
      <w:pPr>
        <w:ind w:left="7892" w:hanging="221"/>
      </w:pPr>
      <w:rPr>
        <w:rFonts w:hint="default"/>
      </w:rPr>
    </w:lvl>
  </w:abstractNum>
  <w:abstractNum w:abstractNumId="35">
    <w:multiLevelType w:val="hybridMultilevel"/>
    <w:lvl w:ilvl="0">
      <w:start w:val="1"/>
      <w:numFmt w:val="lowerLetter"/>
      <w:lvlText w:val="%1)"/>
      <w:lvlJc w:val="left"/>
      <w:pPr>
        <w:ind w:left="1065" w:hanging="226"/>
        <w:jc w:val="left"/>
      </w:pPr>
      <w:rPr>
        <w:rFonts w:hint="default" w:ascii="Times New Roman" w:hAnsi="Times New Roman" w:eastAsia="Times New Roman" w:cs="Times New Roman"/>
        <w:w w:val="100"/>
        <w:sz w:val="22"/>
        <w:szCs w:val="22"/>
      </w:rPr>
    </w:lvl>
    <w:lvl w:ilvl="1">
      <w:start w:val="0"/>
      <w:numFmt w:val="bullet"/>
      <w:lvlText w:val="•"/>
      <w:lvlJc w:val="left"/>
      <w:pPr>
        <w:ind w:left="1914" w:hanging="226"/>
      </w:pPr>
      <w:rPr>
        <w:rFonts w:hint="default"/>
      </w:rPr>
    </w:lvl>
    <w:lvl w:ilvl="2">
      <w:start w:val="0"/>
      <w:numFmt w:val="bullet"/>
      <w:lvlText w:val="•"/>
      <w:lvlJc w:val="left"/>
      <w:pPr>
        <w:ind w:left="2768" w:hanging="226"/>
      </w:pPr>
      <w:rPr>
        <w:rFonts w:hint="default"/>
      </w:rPr>
    </w:lvl>
    <w:lvl w:ilvl="3">
      <w:start w:val="0"/>
      <w:numFmt w:val="bullet"/>
      <w:lvlText w:val="•"/>
      <w:lvlJc w:val="left"/>
      <w:pPr>
        <w:ind w:left="3622" w:hanging="226"/>
      </w:pPr>
      <w:rPr>
        <w:rFonts w:hint="default"/>
      </w:rPr>
    </w:lvl>
    <w:lvl w:ilvl="4">
      <w:start w:val="0"/>
      <w:numFmt w:val="bullet"/>
      <w:lvlText w:val="•"/>
      <w:lvlJc w:val="left"/>
      <w:pPr>
        <w:ind w:left="4476" w:hanging="226"/>
      </w:pPr>
      <w:rPr>
        <w:rFonts w:hint="default"/>
      </w:rPr>
    </w:lvl>
    <w:lvl w:ilvl="5">
      <w:start w:val="0"/>
      <w:numFmt w:val="bullet"/>
      <w:lvlText w:val="•"/>
      <w:lvlJc w:val="left"/>
      <w:pPr>
        <w:ind w:left="5330" w:hanging="226"/>
      </w:pPr>
      <w:rPr>
        <w:rFonts w:hint="default"/>
      </w:rPr>
    </w:lvl>
    <w:lvl w:ilvl="6">
      <w:start w:val="0"/>
      <w:numFmt w:val="bullet"/>
      <w:lvlText w:val="•"/>
      <w:lvlJc w:val="left"/>
      <w:pPr>
        <w:ind w:left="6184" w:hanging="226"/>
      </w:pPr>
      <w:rPr>
        <w:rFonts w:hint="default"/>
      </w:rPr>
    </w:lvl>
    <w:lvl w:ilvl="7">
      <w:start w:val="0"/>
      <w:numFmt w:val="bullet"/>
      <w:lvlText w:val="•"/>
      <w:lvlJc w:val="left"/>
      <w:pPr>
        <w:ind w:left="7038" w:hanging="226"/>
      </w:pPr>
      <w:rPr>
        <w:rFonts w:hint="default"/>
      </w:rPr>
    </w:lvl>
    <w:lvl w:ilvl="8">
      <w:start w:val="0"/>
      <w:numFmt w:val="bullet"/>
      <w:lvlText w:val="•"/>
      <w:lvlJc w:val="left"/>
      <w:pPr>
        <w:ind w:left="7892" w:hanging="226"/>
      </w:pPr>
      <w:rPr>
        <w:rFonts w:hint="default"/>
      </w:rPr>
    </w:lvl>
  </w:abstractNum>
  <w:abstractNum w:abstractNumId="34">
    <w:multiLevelType w:val="hybridMultilevel"/>
    <w:lvl w:ilvl="0">
      <w:start w:val="1"/>
      <w:numFmt w:val="lowerLetter"/>
      <w:lvlText w:val="%1)"/>
      <w:lvlJc w:val="left"/>
      <w:pPr>
        <w:ind w:left="1068" w:hanging="229"/>
        <w:jc w:val="left"/>
      </w:pPr>
      <w:rPr>
        <w:rFonts w:hint="default" w:ascii="Times New Roman" w:hAnsi="Times New Roman" w:eastAsia="Times New Roman" w:cs="Times New Roman"/>
        <w:w w:val="100"/>
        <w:sz w:val="22"/>
        <w:szCs w:val="22"/>
      </w:rPr>
    </w:lvl>
    <w:lvl w:ilvl="1">
      <w:start w:val="0"/>
      <w:numFmt w:val="bullet"/>
      <w:lvlText w:val="•"/>
      <w:lvlJc w:val="left"/>
      <w:pPr>
        <w:ind w:left="1914" w:hanging="229"/>
      </w:pPr>
      <w:rPr>
        <w:rFonts w:hint="default"/>
      </w:rPr>
    </w:lvl>
    <w:lvl w:ilvl="2">
      <w:start w:val="0"/>
      <w:numFmt w:val="bullet"/>
      <w:lvlText w:val="•"/>
      <w:lvlJc w:val="left"/>
      <w:pPr>
        <w:ind w:left="2768" w:hanging="229"/>
      </w:pPr>
      <w:rPr>
        <w:rFonts w:hint="default"/>
      </w:rPr>
    </w:lvl>
    <w:lvl w:ilvl="3">
      <w:start w:val="0"/>
      <w:numFmt w:val="bullet"/>
      <w:lvlText w:val="•"/>
      <w:lvlJc w:val="left"/>
      <w:pPr>
        <w:ind w:left="3622" w:hanging="229"/>
      </w:pPr>
      <w:rPr>
        <w:rFonts w:hint="default"/>
      </w:rPr>
    </w:lvl>
    <w:lvl w:ilvl="4">
      <w:start w:val="0"/>
      <w:numFmt w:val="bullet"/>
      <w:lvlText w:val="•"/>
      <w:lvlJc w:val="left"/>
      <w:pPr>
        <w:ind w:left="4476" w:hanging="229"/>
      </w:pPr>
      <w:rPr>
        <w:rFonts w:hint="default"/>
      </w:rPr>
    </w:lvl>
    <w:lvl w:ilvl="5">
      <w:start w:val="0"/>
      <w:numFmt w:val="bullet"/>
      <w:lvlText w:val="•"/>
      <w:lvlJc w:val="left"/>
      <w:pPr>
        <w:ind w:left="5330" w:hanging="229"/>
      </w:pPr>
      <w:rPr>
        <w:rFonts w:hint="default"/>
      </w:rPr>
    </w:lvl>
    <w:lvl w:ilvl="6">
      <w:start w:val="0"/>
      <w:numFmt w:val="bullet"/>
      <w:lvlText w:val="•"/>
      <w:lvlJc w:val="left"/>
      <w:pPr>
        <w:ind w:left="6184" w:hanging="229"/>
      </w:pPr>
      <w:rPr>
        <w:rFonts w:hint="default"/>
      </w:rPr>
    </w:lvl>
    <w:lvl w:ilvl="7">
      <w:start w:val="0"/>
      <w:numFmt w:val="bullet"/>
      <w:lvlText w:val="•"/>
      <w:lvlJc w:val="left"/>
      <w:pPr>
        <w:ind w:left="7038" w:hanging="229"/>
      </w:pPr>
      <w:rPr>
        <w:rFonts w:hint="default"/>
      </w:rPr>
    </w:lvl>
    <w:lvl w:ilvl="8">
      <w:start w:val="0"/>
      <w:numFmt w:val="bullet"/>
      <w:lvlText w:val="•"/>
      <w:lvlJc w:val="left"/>
      <w:pPr>
        <w:ind w:left="7892" w:hanging="229"/>
      </w:pPr>
      <w:rPr>
        <w:rFonts w:hint="default"/>
      </w:rPr>
    </w:lvl>
  </w:abstractNum>
  <w:abstractNum w:abstractNumId="33">
    <w:multiLevelType w:val="hybridMultilevel"/>
    <w:lvl w:ilvl="0">
      <w:start w:val="1"/>
      <w:numFmt w:val="lowerLetter"/>
      <w:lvlText w:val="%1)"/>
      <w:lvlJc w:val="left"/>
      <w:pPr>
        <w:ind w:left="120" w:hanging="229"/>
        <w:jc w:val="left"/>
      </w:pPr>
      <w:rPr>
        <w:rFonts w:hint="default" w:ascii="Times New Roman" w:hAnsi="Times New Roman" w:eastAsia="Times New Roman" w:cs="Times New Roman"/>
        <w:w w:val="100"/>
        <w:sz w:val="22"/>
        <w:szCs w:val="22"/>
      </w:rPr>
    </w:lvl>
    <w:lvl w:ilvl="1">
      <w:start w:val="0"/>
      <w:numFmt w:val="bullet"/>
      <w:lvlText w:val="•"/>
      <w:lvlJc w:val="left"/>
      <w:pPr>
        <w:ind w:left="1068" w:hanging="229"/>
      </w:pPr>
      <w:rPr>
        <w:rFonts w:hint="default"/>
      </w:rPr>
    </w:lvl>
    <w:lvl w:ilvl="2">
      <w:start w:val="0"/>
      <w:numFmt w:val="bullet"/>
      <w:lvlText w:val="•"/>
      <w:lvlJc w:val="left"/>
      <w:pPr>
        <w:ind w:left="2016" w:hanging="229"/>
      </w:pPr>
      <w:rPr>
        <w:rFonts w:hint="default"/>
      </w:rPr>
    </w:lvl>
    <w:lvl w:ilvl="3">
      <w:start w:val="0"/>
      <w:numFmt w:val="bullet"/>
      <w:lvlText w:val="•"/>
      <w:lvlJc w:val="left"/>
      <w:pPr>
        <w:ind w:left="2964" w:hanging="229"/>
      </w:pPr>
      <w:rPr>
        <w:rFonts w:hint="default"/>
      </w:rPr>
    </w:lvl>
    <w:lvl w:ilvl="4">
      <w:start w:val="0"/>
      <w:numFmt w:val="bullet"/>
      <w:lvlText w:val="•"/>
      <w:lvlJc w:val="left"/>
      <w:pPr>
        <w:ind w:left="3912" w:hanging="229"/>
      </w:pPr>
      <w:rPr>
        <w:rFonts w:hint="default"/>
      </w:rPr>
    </w:lvl>
    <w:lvl w:ilvl="5">
      <w:start w:val="0"/>
      <w:numFmt w:val="bullet"/>
      <w:lvlText w:val="•"/>
      <w:lvlJc w:val="left"/>
      <w:pPr>
        <w:ind w:left="4860" w:hanging="229"/>
      </w:pPr>
      <w:rPr>
        <w:rFonts w:hint="default"/>
      </w:rPr>
    </w:lvl>
    <w:lvl w:ilvl="6">
      <w:start w:val="0"/>
      <w:numFmt w:val="bullet"/>
      <w:lvlText w:val="•"/>
      <w:lvlJc w:val="left"/>
      <w:pPr>
        <w:ind w:left="5808" w:hanging="229"/>
      </w:pPr>
      <w:rPr>
        <w:rFonts w:hint="default"/>
      </w:rPr>
    </w:lvl>
    <w:lvl w:ilvl="7">
      <w:start w:val="0"/>
      <w:numFmt w:val="bullet"/>
      <w:lvlText w:val="•"/>
      <w:lvlJc w:val="left"/>
      <w:pPr>
        <w:ind w:left="6756" w:hanging="229"/>
      </w:pPr>
      <w:rPr>
        <w:rFonts w:hint="default"/>
      </w:rPr>
    </w:lvl>
    <w:lvl w:ilvl="8">
      <w:start w:val="0"/>
      <w:numFmt w:val="bullet"/>
      <w:lvlText w:val="•"/>
      <w:lvlJc w:val="left"/>
      <w:pPr>
        <w:ind w:left="7704" w:hanging="229"/>
      </w:pPr>
      <w:rPr>
        <w:rFonts w:hint="default"/>
      </w:rPr>
    </w:lvl>
  </w:abstractNum>
  <w:abstractNum w:abstractNumId="32">
    <w:multiLevelType w:val="hybridMultilevel"/>
    <w:lvl w:ilvl="0">
      <w:start w:val="1"/>
      <w:numFmt w:val="decimal"/>
      <w:lvlText w:val="%1."/>
      <w:lvlJc w:val="left"/>
      <w:pPr>
        <w:ind w:left="1060" w:hanging="221"/>
        <w:jc w:val="left"/>
      </w:pPr>
      <w:rPr>
        <w:rFonts w:hint="default" w:ascii="Times New Roman" w:hAnsi="Times New Roman" w:eastAsia="Times New Roman" w:cs="Times New Roman"/>
        <w:w w:val="100"/>
        <w:sz w:val="22"/>
        <w:szCs w:val="22"/>
      </w:rPr>
    </w:lvl>
    <w:lvl w:ilvl="1">
      <w:start w:val="0"/>
      <w:numFmt w:val="bullet"/>
      <w:lvlText w:val="•"/>
      <w:lvlJc w:val="left"/>
      <w:pPr>
        <w:ind w:left="1914" w:hanging="221"/>
      </w:pPr>
      <w:rPr>
        <w:rFonts w:hint="default"/>
      </w:rPr>
    </w:lvl>
    <w:lvl w:ilvl="2">
      <w:start w:val="0"/>
      <w:numFmt w:val="bullet"/>
      <w:lvlText w:val="•"/>
      <w:lvlJc w:val="left"/>
      <w:pPr>
        <w:ind w:left="2768" w:hanging="221"/>
      </w:pPr>
      <w:rPr>
        <w:rFonts w:hint="default"/>
      </w:rPr>
    </w:lvl>
    <w:lvl w:ilvl="3">
      <w:start w:val="0"/>
      <w:numFmt w:val="bullet"/>
      <w:lvlText w:val="•"/>
      <w:lvlJc w:val="left"/>
      <w:pPr>
        <w:ind w:left="3622" w:hanging="221"/>
      </w:pPr>
      <w:rPr>
        <w:rFonts w:hint="default"/>
      </w:rPr>
    </w:lvl>
    <w:lvl w:ilvl="4">
      <w:start w:val="0"/>
      <w:numFmt w:val="bullet"/>
      <w:lvlText w:val="•"/>
      <w:lvlJc w:val="left"/>
      <w:pPr>
        <w:ind w:left="4476" w:hanging="221"/>
      </w:pPr>
      <w:rPr>
        <w:rFonts w:hint="default"/>
      </w:rPr>
    </w:lvl>
    <w:lvl w:ilvl="5">
      <w:start w:val="0"/>
      <w:numFmt w:val="bullet"/>
      <w:lvlText w:val="•"/>
      <w:lvlJc w:val="left"/>
      <w:pPr>
        <w:ind w:left="5330" w:hanging="221"/>
      </w:pPr>
      <w:rPr>
        <w:rFonts w:hint="default"/>
      </w:rPr>
    </w:lvl>
    <w:lvl w:ilvl="6">
      <w:start w:val="0"/>
      <w:numFmt w:val="bullet"/>
      <w:lvlText w:val="•"/>
      <w:lvlJc w:val="left"/>
      <w:pPr>
        <w:ind w:left="6184" w:hanging="221"/>
      </w:pPr>
      <w:rPr>
        <w:rFonts w:hint="default"/>
      </w:rPr>
    </w:lvl>
    <w:lvl w:ilvl="7">
      <w:start w:val="0"/>
      <w:numFmt w:val="bullet"/>
      <w:lvlText w:val="•"/>
      <w:lvlJc w:val="left"/>
      <w:pPr>
        <w:ind w:left="7038" w:hanging="221"/>
      </w:pPr>
      <w:rPr>
        <w:rFonts w:hint="default"/>
      </w:rPr>
    </w:lvl>
    <w:lvl w:ilvl="8">
      <w:start w:val="0"/>
      <w:numFmt w:val="bullet"/>
      <w:lvlText w:val="•"/>
      <w:lvlJc w:val="left"/>
      <w:pPr>
        <w:ind w:left="7892" w:hanging="221"/>
      </w:pPr>
      <w:rPr>
        <w:rFonts w:hint="default"/>
      </w:rPr>
    </w:lvl>
  </w:abstractNum>
  <w:abstractNum w:abstractNumId="31">
    <w:multiLevelType w:val="hybridMultilevel"/>
    <w:lvl w:ilvl="0">
      <w:start w:val="1"/>
      <w:numFmt w:val="lowerLetter"/>
      <w:lvlText w:val="%1)"/>
      <w:lvlJc w:val="left"/>
      <w:pPr>
        <w:ind w:left="120" w:hanging="272"/>
        <w:jc w:val="left"/>
      </w:pPr>
      <w:rPr>
        <w:rFonts w:hint="default" w:ascii="Times New Roman" w:hAnsi="Times New Roman" w:eastAsia="Times New Roman" w:cs="Times New Roman"/>
        <w:w w:val="100"/>
        <w:sz w:val="22"/>
        <w:szCs w:val="22"/>
      </w:rPr>
    </w:lvl>
    <w:lvl w:ilvl="1">
      <w:start w:val="0"/>
      <w:numFmt w:val="bullet"/>
      <w:lvlText w:val="•"/>
      <w:lvlJc w:val="left"/>
      <w:pPr>
        <w:ind w:left="1068" w:hanging="272"/>
      </w:pPr>
      <w:rPr>
        <w:rFonts w:hint="default"/>
      </w:rPr>
    </w:lvl>
    <w:lvl w:ilvl="2">
      <w:start w:val="0"/>
      <w:numFmt w:val="bullet"/>
      <w:lvlText w:val="•"/>
      <w:lvlJc w:val="left"/>
      <w:pPr>
        <w:ind w:left="2016" w:hanging="272"/>
      </w:pPr>
      <w:rPr>
        <w:rFonts w:hint="default"/>
      </w:rPr>
    </w:lvl>
    <w:lvl w:ilvl="3">
      <w:start w:val="0"/>
      <w:numFmt w:val="bullet"/>
      <w:lvlText w:val="•"/>
      <w:lvlJc w:val="left"/>
      <w:pPr>
        <w:ind w:left="2964" w:hanging="272"/>
      </w:pPr>
      <w:rPr>
        <w:rFonts w:hint="default"/>
      </w:rPr>
    </w:lvl>
    <w:lvl w:ilvl="4">
      <w:start w:val="0"/>
      <w:numFmt w:val="bullet"/>
      <w:lvlText w:val="•"/>
      <w:lvlJc w:val="left"/>
      <w:pPr>
        <w:ind w:left="3912" w:hanging="272"/>
      </w:pPr>
      <w:rPr>
        <w:rFonts w:hint="default"/>
      </w:rPr>
    </w:lvl>
    <w:lvl w:ilvl="5">
      <w:start w:val="0"/>
      <w:numFmt w:val="bullet"/>
      <w:lvlText w:val="•"/>
      <w:lvlJc w:val="left"/>
      <w:pPr>
        <w:ind w:left="4860" w:hanging="272"/>
      </w:pPr>
      <w:rPr>
        <w:rFonts w:hint="default"/>
      </w:rPr>
    </w:lvl>
    <w:lvl w:ilvl="6">
      <w:start w:val="0"/>
      <w:numFmt w:val="bullet"/>
      <w:lvlText w:val="•"/>
      <w:lvlJc w:val="left"/>
      <w:pPr>
        <w:ind w:left="5808" w:hanging="272"/>
      </w:pPr>
      <w:rPr>
        <w:rFonts w:hint="default"/>
      </w:rPr>
    </w:lvl>
    <w:lvl w:ilvl="7">
      <w:start w:val="0"/>
      <w:numFmt w:val="bullet"/>
      <w:lvlText w:val="•"/>
      <w:lvlJc w:val="left"/>
      <w:pPr>
        <w:ind w:left="6756" w:hanging="272"/>
      </w:pPr>
      <w:rPr>
        <w:rFonts w:hint="default"/>
      </w:rPr>
    </w:lvl>
    <w:lvl w:ilvl="8">
      <w:start w:val="0"/>
      <w:numFmt w:val="bullet"/>
      <w:lvlText w:val="•"/>
      <w:lvlJc w:val="left"/>
      <w:pPr>
        <w:ind w:left="7704" w:hanging="272"/>
      </w:pPr>
      <w:rPr>
        <w:rFonts w:hint="default"/>
      </w:rPr>
    </w:lvl>
  </w:abstractNum>
  <w:abstractNum w:abstractNumId="30">
    <w:multiLevelType w:val="hybridMultilevel"/>
    <w:lvl w:ilvl="0">
      <w:start w:val="1"/>
      <w:numFmt w:val="decimal"/>
      <w:lvlText w:val="%1."/>
      <w:lvlJc w:val="left"/>
      <w:pPr>
        <w:ind w:left="120" w:hanging="243"/>
        <w:jc w:val="left"/>
      </w:pPr>
      <w:rPr>
        <w:rFonts w:hint="default" w:ascii="Times New Roman" w:hAnsi="Times New Roman" w:eastAsia="Times New Roman" w:cs="Times New Roman"/>
        <w:w w:val="100"/>
        <w:sz w:val="22"/>
        <w:szCs w:val="22"/>
      </w:rPr>
    </w:lvl>
    <w:lvl w:ilvl="1">
      <w:start w:val="0"/>
      <w:numFmt w:val="bullet"/>
      <w:lvlText w:val="•"/>
      <w:lvlJc w:val="left"/>
      <w:pPr>
        <w:ind w:left="1068" w:hanging="243"/>
      </w:pPr>
      <w:rPr>
        <w:rFonts w:hint="default"/>
      </w:rPr>
    </w:lvl>
    <w:lvl w:ilvl="2">
      <w:start w:val="0"/>
      <w:numFmt w:val="bullet"/>
      <w:lvlText w:val="•"/>
      <w:lvlJc w:val="left"/>
      <w:pPr>
        <w:ind w:left="2016" w:hanging="243"/>
      </w:pPr>
      <w:rPr>
        <w:rFonts w:hint="default"/>
      </w:rPr>
    </w:lvl>
    <w:lvl w:ilvl="3">
      <w:start w:val="0"/>
      <w:numFmt w:val="bullet"/>
      <w:lvlText w:val="•"/>
      <w:lvlJc w:val="left"/>
      <w:pPr>
        <w:ind w:left="2964" w:hanging="243"/>
      </w:pPr>
      <w:rPr>
        <w:rFonts w:hint="default"/>
      </w:rPr>
    </w:lvl>
    <w:lvl w:ilvl="4">
      <w:start w:val="0"/>
      <w:numFmt w:val="bullet"/>
      <w:lvlText w:val="•"/>
      <w:lvlJc w:val="left"/>
      <w:pPr>
        <w:ind w:left="3912" w:hanging="243"/>
      </w:pPr>
      <w:rPr>
        <w:rFonts w:hint="default"/>
      </w:rPr>
    </w:lvl>
    <w:lvl w:ilvl="5">
      <w:start w:val="0"/>
      <w:numFmt w:val="bullet"/>
      <w:lvlText w:val="•"/>
      <w:lvlJc w:val="left"/>
      <w:pPr>
        <w:ind w:left="4860" w:hanging="243"/>
      </w:pPr>
      <w:rPr>
        <w:rFonts w:hint="default"/>
      </w:rPr>
    </w:lvl>
    <w:lvl w:ilvl="6">
      <w:start w:val="0"/>
      <w:numFmt w:val="bullet"/>
      <w:lvlText w:val="•"/>
      <w:lvlJc w:val="left"/>
      <w:pPr>
        <w:ind w:left="5808" w:hanging="243"/>
      </w:pPr>
      <w:rPr>
        <w:rFonts w:hint="default"/>
      </w:rPr>
    </w:lvl>
    <w:lvl w:ilvl="7">
      <w:start w:val="0"/>
      <w:numFmt w:val="bullet"/>
      <w:lvlText w:val="•"/>
      <w:lvlJc w:val="left"/>
      <w:pPr>
        <w:ind w:left="6756" w:hanging="243"/>
      </w:pPr>
      <w:rPr>
        <w:rFonts w:hint="default"/>
      </w:rPr>
    </w:lvl>
    <w:lvl w:ilvl="8">
      <w:start w:val="0"/>
      <w:numFmt w:val="bullet"/>
      <w:lvlText w:val="•"/>
      <w:lvlJc w:val="left"/>
      <w:pPr>
        <w:ind w:left="7704" w:hanging="243"/>
      </w:pPr>
      <w:rPr>
        <w:rFonts w:hint="default"/>
      </w:rPr>
    </w:lvl>
  </w:abstractNum>
  <w:abstractNum w:abstractNumId="29">
    <w:multiLevelType w:val="hybridMultilevel"/>
    <w:lvl w:ilvl="0">
      <w:start w:val="1"/>
      <w:numFmt w:val="decimal"/>
      <w:lvlText w:val="%1."/>
      <w:lvlJc w:val="left"/>
      <w:pPr>
        <w:ind w:left="120" w:hanging="252"/>
        <w:jc w:val="left"/>
      </w:pPr>
      <w:rPr>
        <w:rFonts w:hint="default" w:ascii="Times New Roman" w:hAnsi="Times New Roman" w:eastAsia="Times New Roman" w:cs="Times New Roman"/>
        <w:w w:val="100"/>
        <w:sz w:val="22"/>
        <w:szCs w:val="22"/>
      </w:rPr>
    </w:lvl>
    <w:lvl w:ilvl="1">
      <w:start w:val="0"/>
      <w:numFmt w:val="bullet"/>
      <w:lvlText w:val="•"/>
      <w:lvlJc w:val="left"/>
      <w:pPr>
        <w:ind w:left="1068" w:hanging="252"/>
      </w:pPr>
      <w:rPr>
        <w:rFonts w:hint="default"/>
      </w:rPr>
    </w:lvl>
    <w:lvl w:ilvl="2">
      <w:start w:val="0"/>
      <w:numFmt w:val="bullet"/>
      <w:lvlText w:val="•"/>
      <w:lvlJc w:val="left"/>
      <w:pPr>
        <w:ind w:left="2016" w:hanging="252"/>
      </w:pPr>
      <w:rPr>
        <w:rFonts w:hint="default"/>
      </w:rPr>
    </w:lvl>
    <w:lvl w:ilvl="3">
      <w:start w:val="0"/>
      <w:numFmt w:val="bullet"/>
      <w:lvlText w:val="•"/>
      <w:lvlJc w:val="left"/>
      <w:pPr>
        <w:ind w:left="2964" w:hanging="252"/>
      </w:pPr>
      <w:rPr>
        <w:rFonts w:hint="default"/>
      </w:rPr>
    </w:lvl>
    <w:lvl w:ilvl="4">
      <w:start w:val="0"/>
      <w:numFmt w:val="bullet"/>
      <w:lvlText w:val="•"/>
      <w:lvlJc w:val="left"/>
      <w:pPr>
        <w:ind w:left="3912" w:hanging="252"/>
      </w:pPr>
      <w:rPr>
        <w:rFonts w:hint="default"/>
      </w:rPr>
    </w:lvl>
    <w:lvl w:ilvl="5">
      <w:start w:val="0"/>
      <w:numFmt w:val="bullet"/>
      <w:lvlText w:val="•"/>
      <w:lvlJc w:val="left"/>
      <w:pPr>
        <w:ind w:left="4860" w:hanging="252"/>
      </w:pPr>
      <w:rPr>
        <w:rFonts w:hint="default"/>
      </w:rPr>
    </w:lvl>
    <w:lvl w:ilvl="6">
      <w:start w:val="0"/>
      <w:numFmt w:val="bullet"/>
      <w:lvlText w:val="•"/>
      <w:lvlJc w:val="left"/>
      <w:pPr>
        <w:ind w:left="5808" w:hanging="252"/>
      </w:pPr>
      <w:rPr>
        <w:rFonts w:hint="default"/>
      </w:rPr>
    </w:lvl>
    <w:lvl w:ilvl="7">
      <w:start w:val="0"/>
      <w:numFmt w:val="bullet"/>
      <w:lvlText w:val="•"/>
      <w:lvlJc w:val="left"/>
      <w:pPr>
        <w:ind w:left="6756" w:hanging="252"/>
      </w:pPr>
      <w:rPr>
        <w:rFonts w:hint="default"/>
      </w:rPr>
    </w:lvl>
    <w:lvl w:ilvl="8">
      <w:start w:val="0"/>
      <w:numFmt w:val="bullet"/>
      <w:lvlText w:val="•"/>
      <w:lvlJc w:val="left"/>
      <w:pPr>
        <w:ind w:left="7704" w:hanging="252"/>
      </w:pPr>
      <w:rPr>
        <w:rFonts w:hint="default"/>
      </w:rPr>
    </w:lvl>
  </w:abstractNum>
  <w:abstractNum w:abstractNumId="28">
    <w:multiLevelType w:val="hybridMultilevel"/>
    <w:lvl w:ilvl="0">
      <w:start w:val="1"/>
      <w:numFmt w:val="lowerLetter"/>
      <w:lvlText w:val="%1)"/>
      <w:lvlJc w:val="left"/>
      <w:pPr>
        <w:ind w:left="1075" w:hanging="236"/>
        <w:jc w:val="left"/>
      </w:pPr>
      <w:rPr>
        <w:rFonts w:hint="default" w:ascii="Times New Roman" w:hAnsi="Times New Roman" w:eastAsia="Times New Roman" w:cs="Times New Roman"/>
        <w:w w:val="100"/>
        <w:sz w:val="22"/>
        <w:szCs w:val="22"/>
      </w:rPr>
    </w:lvl>
    <w:lvl w:ilvl="1">
      <w:start w:val="0"/>
      <w:numFmt w:val="bullet"/>
      <w:lvlText w:val="•"/>
      <w:lvlJc w:val="left"/>
      <w:pPr>
        <w:ind w:left="1932" w:hanging="236"/>
      </w:pPr>
      <w:rPr>
        <w:rFonts w:hint="default"/>
      </w:rPr>
    </w:lvl>
    <w:lvl w:ilvl="2">
      <w:start w:val="0"/>
      <w:numFmt w:val="bullet"/>
      <w:lvlText w:val="•"/>
      <w:lvlJc w:val="left"/>
      <w:pPr>
        <w:ind w:left="2784" w:hanging="236"/>
      </w:pPr>
      <w:rPr>
        <w:rFonts w:hint="default"/>
      </w:rPr>
    </w:lvl>
    <w:lvl w:ilvl="3">
      <w:start w:val="0"/>
      <w:numFmt w:val="bullet"/>
      <w:lvlText w:val="•"/>
      <w:lvlJc w:val="left"/>
      <w:pPr>
        <w:ind w:left="3636" w:hanging="236"/>
      </w:pPr>
      <w:rPr>
        <w:rFonts w:hint="default"/>
      </w:rPr>
    </w:lvl>
    <w:lvl w:ilvl="4">
      <w:start w:val="0"/>
      <w:numFmt w:val="bullet"/>
      <w:lvlText w:val="•"/>
      <w:lvlJc w:val="left"/>
      <w:pPr>
        <w:ind w:left="4488" w:hanging="236"/>
      </w:pPr>
      <w:rPr>
        <w:rFonts w:hint="default"/>
      </w:rPr>
    </w:lvl>
    <w:lvl w:ilvl="5">
      <w:start w:val="0"/>
      <w:numFmt w:val="bullet"/>
      <w:lvlText w:val="•"/>
      <w:lvlJc w:val="left"/>
      <w:pPr>
        <w:ind w:left="5340" w:hanging="236"/>
      </w:pPr>
      <w:rPr>
        <w:rFonts w:hint="default"/>
      </w:rPr>
    </w:lvl>
    <w:lvl w:ilvl="6">
      <w:start w:val="0"/>
      <w:numFmt w:val="bullet"/>
      <w:lvlText w:val="•"/>
      <w:lvlJc w:val="left"/>
      <w:pPr>
        <w:ind w:left="6192" w:hanging="236"/>
      </w:pPr>
      <w:rPr>
        <w:rFonts w:hint="default"/>
      </w:rPr>
    </w:lvl>
    <w:lvl w:ilvl="7">
      <w:start w:val="0"/>
      <w:numFmt w:val="bullet"/>
      <w:lvlText w:val="•"/>
      <w:lvlJc w:val="left"/>
      <w:pPr>
        <w:ind w:left="7044" w:hanging="236"/>
      </w:pPr>
      <w:rPr>
        <w:rFonts w:hint="default"/>
      </w:rPr>
    </w:lvl>
    <w:lvl w:ilvl="8">
      <w:start w:val="0"/>
      <w:numFmt w:val="bullet"/>
      <w:lvlText w:val="•"/>
      <w:lvlJc w:val="left"/>
      <w:pPr>
        <w:ind w:left="7896" w:hanging="236"/>
      </w:pPr>
      <w:rPr>
        <w:rFonts w:hint="default"/>
      </w:rPr>
    </w:lvl>
  </w:abstractNum>
  <w:abstractNum w:abstractNumId="27">
    <w:multiLevelType w:val="hybridMultilevel"/>
    <w:lvl w:ilvl="0">
      <w:start w:val="1"/>
      <w:numFmt w:val="decimal"/>
      <w:lvlText w:val="%1."/>
      <w:lvlJc w:val="left"/>
      <w:pPr>
        <w:ind w:left="120" w:hanging="221"/>
        <w:jc w:val="left"/>
      </w:pPr>
      <w:rPr>
        <w:rFonts w:hint="default" w:ascii="Times New Roman" w:hAnsi="Times New Roman" w:eastAsia="Times New Roman" w:cs="Times New Roman"/>
        <w:w w:val="100"/>
        <w:sz w:val="22"/>
        <w:szCs w:val="22"/>
      </w:rPr>
    </w:lvl>
    <w:lvl w:ilvl="1">
      <w:start w:val="0"/>
      <w:numFmt w:val="bullet"/>
      <w:lvlText w:val="•"/>
      <w:lvlJc w:val="left"/>
      <w:pPr>
        <w:ind w:left="1068" w:hanging="221"/>
      </w:pPr>
      <w:rPr>
        <w:rFonts w:hint="default"/>
      </w:rPr>
    </w:lvl>
    <w:lvl w:ilvl="2">
      <w:start w:val="0"/>
      <w:numFmt w:val="bullet"/>
      <w:lvlText w:val="•"/>
      <w:lvlJc w:val="left"/>
      <w:pPr>
        <w:ind w:left="2016" w:hanging="221"/>
      </w:pPr>
      <w:rPr>
        <w:rFonts w:hint="default"/>
      </w:rPr>
    </w:lvl>
    <w:lvl w:ilvl="3">
      <w:start w:val="0"/>
      <w:numFmt w:val="bullet"/>
      <w:lvlText w:val="•"/>
      <w:lvlJc w:val="left"/>
      <w:pPr>
        <w:ind w:left="2964" w:hanging="221"/>
      </w:pPr>
      <w:rPr>
        <w:rFonts w:hint="default"/>
      </w:rPr>
    </w:lvl>
    <w:lvl w:ilvl="4">
      <w:start w:val="0"/>
      <w:numFmt w:val="bullet"/>
      <w:lvlText w:val="•"/>
      <w:lvlJc w:val="left"/>
      <w:pPr>
        <w:ind w:left="3912" w:hanging="221"/>
      </w:pPr>
      <w:rPr>
        <w:rFonts w:hint="default"/>
      </w:rPr>
    </w:lvl>
    <w:lvl w:ilvl="5">
      <w:start w:val="0"/>
      <w:numFmt w:val="bullet"/>
      <w:lvlText w:val="•"/>
      <w:lvlJc w:val="left"/>
      <w:pPr>
        <w:ind w:left="4860" w:hanging="221"/>
      </w:pPr>
      <w:rPr>
        <w:rFonts w:hint="default"/>
      </w:rPr>
    </w:lvl>
    <w:lvl w:ilvl="6">
      <w:start w:val="0"/>
      <w:numFmt w:val="bullet"/>
      <w:lvlText w:val="•"/>
      <w:lvlJc w:val="left"/>
      <w:pPr>
        <w:ind w:left="5808" w:hanging="221"/>
      </w:pPr>
      <w:rPr>
        <w:rFonts w:hint="default"/>
      </w:rPr>
    </w:lvl>
    <w:lvl w:ilvl="7">
      <w:start w:val="0"/>
      <w:numFmt w:val="bullet"/>
      <w:lvlText w:val="•"/>
      <w:lvlJc w:val="left"/>
      <w:pPr>
        <w:ind w:left="6756" w:hanging="221"/>
      </w:pPr>
      <w:rPr>
        <w:rFonts w:hint="default"/>
      </w:rPr>
    </w:lvl>
    <w:lvl w:ilvl="8">
      <w:start w:val="0"/>
      <w:numFmt w:val="bullet"/>
      <w:lvlText w:val="•"/>
      <w:lvlJc w:val="left"/>
      <w:pPr>
        <w:ind w:left="7704" w:hanging="221"/>
      </w:pPr>
      <w:rPr>
        <w:rFonts w:hint="default"/>
      </w:rPr>
    </w:lvl>
  </w:abstractNum>
  <w:abstractNum w:abstractNumId="26">
    <w:multiLevelType w:val="hybridMultilevel"/>
    <w:lvl w:ilvl="0">
      <w:start w:val="1"/>
      <w:numFmt w:val="decimal"/>
      <w:lvlText w:val="%1."/>
      <w:lvlJc w:val="left"/>
      <w:pPr>
        <w:ind w:left="1061" w:hanging="221"/>
        <w:jc w:val="left"/>
      </w:pPr>
      <w:rPr>
        <w:rFonts w:hint="default" w:ascii="Times New Roman" w:hAnsi="Times New Roman" w:eastAsia="Times New Roman" w:cs="Times New Roman"/>
        <w:w w:val="100"/>
        <w:sz w:val="22"/>
        <w:szCs w:val="22"/>
      </w:rPr>
    </w:lvl>
    <w:lvl w:ilvl="1">
      <w:start w:val="0"/>
      <w:numFmt w:val="bullet"/>
      <w:lvlText w:val="•"/>
      <w:lvlJc w:val="left"/>
      <w:pPr>
        <w:ind w:left="1914" w:hanging="221"/>
      </w:pPr>
      <w:rPr>
        <w:rFonts w:hint="default"/>
      </w:rPr>
    </w:lvl>
    <w:lvl w:ilvl="2">
      <w:start w:val="0"/>
      <w:numFmt w:val="bullet"/>
      <w:lvlText w:val="•"/>
      <w:lvlJc w:val="left"/>
      <w:pPr>
        <w:ind w:left="2768" w:hanging="221"/>
      </w:pPr>
      <w:rPr>
        <w:rFonts w:hint="default"/>
      </w:rPr>
    </w:lvl>
    <w:lvl w:ilvl="3">
      <w:start w:val="0"/>
      <w:numFmt w:val="bullet"/>
      <w:lvlText w:val="•"/>
      <w:lvlJc w:val="left"/>
      <w:pPr>
        <w:ind w:left="3622" w:hanging="221"/>
      </w:pPr>
      <w:rPr>
        <w:rFonts w:hint="default"/>
      </w:rPr>
    </w:lvl>
    <w:lvl w:ilvl="4">
      <w:start w:val="0"/>
      <w:numFmt w:val="bullet"/>
      <w:lvlText w:val="•"/>
      <w:lvlJc w:val="left"/>
      <w:pPr>
        <w:ind w:left="4476" w:hanging="221"/>
      </w:pPr>
      <w:rPr>
        <w:rFonts w:hint="default"/>
      </w:rPr>
    </w:lvl>
    <w:lvl w:ilvl="5">
      <w:start w:val="0"/>
      <w:numFmt w:val="bullet"/>
      <w:lvlText w:val="•"/>
      <w:lvlJc w:val="left"/>
      <w:pPr>
        <w:ind w:left="5330" w:hanging="221"/>
      </w:pPr>
      <w:rPr>
        <w:rFonts w:hint="default"/>
      </w:rPr>
    </w:lvl>
    <w:lvl w:ilvl="6">
      <w:start w:val="0"/>
      <w:numFmt w:val="bullet"/>
      <w:lvlText w:val="•"/>
      <w:lvlJc w:val="left"/>
      <w:pPr>
        <w:ind w:left="6184" w:hanging="221"/>
      </w:pPr>
      <w:rPr>
        <w:rFonts w:hint="default"/>
      </w:rPr>
    </w:lvl>
    <w:lvl w:ilvl="7">
      <w:start w:val="0"/>
      <w:numFmt w:val="bullet"/>
      <w:lvlText w:val="•"/>
      <w:lvlJc w:val="left"/>
      <w:pPr>
        <w:ind w:left="7038" w:hanging="221"/>
      </w:pPr>
      <w:rPr>
        <w:rFonts w:hint="default"/>
      </w:rPr>
    </w:lvl>
    <w:lvl w:ilvl="8">
      <w:start w:val="0"/>
      <w:numFmt w:val="bullet"/>
      <w:lvlText w:val="•"/>
      <w:lvlJc w:val="left"/>
      <w:pPr>
        <w:ind w:left="7892" w:hanging="221"/>
      </w:pPr>
      <w:rPr>
        <w:rFonts w:hint="default"/>
      </w:rPr>
    </w:lvl>
  </w:abstractNum>
  <w:abstractNum w:abstractNumId="25">
    <w:multiLevelType w:val="hybridMultilevel"/>
    <w:lvl w:ilvl="0">
      <w:start w:val="1"/>
      <w:numFmt w:val="lowerLetter"/>
      <w:lvlText w:val="%1)"/>
      <w:lvlJc w:val="left"/>
      <w:pPr>
        <w:ind w:left="348" w:hanging="229"/>
        <w:jc w:val="left"/>
      </w:pPr>
      <w:rPr>
        <w:rFonts w:hint="default" w:ascii="Times New Roman" w:hAnsi="Times New Roman" w:eastAsia="Times New Roman" w:cs="Times New Roman"/>
        <w:w w:val="100"/>
        <w:sz w:val="22"/>
        <w:szCs w:val="22"/>
      </w:rPr>
    </w:lvl>
    <w:lvl w:ilvl="1">
      <w:start w:val="0"/>
      <w:numFmt w:val="bullet"/>
      <w:lvlText w:val="•"/>
      <w:lvlJc w:val="left"/>
      <w:pPr>
        <w:ind w:left="1194" w:hanging="229"/>
      </w:pPr>
      <w:rPr>
        <w:rFonts w:hint="default"/>
      </w:rPr>
    </w:lvl>
    <w:lvl w:ilvl="2">
      <w:start w:val="0"/>
      <w:numFmt w:val="bullet"/>
      <w:lvlText w:val="•"/>
      <w:lvlJc w:val="left"/>
      <w:pPr>
        <w:ind w:left="2048" w:hanging="229"/>
      </w:pPr>
      <w:rPr>
        <w:rFonts w:hint="default"/>
      </w:rPr>
    </w:lvl>
    <w:lvl w:ilvl="3">
      <w:start w:val="0"/>
      <w:numFmt w:val="bullet"/>
      <w:lvlText w:val="•"/>
      <w:lvlJc w:val="left"/>
      <w:pPr>
        <w:ind w:left="2902" w:hanging="229"/>
      </w:pPr>
      <w:rPr>
        <w:rFonts w:hint="default"/>
      </w:rPr>
    </w:lvl>
    <w:lvl w:ilvl="4">
      <w:start w:val="0"/>
      <w:numFmt w:val="bullet"/>
      <w:lvlText w:val="•"/>
      <w:lvlJc w:val="left"/>
      <w:pPr>
        <w:ind w:left="3755" w:hanging="229"/>
      </w:pPr>
      <w:rPr>
        <w:rFonts w:hint="default"/>
      </w:rPr>
    </w:lvl>
    <w:lvl w:ilvl="5">
      <w:start w:val="0"/>
      <w:numFmt w:val="bullet"/>
      <w:lvlText w:val="•"/>
      <w:lvlJc w:val="left"/>
      <w:pPr>
        <w:ind w:left="4609" w:hanging="229"/>
      </w:pPr>
      <w:rPr>
        <w:rFonts w:hint="default"/>
      </w:rPr>
    </w:lvl>
    <w:lvl w:ilvl="6">
      <w:start w:val="0"/>
      <w:numFmt w:val="bullet"/>
      <w:lvlText w:val="•"/>
      <w:lvlJc w:val="left"/>
      <w:pPr>
        <w:ind w:left="5463" w:hanging="229"/>
      </w:pPr>
      <w:rPr>
        <w:rFonts w:hint="default"/>
      </w:rPr>
    </w:lvl>
    <w:lvl w:ilvl="7">
      <w:start w:val="0"/>
      <w:numFmt w:val="bullet"/>
      <w:lvlText w:val="•"/>
      <w:lvlJc w:val="left"/>
      <w:pPr>
        <w:ind w:left="6317" w:hanging="229"/>
      </w:pPr>
      <w:rPr>
        <w:rFonts w:hint="default"/>
      </w:rPr>
    </w:lvl>
    <w:lvl w:ilvl="8">
      <w:start w:val="0"/>
      <w:numFmt w:val="bullet"/>
      <w:lvlText w:val="•"/>
      <w:lvlJc w:val="left"/>
      <w:pPr>
        <w:ind w:left="7171" w:hanging="229"/>
      </w:pPr>
      <w:rPr>
        <w:rFonts w:hint="default"/>
      </w:rPr>
    </w:lvl>
  </w:abstractNum>
  <w:abstractNum w:abstractNumId="24">
    <w:multiLevelType w:val="hybridMultilevel"/>
    <w:lvl w:ilvl="0">
      <w:start w:val="1"/>
      <w:numFmt w:val="decimal"/>
      <w:lvlText w:val="%1."/>
      <w:lvlJc w:val="left"/>
      <w:pPr>
        <w:ind w:left="355" w:hanging="236"/>
        <w:jc w:val="right"/>
      </w:pPr>
      <w:rPr>
        <w:rFonts w:hint="default" w:ascii="Times New Roman" w:hAnsi="Times New Roman" w:eastAsia="Times New Roman" w:cs="Times New Roman"/>
        <w:w w:val="100"/>
        <w:sz w:val="22"/>
        <w:szCs w:val="22"/>
      </w:rPr>
    </w:lvl>
    <w:lvl w:ilvl="1">
      <w:start w:val="0"/>
      <w:numFmt w:val="bullet"/>
      <w:lvlText w:val="•"/>
      <w:lvlJc w:val="left"/>
      <w:pPr>
        <w:ind w:left="1212" w:hanging="236"/>
      </w:pPr>
      <w:rPr>
        <w:rFonts w:hint="default"/>
      </w:rPr>
    </w:lvl>
    <w:lvl w:ilvl="2">
      <w:start w:val="0"/>
      <w:numFmt w:val="bullet"/>
      <w:lvlText w:val="•"/>
      <w:lvlJc w:val="left"/>
      <w:pPr>
        <w:ind w:left="2064" w:hanging="236"/>
      </w:pPr>
      <w:rPr>
        <w:rFonts w:hint="default"/>
      </w:rPr>
    </w:lvl>
    <w:lvl w:ilvl="3">
      <w:start w:val="0"/>
      <w:numFmt w:val="bullet"/>
      <w:lvlText w:val="•"/>
      <w:lvlJc w:val="left"/>
      <w:pPr>
        <w:ind w:left="2916" w:hanging="236"/>
      </w:pPr>
      <w:rPr>
        <w:rFonts w:hint="default"/>
      </w:rPr>
    </w:lvl>
    <w:lvl w:ilvl="4">
      <w:start w:val="0"/>
      <w:numFmt w:val="bullet"/>
      <w:lvlText w:val="•"/>
      <w:lvlJc w:val="left"/>
      <w:pPr>
        <w:ind w:left="3767" w:hanging="236"/>
      </w:pPr>
      <w:rPr>
        <w:rFonts w:hint="default"/>
      </w:rPr>
    </w:lvl>
    <w:lvl w:ilvl="5">
      <w:start w:val="0"/>
      <w:numFmt w:val="bullet"/>
      <w:lvlText w:val="•"/>
      <w:lvlJc w:val="left"/>
      <w:pPr>
        <w:ind w:left="4619" w:hanging="236"/>
      </w:pPr>
      <w:rPr>
        <w:rFonts w:hint="default"/>
      </w:rPr>
    </w:lvl>
    <w:lvl w:ilvl="6">
      <w:start w:val="0"/>
      <w:numFmt w:val="bullet"/>
      <w:lvlText w:val="•"/>
      <w:lvlJc w:val="left"/>
      <w:pPr>
        <w:ind w:left="5471" w:hanging="236"/>
      </w:pPr>
      <w:rPr>
        <w:rFonts w:hint="default"/>
      </w:rPr>
    </w:lvl>
    <w:lvl w:ilvl="7">
      <w:start w:val="0"/>
      <w:numFmt w:val="bullet"/>
      <w:lvlText w:val="•"/>
      <w:lvlJc w:val="left"/>
      <w:pPr>
        <w:ind w:left="6323" w:hanging="236"/>
      </w:pPr>
      <w:rPr>
        <w:rFonts w:hint="default"/>
      </w:rPr>
    </w:lvl>
    <w:lvl w:ilvl="8">
      <w:start w:val="0"/>
      <w:numFmt w:val="bullet"/>
      <w:lvlText w:val="•"/>
      <w:lvlJc w:val="left"/>
      <w:pPr>
        <w:ind w:left="7175" w:hanging="236"/>
      </w:pPr>
      <w:rPr>
        <w:rFonts w:hint="default"/>
      </w:rPr>
    </w:lvl>
  </w:abstractNum>
  <w:abstractNum w:abstractNumId="23">
    <w:multiLevelType w:val="hybridMultilevel"/>
    <w:lvl w:ilvl="0">
      <w:start w:val="1"/>
      <w:numFmt w:val="lowerLetter"/>
      <w:lvlText w:val="%1)"/>
      <w:lvlJc w:val="left"/>
      <w:pPr>
        <w:ind w:left="1067" w:hanging="229"/>
        <w:jc w:val="left"/>
      </w:pPr>
      <w:rPr>
        <w:rFonts w:hint="default" w:ascii="Times New Roman" w:hAnsi="Times New Roman" w:eastAsia="Times New Roman" w:cs="Times New Roman"/>
        <w:w w:val="100"/>
        <w:sz w:val="22"/>
        <w:szCs w:val="22"/>
      </w:rPr>
    </w:lvl>
    <w:lvl w:ilvl="1">
      <w:start w:val="0"/>
      <w:numFmt w:val="bullet"/>
      <w:lvlText w:val="•"/>
      <w:lvlJc w:val="left"/>
      <w:pPr>
        <w:ind w:left="1914" w:hanging="229"/>
      </w:pPr>
      <w:rPr>
        <w:rFonts w:hint="default"/>
      </w:rPr>
    </w:lvl>
    <w:lvl w:ilvl="2">
      <w:start w:val="0"/>
      <w:numFmt w:val="bullet"/>
      <w:lvlText w:val="•"/>
      <w:lvlJc w:val="left"/>
      <w:pPr>
        <w:ind w:left="2768" w:hanging="229"/>
      </w:pPr>
      <w:rPr>
        <w:rFonts w:hint="default"/>
      </w:rPr>
    </w:lvl>
    <w:lvl w:ilvl="3">
      <w:start w:val="0"/>
      <w:numFmt w:val="bullet"/>
      <w:lvlText w:val="•"/>
      <w:lvlJc w:val="left"/>
      <w:pPr>
        <w:ind w:left="3622" w:hanging="229"/>
      </w:pPr>
      <w:rPr>
        <w:rFonts w:hint="default"/>
      </w:rPr>
    </w:lvl>
    <w:lvl w:ilvl="4">
      <w:start w:val="0"/>
      <w:numFmt w:val="bullet"/>
      <w:lvlText w:val="•"/>
      <w:lvlJc w:val="left"/>
      <w:pPr>
        <w:ind w:left="4476" w:hanging="229"/>
      </w:pPr>
      <w:rPr>
        <w:rFonts w:hint="default"/>
      </w:rPr>
    </w:lvl>
    <w:lvl w:ilvl="5">
      <w:start w:val="0"/>
      <w:numFmt w:val="bullet"/>
      <w:lvlText w:val="•"/>
      <w:lvlJc w:val="left"/>
      <w:pPr>
        <w:ind w:left="5330" w:hanging="229"/>
      </w:pPr>
      <w:rPr>
        <w:rFonts w:hint="default"/>
      </w:rPr>
    </w:lvl>
    <w:lvl w:ilvl="6">
      <w:start w:val="0"/>
      <w:numFmt w:val="bullet"/>
      <w:lvlText w:val="•"/>
      <w:lvlJc w:val="left"/>
      <w:pPr>
        <w:ind w:left="6184" w:hanging="229"/>
      </w:pPr>
      <w:rPr>
        <w:rFonts w:hint="default"/>
      </w:rPr>
    </w:lvl>
    <w:lvl w:ilvl="7">
      <w:start w:val="0"/>
      <w:numFmt w:val="bullet"/>
      <w:lvlText w:val="•"/>
      <w:lvlJc w:val="left"/>
      <w:pPr>
        <w:ind w:left="7038" w:hanging="229"/>
      </w:pPr>
      <w:rPr>
        <w:rFonts w:hint="default"/>
      </w:rPr>
    </w:lvl>
    <w:lvl w:ilvl="8">
      <w:start w:val="0"/>
      <w:numFmt w:val="bullet"/>
      <w:lvlText w:val="•"/>
      <w:lvlJc w:val="left"/>
      <w:pPr>
        <w:ind w:left="7892" w:hanging="229"/>
      </w:pPr>
      <w:rPr>
        <w:rFonts w:hint="default"/>
      </w:rPr>
    </w:lvl>
  </w:abstractNum>
  <w:abstractNum w:abstractNumId="22">
    <w:multiLevelType w:val="hybridMultilevel"/>
    <w:lvl w:ilvl="0">
      <w:start w:val="1"/>
      <w:numFmt w:val="decimal"/>
      <w:lvlText w:val="%1."/>
      <w:lvlJc w:val="left"/>
      <w:pPr>
        <w:ind w:left="119" w:hanging="293"/>
        <w:jc w:val="left"/>
      </w:pPr>
      <w:rPr>
        <w:rFonts w:hint="default" w:ascii="Times New Roman" w:hAnsi="Times New Roman" w:eastAsia="Times New Roman" w:cs="Times New Roman"/>
        <w:w w:val="100"/>
        <w:sz w:val="22"/>
        <w:szCs w:val="22"/>
      </w:rPr>
    </w:lvl>
    <w:lvl w:ilvl="1">
      <w:start w:val="0"/>
      <w:numFmt w:val="bullet"/>
      <w:lvlText w:val="•"/>
      <w:lvlJc w:val="left"/>
      <w:pPr>
        <w:ind w:left="1068" w:hanging="293"/>
      </w:pPr>
      <w:rPr>
        <w:rFonts w:hint="default"/>
      </w:rPr>
    </w:lvl>
    <w:lvl w:ilvl="2">
      <w:start w:val="0"/>
      <w:numFmt w:val="bullet"/>
      <w:lvlText w:val="•"/>
      <w:lvlJc w:val="left"/>
      <w:pPr>
        <w:ind w:left="2016" w:hanging="293"/>
      </w:pPr>
      <w:rPr>
        <w:rFonts w:hint="default"/>
      </w:rPr>
    </w:lvl>
    <w:lvl w:ilvl="3">
      <w:start w:val="0"/>
      <w:numFmt w:val="bullet"/>
      <w:lvlText w:val="•"/>
      <w:lvlJc w:val="left"/>
      <w:pPr>
        <w:ind w:left="2964" w:hanging="293"/>
      </w:pPr>
      <w:rPr>
        <w:rFonts w:hint="default"/>
      </w:rPr>
    </w:lvl>
    <w:lvl w:ilvl="4">
      <w:start w:val="0"/>
      <w:numFmt w:val="bullet"/>
      <w:lvlText w:val="•"/>
      <w:lvlJc w:val="left"/>
      <w:pPr>
        <w:ind w:left="3912" w:hanging="293"/>
      </w:pPr>
      <w:rPr>
        <w:rFonts w:hint="default"/>
      </w:rPr>
    </w:lvl>
    <w:lvl w:ilvl="5">
      <w:start w:val="0"/>
      <w:numFmt w:val="bullet"/>
      <w:lvlText w:val="•"/>
      <w:lvlJc w:val="left"/>
      <w:pPr>
        <w:ind w:left="4860" w:hanging="293"/>
      </w:pPr>
      <w:rPr>
        <w:rFonts w:hint="default"/>
      </w:rPr>
    </w:lvl>
    <w:lvl w:ilvl="6">
      <w:start w:val="0"/>
      <w:numFmt w:val="bullet"/>
      <w:lvlText w:val="•"/>
      <w:lvlJc w:val="left"/>
      <w:pPr>
        <w:ind w:left="5808" w:hanging="293"/>
      </w:pPr>
      <w:rPr>
        <w:rFonts w:hint="default"/>
      </w:rPr>
    </w:lvl>
    <w:lvl w:ilvl="7">
      <w:start w:val="0"/>
      <w:numFmt w:val="bullet"/>
      <w:lvlText w:val="•"/>
      <w:lvlJc w:val="left"/>
      <w:pPr>
        <w:ind w:left="6756" w:hanging="293"/>
      </w:pPr>
      <w:rPr>
        <w:rFonts w:hint="default"/>
      </w:rPr>
    </w:lvl>
    <w:lvl w:ilvl="8">
      <w:start w:val="0"/>
      <w:numFmt w:val="bullet"/>
      <w:lvlText w:val="•"/>
      <w:lvlJc w:val="left"/>
      <w:pPr>
        <w:ind w:left="7704" w:hanging="293"/>
      </w:pPr>
      <w:rPr>
        <w:rFonts w:hint="default"/>
      </w:rPr>
    </w:lvl>
  </w:abstractNum>
  <w:abstractNum w:abstractNumId="21">
    <w:multiLevelType w:val="hybridMultilevel"/>
    <w:lvl w:ilvl="0">
      <w:start w:val="1"/>
      <w:numFmt w:val="lowerLetter"/>
      <w:lvlText w:val="%1)"/>
      <w:lvlJc w:val="left"/>
      <w:pPr>
        <w:ind w:left="119" w:hanging="229"/>
        <w:jc w:val="left"/>
      </w:pPr>
      <w:rPr>
        <w:rFonts w:hint="default" w:ascii="Times New Roman" w:hAnsi="Times New Roman" w:eastAsia="Times New Roman" w:cs="Times New Roman"/>
        <w:w w:val="100"/>
        <w:sz w:val="22"/>
        <w:szCs w:val="22"/>
      </w:rPr>
    </w:lvl>
    <w:lvl w:ilvl="1">
      <w:start w:val="0"/>
      <w:numFmt w:val="bullet"/>
      <w:lvlText w:val="•"/>
      <w:lvlJc w:val="left"/>
      <w:pPr>
        <w:ind w:left="1068" w:hanging="229"/>
      </w:pPr>
      <w:rPr>
        <w:rFonts w:hint="default"/>
      </w:rPr>
    </w:lvl>
    <w:lvl w:ilvl="2">
      <w:start w:val="0"/>
      <w:numFmt w:val="bullet"/>
      <w:lvlText w:val="•"/>
      <w:lvlJc w:val="left"/>
      <w:pPr>
        <w:ind w:left="2016" w:hanging="229"/>
      </w:pPr>
      <w:rPr>
        <w:rFonts w:hint="default"/>
      </w:rPr>
    </w:lvl>
    <w:lvl w:ilvl="3">
      <w:start w:val="0"/>
      <w:numFmt w:val="bullet"/>
      <w:lvlText w:val="•"/>
      <w:lvlJc w:val="left"/>
      <w:pPr>
        <w:ind w:left="2964" w:hanging="229"/>
      </w:pPr>
      <w:rPr>
        <w:rFonts w:hint="default"/>
      </w:rPr>
    </w:lvl>
    <w:lvl w:ilvl="4">
      <w:start w:val="0"/>
      <w:numFmt w:val="bullet"/>
      <w:lvlText w:val="•"/>
      <w:lvlJc w:val="left"/>
      <w:pPr>
        <w:ind w:left="3912" w:hanging="229"/>
      </w:pPr>
      <w:rPr>
        <w:rFonts w:hint="default"/>
      </w:rPr>
    </w:lvl>
    <w:lvl w:ilvl="5">
      <w:start w:val="0"/>
      <w:numFmt w:val="bullet"/>
      <w:lvlText w:val="•"/>
      <w:lvlJc w:val="left"/>
      <w:pPr>
        <w:ind w:left="4860" w:hanging="229"/>
      </w:pPr>
      <w:rPr>
        <w:rFonts w:hint="default"/>
      </w:rPr>
    </w:lvl>
    <w:lvl w:ilvl="6">
      <w:start w:val="0"/>
      <w:numFmt w:val="bullet"/>
      <w:lvlText w:val="•"/>
      <w:lvlJc w:val="left"/>
      <w:pPr>
        <w:ind w:left="5808" w:hanging="229"/>
      </w:pPr>
      <w:rPr>
        <w:rFonts w:hint="default"/>
      </w:rPr>
    </w:lvl>
    <w:lvl w:ilvl="7">
      <w:start w:val="0"/>
      <w:numFmt w:val="bullet"/>
      <w:lvlText w:val="•"/>
      <w:lvlJc w:val="left"/>
      <w:pPr>
        <w:ind w:left="6756" w:hanging="229"/>
      </w:pPr>
      <w:rPr>
        <w:rFonts w:hint="default"/>
      </w:rPr>
    </w:lvl>
    <w:lvl w:ilvl="8">
      <w:start w:val="0"/>
      <w:numFmt w:val="bullet"/>
      <w:lvlText w:val="•"/>
      <w:lvlJc w:val="left"/>
      <w:pPr>
        <w:ind w:left="7704" w:hanging="229"/>
      </w:pPr>
      <w:rPr>
        <w:rFonts w:hint="default"/>
      </w:rPr>
    </w:lvl>
  </w:abstractNum>
  <w:abstractNum w:abstractNumId="20">
    <w:multiLevelType w:val="hybridMultilevel"/>
    <w:lvl w:ilvl="0">
      <w:start w:val="1"/>
      <w:numFmt w:val="decimal"/>
      <w:lvlText w:val="%1."/>
      <w:lvlJc w:val="left"/>
      <w:pPr>
        <w:ind w:left="120" w:hanging="231"/>
        <w:jc w:val="left"/>
      </w:pPr>
      <w:rPr>
        <w:rFonts w:hint="default" w:ascii="Times New Roman" w:hAnsi="Times New Roman" w:eastAsia="Times New Roman" w:cs="Times New Roman"/>
        <w:w w:val="100"/>
        <w:sz w:val="22"/>
        <w:szCs w:val="22"/>
      </w:rPr>
    </w:lvl>
    <w:lvl w:ilvl="1">
      <w:start w:val="0"/>
      <w:numFmt w:val="bullet"/>
      <w:lvlText w:val="•"/>
      <w:lvlJc w:val="left"/>
      <w:pPr>
        <w:ind w:left="1068" w:hanging="231"/>
      </w:pPr>
      <w:rPr>
        <w:rFonts w:hint="default"/>
      </w:rPr>
    </w:lvl>
    <w:lvl w:ilvl="2">
      <w:start w:val="0"/>
      <w:numFmt w:val="bullet"/>
      <w:lvlText w:val="•"/>
      <w:lvlJc w:val="left"/>
      <w:pPr>
        <w:ind w:left="2016" w:hanging="231"/>
      </w:pPr>
      <w:rPr>
        <w:rFonts w:hint="default"/>
      </w:rPr>
    </w:lvl>
    <w:lvl w:ilvl="3">
      <w:start w:val="0"/>
      <w:numFmt w:val="bullet"/>
      <w:lvlText w:val="•"/>
      <w:lvlJc w:val="left"/>
      <w:pPr>
        <w:ind w:left="2964" w:hanging="231"/>
      </w:pPr>
      <w:rPr>
        <w:rFonts w:hint="default"/>
      </w:rPr>
    </w:lvl>
    <w:lvl w:ilvl="4">
      <w:start w:val="0"/>
      <w:numFmt w:val="bullet"/>
      <w:lvlText w:val="•"/>
      <w:lvlJc w:val="left"/>
      <w:pPr>
        <w:ind w:left="3912" w:hanging="231"/>
      </w:pPr>
      <w:rPr>
        <w:rFonts w:hint="default"/>
      </w:rPr>
    </w:lvl>
    <w:lvl w:ilvl="5">
      <w:start w:val="0"/>
      <w:numFmt w:val="bullet"/>
      <w:lvlText w:val="•"/>
      <w:lvlJc w:val="left"/>
      <w:pPr>
        <w:ind w:left="4860" w:hanging="231"/>
      </w:pPr>
      <w:rPr>
        <w:rFonts w:hint="default"/>
      </w:rPr>
    </w:lvl>
    <w:lvl w:ilvl="6">
      <w:start w:val="0"/>
      <w:numFmt w:val="bullet"/>
      <w:lvlText w:val="•"/>
      <w:lvlJc w:val="left"/>
      <w:pPr>
        <w:ind w:left="5808" w:hanging="231"/>
      </w:pPr>
      <w:rPr>
        <w:rFonts w:hint="default"/>
      </w:rPr>
    </w:lvl>
    <w:lvl w:ilvl="7">
      <w:start w:val="0"/>
      <w:numFmt w:val="bullet"/>
      <w:lvlText w:val="•"/>
      <w:lvlJc w:val="left"/>
      <w:pPr>
        <w:ind w:left="6756" w:hanging="231"/>
      </w:pPr>
      <w:rPr>
        <w:rFonts w:hint="default"/>
      </w:rPr>
    </w:lvl>
    <w:lvl w:ilvl="8">
      <w:start w:val="0"/>
      <w:numFmt w:val="bullet"/>
      <w:lvlText w:val="•"/>
      <w:lvlJc w:val="left"/>
      <w:pPr>
        <w:ind w:left="7704" w:hanging="231"/>
      </w:pPr>
      <w:rPr>
        <w:rFonts w:hint="default"/>
      </w:rPr>
    </w:lvl>
  </w:abstractNum>
  <w:abstractNum w:abstractNumId="19">
    <w:multiLevelType w:val="hybridMultilevel"/>
    <w:lvl w:ilvl="0">
      <w:start w:val="1"/>
      <w:numFmt w:val="lowerLetter"/>
      <w:lvlText w:val="%1)"/>
      <w:lvlJc w:val="left"/>
      <w:pPr>
        <w:ind w:left="1068" w:hanging="229"/>
        <w:jc w:val="left"/>
      </w:pPr>
      <w:rPr>
        <w:rFonts w:hint="default" w:ascii="Times New Roman" w:hAnsi="Times New Roman" w:eastAsia="Times New Roman" w:cs="Times New Roman"/>
        <w:w w:val="100"/>
        <w:sz w:val="22"/>
        <w:szCs w:val="22"/>
      </w:rPr>
    </w:lvl>
    <w:lvl w:ilvl="1">
      <w:start w:val="0"/>
      <w:numFmt w:val="bullet"/>
      <w:lvlText w:val="•"/>
      <w:lvlJc w:val="left"/>
      <w:pPr>
        <w:ind w:left="1914" w:hanging="229"/>
      </w:pPr>
      <w:rPr>
        <w:rFonts w:hint="default"/>
      </w:rPr>
    </w:lvl>
    <w:lvl w:ilvl="2">
      <w:start w:val="0"/>
      <w:numFmt w:val="bullet"/>
      <w:lvlText w:val="•"/>
      <w:lvlJc w:val="left"/>
      <w:pPr>
        <w:ind w:left="2768" w:hanging="229"/>
      </w:pPr>
      <w:rPr>
        <w:rFonts w:hint="default"/>
      </w:rPr>
    </w:lvl>
    <w:lvl w:ilvl="3">
      <w:start w:val="0"/>
      <w:numFmt w:val="bullet"/>
      <w:lvlText w:val="•"/>
      <w:lvlJc w:val="left"/>
      <w:pPr>
        <w:ind w:left="3622" w:hanging="229"/>
      </w:pPr>
      <w:rPr>
        <w:rFonts w:hint="default"/>
      </w:rPr>
    </w:lvl>
    <w:lvl w:ilvl="4">
      <w:start w:val="0"/>
      <w:numFmt w:val="bullet"/>
      <w:lvlText w:val="•"/>
      <w:lvlJc w:val="left"/>
      <w:pPr>
        <w:ind w:left="4476" w:hanging="229"/>
      </w:pPr>
      <w:rPr>
        <w:rFonts w:hint="default"/>
      </w:rPr>
    </w:lvl>
    <w:lvl w:ilvl="5">
      <w:start w:val="0"/>
      <w:numFmt w:val="bullet"/>
      <w:lvlText w:val="•"/>
      <w:lvlJc w:val="left"/>
      <w:pPr>
        <w:ind w:left="5330" w:hanging="229"/>
      </w:pPr>
      <w:rPr>
        <w:rFonts w:hint="default"/>
      </w:rPr>
    </w:lvl>
    <w:lvl w:ilvl="6">
      <w:start w:val="0"/>
      <w:numFmt w:val="bullet"/>
      <w:lvlText w:val="•"/>
      <w:lvlJc w:val="left"/>
      <w:pPr>
        <w:ind w:left="6184" w:hanging="229"/>
      </w:pPr>
      <w:rPr>
        <w:rFonts w:hint="default"/>
      </w:rPr>
    </w:lvl>
    <w:lvl w:ilvl="7">
      <w:start w:val="0"/>
      <w:numFmt w:val="bullet"/>
      <w:lvlText w:val="•"/>
      <w:lvlJc w:val="left"/>
      <w:pPr>
        <w:ind w:left="7038" w:hanging="229"/>
      </w:pPr>
      <w:rPr>
        <w:rFonts w:hint="default"/>
      </w:rPr>
    </w:lvl>
    <w:lvl w:ilvl="8">
      <w:start w:val="0"/>
      <w:numFmt w:val="bullet"/>
      <w:lvlText w:val="•"/>
      <w:lvlJc w:val="left"/>
      <w:pPr>
        <w:ind w:left="7892" w:hanging="229"/>
      </w:pPr>
      <w:rPr>
        <w:rFonts w:hint="default"/>
      </w:rPr>
    </w:lvl>
  </w:abstractNum>
  <w:abstractNum w:abstractNumId="18">
    <w:multiLevelType w:val="hybridMultilevel"/>
    <w:lvl w:ilvl="0">
      <w:start w:val="1"/>
      <w:numFmt w:val="lowerLetter"/>
      <w:lvlText w:val="%1)"/>
      <w:lvlJc w:val="left"/>
      <w:pPr>
        <w:ind w:left="1067" w:hanging="229"/>
        <w:jc w:val="left"/>
      </w:pPr>
      <w:rPr>
        <w:rFonts w:hint="default" w:ascii="Times New Roman" w:hAnsi="Times New Roman" w:eastAsia="Times New Roman" w:cs="Times New Roman"/>
        <w:w w:val="100"/>
        <w:sz w:val="22"/>
        <w:szCs w:val="22"/>
      </w:rPr>
    </w:lvl>
    <w:lvl w:ilvl="1">
      <w:start w:val="0"/>
      <w:numFmt w:val="bullet"/>
      <w:lvlText w:val="•"/>
      <w:lvlJc w:val="left"/>
      <w:pPr>
        <w:ind w:left="1914" w:hanging="229"/>
      </w:pPr>
      <w:rPr>
        <w:rFonts w:hint="default"/>
      </w:rPr>
    </w:lvl>
    <w:lvl w:ilvl="2">
      <w:start w:val="0"/>
      <w:numFmt w:val="bullet"/>
      <w:lvlText w:val="•"/>
      <w:lvlJc w:val="left"/>
      <w:pPr>
        <w:ind w:left="2768" w:hanging="229"/>
      </w:pPr>
      <w:rPr>
        <w:rFonts w:hint="default"/>
      </w:rPr>
    </w:lvl>
    <w:lvl w:ilvl="3">
      <w:start w:val="0"/>
      <w:numFmt w:val="bullet"/>
      <w:lvlText w:val="•"/>
      <w:lvlJc w:val="left"/>
      <w:pPr>
        <w:ind w:left="3622" w:hanging="229"/>
      </w:pPr>
      <w:rPr>
        <w:rFonts w:hint="default"/>
      </w:rPr>
    </w:lvl>
    <w:lvl w:ilvl="4">
      <w:start w:val="0"/>
      <w:numFmt w:val="bullet"/>
      <w:lvlText w:val="•"/>
      <w:lvlJc w:val="left"/>
      <w:pPr>
        <w:ind w:left="4476" w:hanging="229"/>
      </w:pPr>
      <w:rPr>
        <w:rFonts w:hint="default"/>
      </w:rPr>
    </w:lvl>
    <w:lvl w:ilvl="5">
      <w:start w:val="0"/>
      <w:numFmt w:val="bullet"/>
      <w:lvlText w:val="•"/>
      <w:lvlJc w:val="left"/>
      <w:pPr>
        <w:ind w:left="5330" w:hanging="229"/>
      </w:pPr>
      <w:rPr>
        <w:rFonts w:hint="default"/>
      </w:rPr>
    </w:lvl>
    <w:lvl w:ilvl="6">
      <w:start w:val="0"/>
      <w:numFmt w:val="bullet"/>
      <w:lvlText w:val="•"/>
      <w:lvlJc w:val="left"/>
      <w:pPr>
        <w:ind w:left="6184" w:hanging="229"/>
      </w:pPr>
      <w:rPr>
        <w:rFonts w:hint="default"/>
      </w:rPr>
    </w:lvl>
    <w:lvl w:ilvl="7">
      <w:start w:val="0"/>
      <w:numFmt w:val="bullet"/>
      <w:lvlText w:val="•"/>
      <w:lvlJc w:val="left"/>
      <w:pPr>
        <w:ind w:left="7038" w:hanging="229"/>
      </w:pPr>
      <w:rPr>
        <w:rFonts w:hint="default"/>
      </w:rPr>
    </w:lvl>
    <w:lvl w:ilvl="8">
      <w:start w:val="0"/>
      <w:numFmt w:val="bullet"/>
      <w:lvlText w:val="•"/>
      <w:lvlJc w:val="left"/>
      <w:pPr>
        <w:ind w:left="7892" w:hanging="229"/>
      </w:pPr>
      <w:rPr>
        <w:rFonts w:hint="default"/>
      </w:rPr>
    </w:lvl>
  </w:abstractNum>
  <w:abstractNum w:abstractNumId="17">
    <w:multiLevelType w:val="hybridMultilevel"/>
    <w:lvl w:ilvl="0">
      <w:start w:val="1"/>
      <w:numFmt w:val="decimal"/>
      <w:lvlText w:val="%1."/>
      <w:lvlJc w:val="left"/>
      <w:pPr>
        <w:ind w:left="119" w:hanging="233"/>
        <w:jc w:val="left"/>
      </w:pPr>
      <w:rPr>
        <w:rFonts w:hint="default" w:ascii="Times New Roman" w:hAnsi="Times New Roman" w:eastAsia="Times New Roman" w:cs="Times New Roman"/>
        <w:w w:val="100"/>
        <w:sz w:val="22"/>
        <w:szCs w:val="22"/>
      </w:rPr>
    </w:lvl>
    <w:lvl w:ilvl="1">
      <w:start w:val="0"/>
      <w:numFmt w:val="bullet"/>
      <w:lvlText w:val="•"/>
      <w:lvlJc w:val="left"/>
      <w:pPr>
        <w:ind w:left="1068" w:hanging="233"/>
      </w:pPr>
      <w:rPr>
        <w:rFonts w:hint="default"/>
      </w:rPr>
    </w:lvl>
    <w:lvl w:ilvl="2">
      <w:start w:val="0"/>
      <w:numFmt w:val="bullet"/>
      <w:lvlText w:val="•"/>
      <w:lvlJc w:val="left"/>
      <w:pPr>
        <w:ind w:left="2016" w:hanging="233"/>
      </w:pPr>
      <w:rPr>
        <w:rFonts w:hint="default"/>
      </w:rPr>
    </w:lvl>
    <w:lvl w:ilvl="3">
      <w:start w:val="0"/>
      <w:numFmt w:val="bullet"/>
      <w:lvlText w:val="•"/>
      <w:lvlJc w:val="left"/>
      <w:pPr>
        <w:ind w:left="2964" w:hanging="233"/>
      </w:pPr>
      <w:rPr>
        <w:rFonts w:hint="default"/>
      </w:rPr>
    </w:lvl>
    <w:lvl w:ilvl="4">
      <w:start w:val="0"/>
      <w:numFmt w:val="bullet"/>
      <w:lvlText w:val="•"/>
      <w:lvlJc w:val="left"/>
      <w:pPr>
        <w:ind w:left="3912" w:hanging="233"/>
      </w:pPr>
      <w:rPr>
        <w:rFonts w:hint="default"/>
      </w:rPr>
    </w:lvl>
    <w:lvl w:ilvl="5">
      <w:start w:val="0"/>
      <w:numFmt w:val="bullet"/>
      <w:lvlText w:val="•"/>
      <w:lvlJc w:val="left"/>
      <w:pPr>
        <w:ind w:left="4860" w:hanging="233"/>
      </w:pPr>
      <w:rPr>
        <w:rFonts w:hint="default"/>
      </w:rPr>
    </w:lvl>
    <w:lvl w:ilvl="6">
      <w:start w:val="0"/>
      <w:numFmt w:val="bullet"/>
      <w:lvlText w:val="•"/>
      <w:lvlJc w:val="left"/>
      <w:pPr>
        <w:ind w:left="5808" w:hanging="233"/>
      </w:pPr>
      <w:rPr>
        <w:rFonts w:hint="default"/>
      </w:rPr>
    </w:lvl>
    <w:lvl w:ilvl="7">
      <w:start w:val="0"/>
      <w:numFmt w:val="bullet"/>
      <w:lvlText w:val="•"/>
      <w:lvlJc w:val="left"/>
      <w:pPr>
        <w:ind w:left="6756" w:hanging="233"/>
      </w:pPr>
      <w:rPr>
        <w:rFonts w:hint="default"/>
      </w:rPr>
    </w:lvl>
    <w:lvl w:ilvl="8">
      <w:start w:val="0"/>
      <w:numFmt w:val="bullet"/>
      <w:lvlText w:val="•"/>
      <w:lvlJc w:val="left"/>
      <w:pPr>
        <w:ind w:left="7704" w:hanging="233"/>
      </w:pPr>
      <w:rPr>
        <w:rFonts w:hint="default"/>
      </w:rPr>
    </w:lvl>
  </w:abstractNum>
  <w:abstractNum w:abstractNumId="16">
    <w:multiLevelType w:val="hybridMultilevel"/>
    <w:lvl w:ilvl="0">
      <w:start w:val="1"/>
      <w:numFmt w:val="lowerLetter"/>
      <w:lvlText w:val="%1)"/>
      <w:lvlJc w:val="left"/>
      <w:pPr>
        <w:ind w:left="1067" w:hanging="229"/>
        <w:jc w:val="left"/>
      </w:pPr>
      <w:rPr>
        <w:rFonts w:hint="default" w:ascii="Times New Roman" w:hAnsi="Times New Roman" w:eastAsia="Times New Roman" w:cs="Times New Roman"/>
        <w:w w:val="100"/>
        <w:sz w:val="22"/>
        <w:szCs w:val="22"/>
      </w:rPr>
    </w:lvl>
    <w:lvl w:ilvl="1">
      <w:start w:val="0"/>
      <w:numFmt w:val="bullet"/>
      <w:lvlText w:val="•"/>
      <w:lvlJc w:val="left"/>
      <w:pPr>
        <w:ind w:left="1914" w:hanging="229"/>
      </w:pPr>
      <w:rPr>
        <w:rFonts w:hint="default"/>
      </w:rPr>
    </w:lvl>
    <w:lvl w:ilvl="2">
      <w:start w:val="0"/>
      <w:numFmt w:val="bullet"/>
      <w:lvlText w:val="•"/>
      <w:lvlJc w:val="left"/>
      <w:pPr>
        <w:ind w:left="2768" w:hanging="229"/>
      </w:pPr>
      <w:rPr>
        <w:rFonts w:hint="default"/>
      </w:rPr>
    </w:lvl>
    <w:lvl w:ilvl="3">
      <w:start w:val="0"/>
      <w:numFmt w:val="bullet"/>
      <w:lvlText w:val="•"/>
      <w:lvlJc w:val="left"/>
      <w:pPr>
        <w:ind w:left="3622" w:hanging="229"/>
      </w:pPr>
      <w:rPr>
        <w:rFonts w:hint="default"/>
      </w:rPr>
    </w:lvl>
    <w:lvl w:ilvl="4">
      <w:start w:val="0"/>
      <w:numFmt w:val="bullet"/>
      <w:lvlText w:val="•"/>
      <w:lvlJc w:val="left"/>
      <w:pPr>
        <w:ind w:left="4476" w:hanging="229"/>
      </w:pPr>
      <w:rPr>
        <w:rFonts w:hint="default"/>
      </w:rPr>
    </w:lvl>
    <w:lvl w:ilvl="5">
      <w:start w:val="0"/>
      <w:numFmt w:val="bullet"/>
      <w:lvlText w:val="•"/>
      <w:lvlJc w:val="left"/>
      <w:pPr>
        <w:ind w:left="5330" w:hanging="229"/>
      </w:pPr>
      <w:rPr>
        <w:rFonts w:hint="default"/>
      </w:rPr>
    </w:lvl>
    <w:lvl w:ilvl="6">
      <w:start w:val="0"/>
      <w:numFmt w:val="bullet"/>
      <w:lvlText w:val="•"/>
      <w:lvlJc w:val="left"/>
      <w:pPr>
        <w:ind w:left="6184" w:hanging="229"/>
      </w:pPr>
      <w:rPr>
        <w:rFonts w:hint="default"/>
      </w:rPr>
    </w:lvl>
    <w:lvl w:ilvl="7">
      <w:start w:val="0"/>
      <w:numFmt w:val="bullet"/>
      <w:lvlText w:val="•"/>
      <w:lvlJc w:val="left"/>
      <w:pPr>
        <w:ind w:left="7038" w:hanging="229"/>
      </w:pPr>
      <w:rPr>
        <w:rFonts w:hint="default"/>
      </w:rPr>
    </w:lvl>
    <w:lvl w:ilvl="8">
      <w:start w:val="0"/>
      <w:numFmt w:val="bullet"/>
      <w:lvlText w:val="•"/>
      <w:lvlJc w:val="left"/>
      <w:pPr>
        <w:ind w:left="7892" w:hanging="229"/>
      </w:pPr>
      <w:rPr>
        <w:rFonts w:hint="default"/>
      </w:rPr>
    </w:lvl>
  </w:abstractNum>
  <w:abstractNum w:abstractNumId="15">
    <w:multiLevelType w:val="hybridMultilevel"/>
    <w:lvl w:ilvl="0">
      <w:start w:val="1"/>
      <w:numFmt w:val="decimal"/>
      <w:lvlText w:val="%1."/>
      <w:lvlJc w:val="left"/>
      <w:pPr>
        <w:ind w:left="1060" w:hanging="221"/>
        <w:jc w:val="left"/>
      </w:pPr>
      <w:rPr>
        <w:rFonts w:hint="default" w:ascii="Times New Roman" w:hAnsi="Times New Roman" w:eastAsia="Times New Roman" w:cs="Times New Roman"/>
        <w:w w:val="100"/>
        <w:sz w:val="22"/>
        <w:szCs w:val="22"/>
      </w:rPr>
    </w:lvl>
    <w:lvl w:ilvl="1">
      <w:start w:val="0"/>
      <w:numFmt w:val="bullet"/>
      <w:lvlText w:val="•"/>
      <w:lvlJc w:val="left"/>
      <w:pPr>
        <w:ind w:left="1914" w:hanging="221"/>
      </w:pPr>
      <w:rPr>
        <w:rFonts w:hint="default"/>
      </w:rPr>
    </w:lvl>
    <w:lvl w:ilvl="2">
      <w:start w:val="0"/>
      <w:numFmt w:val="bullet"/>
      <w:lvlText w:val="•"/>
      <w:lvlJc w:val="left"/>
      <w:pPr>
        <w:ind w:left="2768" w:hanging="221"/>
      </w:pPr>
      <w:rPr>
        <w:rFonts w:hint="default"/>
      </w:rPr>
    </w:lvl>
    <w:lvl w:ilvl="3">
      <w:start w:val="0"/>
      <w:numFmt w:val="bullet"/>
      <w:lvlText w:val="•"/>
      <w:lvlJc w:val="left"/>
      <w:pPr>
        <w:ind w:left="3622" w:hanging="221"/>
      </w:pPr>
      <w:rPr>
        <w:rFonts w:hint="default"/>
      </w:rPr>
    </w:lvl>
    <w:lvl w:ilvl="4">
      <w:start w:val="0"/>
      <w:numFmt w:val="bullet"/>
      <w:lvlText w:val="•"/>
      <w:lvlJc w:val="left"/>
      <w:pPr>
        <w:ind w:left="4476" w:hanging="221"/>
      </w:pPr>
      <w:rPr>
        <w:rFonts w:hint="default"/>
      </w:rPr>
    </w:lvl>
    <w:lvl w:ilvl="5">
      <w:start w:val="0"/>
      <w:numFmt w:val="bullet"/>
      <w:lvlText w:val="•"/>
      <w:lvlJc w:val="left"/>
      <w:pPr>
        <w:ind w:left="5330" w:hanging="221"/>
      </w:pPr>
      <w:rPr>
        <w:rFonts w:hint="default"/>
      </w:rPr>
    </w:lvl>
    <w:lvl w:ilvl="6">
      <w:start w:val="0"/>
      <w:numFmt w:val="bullet"/>
      <w:lvlText w:val="•"/>
      <w:lvlJc w:val="left"/>
      <w:pPr>
        <w:ind w:left="6184" w:hanging="221"/>
      </w:pPr>
      <w:rPr>
        <w:rFonts w:hint="default"/>
      </w:rPr>
    </w:lvl>
    <w:lvl w:ilvl="7">
      <w:start w:val="0"/>
      <w:numFmt w:val="bullet"/>
      <w:lvlText w:val="•"/>
      <w:lvlJc w:val="left"/>
      <w:pPr>
        <w:ind w:left="7038" w:hanging="221"/>
      </w:pPr>
      <w:rPr>
        <w:rFonts w:hint="default"/>
      </w:rPr>
    </w:lvl>
    <w:lvl w:ilvl="8">
      <w:start w:val="0"/>
      <w:numFmt w:val="bullet"/>
      <w:lvlText w:val="•"/>
      <w:lvlJc w:val="left"/>
      <w:pPr>
        <w:ind w:left="7892" w:hanging="221"/>
      </w:pPr>
      <w:rPr>
        <w:rFonts w:hint="default"/>
      </w:rPr>
    </w:lvl>
  </w:abstractNum>
  <w:abstractNum w:abstractNumId="14">
    <w:multiLevelType w:val="hybridMultilevel"/>
    <w:lvl w:ilvl="0">
      <w:start w:val="1"/>
      <w:numFmt w:val="lowerLetter"/>
      <w:lvlText w:val="%1)"/>
      <w:lvlJc w:val="left"/>
      <w:pPr>
        <w:ind w:left="1068" w:hanging="229"/>
        <w:jc w:val="left"/>
      </w:pPr>
      <w:rPr>
        <w:rFonts w:hint="default" w:ascii="Times New Roman" w:hAnsi="Times New Roman" w:eastAsia="Times New Roman" w:cs="Times New Roman"/>
        <w:w w:val="100"/>
        <w:sz w:val="22"/>
        <w:szCs w:val="22"/>
      </w:rPr>
    </w:lvl>
    <w:lvl w:ilvl="1">
      <w:start w:val="0"/>
      <w:numFmt w:val="bullet"/>
      <w:lvlText w:val="•"/>
      <w:lvlJc w:val="left"/>
      <w:pPr>
        <w:ind w:left="1914" w:hanging="229"/>
      </w:pPr>
      <w:rPr>
        <w:rFonts w:hint="default"/>
      </w:rPr>
    </w:lvl>
    <w:lvl w:ilvl="2">
      <w:start w:val="0"/>
      <w:numFmt w:val="bullet"/>
      <w:lvlText w:val="•"/>
      <w:lvlJc w:val="left"/>
      <w:pPr>
        <w:ind w:left="2768" w:hanging="229"/>
      </w:pPr>
      <w:rPr>
        <w:rFonts w:hint="default"/>
      </w:rPr>
    </w:lvl>
    <w:lvl w:ilvl="3">
      <w:start w:val="0"/>
      <w:numFmt w:val="bullet"/>
      <w:lvlText w:val="•"/>
      <w:lvlJc w:val="left"/>
      <w:pPr>
        <w:ind w:left="3622" w:hanging="229"/>
      </w:pPr>
      <w:rPr>
        <w:rFonts w:hint="default"/>
      </w:rPr>
    </w:lvl>
    <w:lvl w:ilvl="4">
      <w:start w:val="0"/>
      <w:numFmt w:val="bullet"/>
      <w:lvlText w:val="•"/>
      <w:lvlJc w:val="left"/>
      <w:pPr>
        <w:ind w:left="4476" w:hanging="229"/>
      </w:pPr>
      <w:rPr>
        <w:rFonts w:hint="default"/>
      </w:rPr>
    </w:lvl>
    <w:lvl w:ilvl="5">
      <w:start w:val="0"/>
      <w:numFmt w:val="bullet"/>
      <w:lvlText w:val="•"/>
      <w:lvlJc w:val="left"/>
      <w:pPr>
        <w:ind w:left="5330" w:hanging="229"/>
      </w:pPr>
      <w:rPr>
        <w:rFonts w:hint="default"/>
      </w:rPr>
    </w:lvl>
    <w:lvl w:ilvl="6">
      <w:start w:val="0"/>
      <w:numFmt w:val="bullet"/>
      <w:lvlText w:val="•"/>
      <w:lvlJc w:val="left"/>
      <w:pPr>
        <w:ind w:left="6184" w:hanging="229"/>
      </w:pPr>
      <w:rPr>
        <w:rFonts w:hint="default"/>
      </w:rPr>
    </w:lvl>
    <w:lvl w:ilvl="7">
      <w:start w:val="0"/>
      <w:numFmt w:val="bullet"/>
      <w:lvlText w:val="•"/>
      <w:lvlJc w:val="left"/>
      <w:pPr>
        <w:ind w:left="7038" w:hanging="229"/>
      </w:pPr>
      <w:rPr>
        <w:rFonts w:hint="default"/>
      </w:rPr>
    </w:lvl>
    <w:lvl w:ilvl="8">
      <w:start w:val="0"/>
      <w:numFmt w:val="bullet"/>
      <w:lvlText w:val="•"/>
      <w:lvlJc w:val="left"/>
      <w:pPr>
        <w:ind w:left="7892" w:hanging="229"/>
      </w:pPr>
      <w:rPr>
        <w:rFonts w:hint="default"/>
      </w:rPr>
    </w:lvl>
  </w:abstractNum>
  <w:abstractNum w:abstractNumId="13">
    <w:multiLevelType w:val="hybridMultilevel"/>
    <w:lvl w:ilvl="0">
      <w:start w:val="1"/>
      <w:numFmt w:val="lowerLetter"/>
      <w:lvlText w:val="%1)"/>
      <w:lvlJc w:val="left"/>
      <w:pPr>
        <w:ind w:left="120" w:hanging="231"/>
        <w:jc w:val="left"/>
      </w:pPr>
      <w:rPr>
        <w:rFonts w:hint="default" w:ascii="Times New Roman" w:hAnsi="Times New Roman" w:eastAsia="Times New Roman" w:cs="Times New Roman"/>
        <w:w w:val="100"/>
        <w:sz w:val="22"/>
        <w:szCs w:val="22"/>
      </w:rPr>
    </w:lvl>
    <w:lvl w:ilvl="1">
      <w:start w:val="0"/>
      <w:numFmt w:val="bullet"/>
      <w:lvlText w:val="•"/>
      <w:lvlJc w:val="left"/>
      <w:pPr>
        <w:ind w:left="1068" w:hanging="231"/>
      </w:pPr>
      <w:rPr>
        <w:rFonts w:hint="default"/>
      </w:rPr>
    </w:lvl>
    <w:lvl w:ilvl="2">
      <w:start w:val="0"/>
      <w:numFmt w:val="bullet"/>
      <w:lvlText w:val="•"/>
      <w:lvlJc w:val="left"/>
      <w:pPr>
        <w:ind w:left="2016" w:hanging="231"/>
      </w:pPr>
      <w:rPr>
        <w:rFonts w:hint="default"/>
      </w:rPr>
    </w:lvl>
    <w:lvl w:ilvl="3">
      <w:start w:val="0"/>
      <w:numFmt w:val="bullet"/>
      <w:lvlText w:val="•"/>
      <w:lvlJc w:val="left"/>
      <w:pPr>
        <w:ind w:left="2964" w:hanging="231"/>
      </w:pPr>
      <w:rPr>
        <w:rFonts w:hint="default"/>
      </w:rPr>
    </w:lvl>
    <w:lvl w:ilvl="4">
      <w:start w:val="0"/>
      <w:numFmt w:val="bullet"/>
      <w:lvlText w:val="•"/>
      <w:lvlJc w:val="left"/>
      <w:pPr>
        <w:ind w:left="3912" w:hanging="231"/>
      </w:pPr>
      <w:rPr>
        <w:rFonts w:hint="default"/>
      </w:rPr>
    </w:lvl>
    <w:lvl w:ilvl="5">
      <w:start w:val="0"/>
      <w:numFmt w:val="bullet"/>
      <w:lvlText w:val="•"/>
      <w:lvlJc w:val="left"/>
      <w:pPr>
        <w:ind w:left="4860" w:hanging="231"/>
      </w:pPr>
      <w:rPr>
        <w:rFonts w:hint="default"/>
      </w:rPr>
    </w:lvl>
    <w:lvl w:ilvl="6">
      <w:start w:val="0"/>
      <w:numFmt w:val="bullet"/>
      <w:lvlText w:val="•"/>
      <w:lvlJc w:val="left"/>
      <w:pPr>
        <w:ind w:left="5808" w:hanging="231"/>
      </w:pPr>
      <w:rPr>
        <w:rFonts w:hint="default"/>
      </w:rPr>
    </w:lvl>
    <w:lvl w:ilvl="7">
      <w:start w:val="0"/>
      <w:numFmt w:val="bullet"/>
      <w:lvlText w:val="•"/>
      <w:lvlJc w:val="left"/>
      <w:pPr>
        <w:ind w:left="6756" w:hanging="231"/>
      </w:pPr>
      <w:rPr>
        <w:rFonts w:hint="default"/>
      </w:rPr>
    </w:lvl>
    <w:lvl w:ilvl="8">
      <w:start w:val="0"/>
      <w:numFmt w:val="bullet"/>
      <w:lvlText w:val="•"/>
      <w:lvlJc w:val="left"/>
      <w:pPr>
        <w:ind w:left="7704" w:hanging="231"/>
      </w:pPr>
      <w:rPr>
        <w:rFonts w:hint="default"/>
      </w:rPr>
    </w:lvl>
  </w:abstractNum>
  <w:abstractNum w:abstractNumId="12">
    <w:multiLevelType w:val="hybridMultilevel"/>
    <w:lvl w:ilvl="0">
      <w:start w:val="1"/>
      <w:numFmt w:val="decimal"/>
      <w:lvlText w:val="%1."/>
      <w:lvlJc w:val="left"/>
      <w:pPr>
        <w:ind w:left="1060" w:hanging="221"/>
        <w:jc w:val="left"/>
      </w:pPr>
      <w:rPr>
        <w:rFonts w:hint="default" w:ascii="Times New Roman" w:hAnsi="Times New Roman" w:eastAsia="Times New Roman" w:cs="Times New Roman"/>
        <w:w w:val="100"/>
        <w:sz w:val="22"/>
        <w:szCs w:val="22"/>
      </w:rPr>
    </w:lvl>
    <w:lvl w:ilvl="1">
      <w:start w:val="0"/>
      <w:numFmt w:val="bullet"/>
      <w:lvlText w:val="•"/>
      <w:lvlJc w:val="left"/>
      <w:pPr>
        <w:ind w:left="1914" w:hanging="221"/>
      </w:pPr>
      <w:rPr>
        <w:rFonts w:hint="default"/>
      </w:rPr>
    </w:lvl>
    <w:lvl w:ilvl="2">
      <w:start w:val="0"/>
      <w:numFmt w:val="bullet"/>
      <w:lvlText w:val="•"/>
      <w:lvlJc w:val="left"/>
      <w:pPr>
        <w:ind w:left="2768" w:hanging="221"/>
      </w:pPr>
      <w:rPr>
        <w:rFonts w:hint="default"/>
      </w:rPr>
    </w:lvl>
    <w:lvl w:ilvl="3">
      <w:start w:val="0"/>
      <w:numFmt w:val="bullet"/>
      <w:lvlText w:val="•"/>
      <w:lvlJc w:val="left"/>
      <w:pPr>
        <w:ind w:left="3622" w:hanging="221"/>
      </w:pPr>
      <w:rPr>
        <w:rFonts w:hint="default"/>
      </w:rPr>
    </w:lvl>
    <w:lvl w:ilvl="4">
      <w:start w:val="0"/>
      <w:numFmt w:val="bullet"/>
      <w:lvlText w:val="•"/>
      <w:lvlJc w:val="left"/>
      <w:pPr>
        <w:ind w:left="4476" w:hanging="221"/>
      </w:pPr>
      <w:rPr>
        <w:rFonts w:hint="default"/>
      </w:rPr>
    </w:lvl>
    <w:lvl w:ilvl="5">
      <w:start w:val="0"/>
      <w:numFmt w:val="bullet"/>
      <w:lvlText w:val="•"/>
      <w:lvlJc w:val="left"/>
      <w:pPr>
        <w:ind w:left="5330" w:hanging="221"/>
      </w:pPr>
      <w:rPr>
        <w:rFonts w:hint="default"/>
      </w:rPr>
    </w:lvl>
    <w:lvl w:ilvl="6">
      <w:start w:val="0"/>
      <w:numFmt w:val="bullet"/>
      <w:lvlText w:val="•"/>
      <w:lvlJc w:val="left"/>
      <w:pPr>
        <w:ind w:left="6184" w:hanging="221"/>
      </w:pPr>
      <w:rPr>
        <w:rFonts w:hint="default"/>
      </w:rPr>
    </w:lvl>
    <w:lvl w:ilvl="7">
      <w:start w:val="0"/>
      <w:numFmt w:val="bullet"/>
      <w:lvlText w:val="•"/>
      <w:lvlJc w:val="left"/>
      <w:pPr>
        <w:ind w:left="7038" w:hanging="221"/>
      </w:pPr>
      <w:rPr>
        <w:rFonts w:hint="default"/>
      </w:rPr>
    </w:lvl>
    <w:lvl w:ilvl="8">
      <w:start w:val="0"/>
      <w:numFmt w:val="bullet"/>
      <w:lvlText w:val="•"/>
      <w:lvlJc w:val="left"/>
      <w:pPr>
        <w:ind w:left="7892" w:hanging="221"/>
      </w:pPr>
      <w:rPr>
        <w:rFonts w:hint="default"/>
      </w:rPr>
    </w:lvl>
  </w:abstractNum>
  <w:abstractNum w:abstractNumId="11">
    <w:multiLevelType w:val="hybridMultilevel"/>
    <w:lvl w:ilvl="0">
      <w:start w:val="1"/>
      <w:numFmt w:val="decimal"/>
      <w:lvlText w:val="%1."/>
      <w:lvlJc w:val="left"/>
      <w:pPr>
        <w:ind w:left="120" w:hanging="301"/>
        <w:jc w:val="left"/>
      </w:pPr>
      <w:rPr>
        <w:rFonts w:hint="default" w:ascii="Times New Roman" w:hAnsi="Times New Roman" w:eastAsia="Times New Roman" w:cs="Times New Roman"/>
        <w:w w:val="100"/>
        <w:sz w:val="22"/>
        <w:szCs w:val="22"/>
      </w:rPr>
    </w:lvl>
    <w:lvl w:ilvl="1">
      <w:start w:val="0"/>
      <w:numFmt w:val="bullet"/>
      <w:lvlText w:val="•"/>
      <w:lvlJc w:val="left"/>
      <w:pPr>
        <w:ind w:left="1068" w:hanging="301"/>
      </w:pPr>
      <w:rPr>
        <w:rFonts w:hint="default"/>
      </w:rPr>
    </w:lvl>
    <w:lvl w:ilvl="2">
      <w:start w:val="0"/>
      <w:numFmt w:val="bullet"/>
      <w:lvlText w:val="•"/>
      <w:lvlJc w:val="left"/>
      <w:pPr>
        <w:ind w:left="2016" w:hanging="301"/>
      </w:pPr>
      <w:rPr>
        <w:rFonts w:hint="default"/>
      </w:rPr>
    </w:lvl>
    <w:lvl w:ilvl="3">
      <w:start w:val="0"/>
      <w:numFmt w:val="bullet"/>
      <w:lvlText w:val="•"/>
      <w:lvlJc w:val="left"/>
      <w:pPr>
        <w:ind w:left="2964" w:hanging="301"/>
      </w:pPr>
      <w:rPr>
        <w:rFonts w:hint="default"/>
      </w:rPr>
    </w:lvl>
    <w:lvl w:ilvl="4">
      <w:start w:val="0"/>
      <w:numFmt w:val="bullet"/>
      <w:lvlText w:val="•"/>
      <w:lvlJc w:val="left"/>
      <w:pPr>
        <w:ind w:left="3912" w:hanging="301"/>
      </w:pPr>
      <w:rPr>
        <w:rFonts w:hint="default"/>
      </w:rPr>
    </w:lvl>
    <w:lvl w:ilvl="5">
      <w:start w:val="0"/>
      <w:numFmt w:val="bullet"/>
      <w:lvlText w:val="•"/>
      <w:lvlJc w:val="left"/>
      <w:pPr>
        <w:ind w:left="4860" w:hanging="301"/>
      </w:pPr>
      <w:rPr>
        <w:rFonts w:hint="default"/>
      </w:rPr>
    </w:lvl>
    <w:lvl w:ilvl="6">
      <w:start w:val="0"/>
      <w:numFmt w:val="bullet"/>
      <w:lvlText w:val="•"/>
      <w:lvlJc w:val="left"/>
      <w:pPr>
        <w:ind w:left="5808" w:hanging="301"/>
      </w:pPr>
      <w:rPr>
        <w:rFonts w:hint="default"/>
      </w:rPr>
    </w:lvl>
    <w:lvl w:ilvl="7">
      <w:start w:val="0"/>
      <w:numFmt w:val="bullet"/>
      <w:lvlText w:val="•"/>
      <w:lvlJc w:val="left"/>
      <w:pPr>
        <w:ind w:left="6756" w:hanging="301"/>
      </w:pPr>
      <w:rPr>
        <w:rFonts w:hint="default"/>
      </w:rPr>
    </w:lvl>
    <w:lvl w:ilvl="8">
      <w:start w:val="0"/>
      <w:numFmt w:val="bullet"/>
      <w:lvlText w:val="•"/>
      <w:lvlJc w:val="left"/>
      <w:pPr>
        <w:ind w:left="7704" w:hanging="301"/>
      </w:pPr>
      <w:rPr>
        <w:rFonts w:hint="default"/>
      </w:rPr>
    </w:lvl>
  </w:abstractNum>
  <w:abstractNum w:abstractNumId="10">
    <w:multiLevelType w:val="hybridMultilevel"/>
    <w:lvl w:ilvl="0">
      <w:start w:val="1"/>
      <w:numFmt w:val="lowerLetter"/>
      <w:lvlText w:val="%1)"/>
      <w:lvlJc w:val="left"/>
      <w:pPr>
        <w:ind w:left="1067" w:hanging="229"/>
        <w:jc w:val="left"/>
      </w:pPr>
      <w:rPr>
        <w:rFonts w:hint="default" w:ascii="Times New Roman" w:hAnsi="Times New Roman" w:eastAsia="Times New Roman" w:cs="Times New Roman"/>
        <w:w w:val="100"/>
        <w:sz w:val="22"/>
        <w:szCs w:val="22"/>
      </w:rPr>
    </w:lvl>
    <w:lvl w:ilvl="1">
      <w:start w:val="0"/>
      <w:numFmt w:val="bullet"/>
      <w:lvlText w:val="•"/>
      <w:lvlJc w:val="left"/>
      <w:pPr>
        <w:ind w:left="1914" w:hanging="229"/>
      </w:pPr>
      <w:rPr>
        <w:rFonts w:hint="default"/>
      </w:rPr>
    </w:lvl>
    <w:lvl w:ilvl="2">
      <w:start w:val="0"/>
      <w:numFmt w:val="bullet"/>
      <w:lvlText w:val="•"/>
      <w:lvlJc w:val="left"/>
      <w:pPr>
        <w:ind w:left="2768" w:hanging="229"/>
      </w:pPr>
      <w:rPr>
        <w:rFonts w:hint="default"/>
      </w:rPr>
    </w:lvl>
    <w:lvl w:ilvl="3">
      <w:start w:val="0"/>
      <w:numFmt w:val="bullet"/>
      <w:lvlText w:val="•"/>
      <w:lvlJc w:val="left"/>
      <w:pPr>
        <w:ind w:left="3622" w:hanging="229"/>
      </w:pPr>
      <w:rPr>
        <w:rFonts w:hint="default"/>
      </w:rPr>
    </w:lvl>
    <w:lvl w:ilvl="4">
      <w:start w:val="0"/>
      <w:numFmt w:val="bullet"/>
      <w:lvlText w:val="•"/>
      <w:lvlJc w:val="left"/>
      <w:pPr>
        <w:ind w:left="4476" w:hanging="229"/>
      </w:pPr>
      <w:rPr>
        <w:rFonts w:hint="default"/>
      </w:rPr>
    </w:lvl>
    <w:lvl w:ilvl="5">
      <w:start w:val="0"/>
      <w:numFmt w:val="bullet"/>
      <w:lvlText w:val="•"/>
      <w:lvlJc w:val="left"/>
      <w:pPr>
        <w:ind w:left="5330" w:hanging="229"/>
      </w:pPr>
      <w:rPr>
        <w:rFonts w:hint="default"/>
      </w:rPr>
    </w:lvl>
    <w:lvl w:ilvl="6">
      <w:start w:val="0"/>
      <w:numFmt w:val="bullet"/>
      <w:lvlText w:val="•"/>
      <w:lvlJc w:val="left"/>
      <w:pPr>
        <w:ind w:left="6184" w:hanging="229"/>
      </w:pPr>
      <w:rPr>
        <w:rFonts w:hint="default"/>
      </w:rPr>
    </w:lvl>
    <w:lvl w:ilvl="7">
      <w:start w:val="0"/>
      <w:numFmt w:val="bullet"/>
      <w:lvlText w:val="•"/>
      <w:lvlJc w:val="left"/>
      <w:pPr>
        <w:ind w:left="7038" w:hanging="229"/>
      </w:pPr>
      <w:rPr>
        <w:rFonts w:hint="default"/>
      </w:rPr>
    </w:lvl>
    <w:lvl w:ilvl="8">
      <w:start w:val="0"/>
      <w:numFmt w:val="bullet"/>
      <w:lvlText w:val="•"/>
      <w:lvlJc w:val="left"/>
      <w:pPr>
        <w:ind w:left="7892" w:hanging="229"/>
      </w:pPr>
      <w:rPr>
        <w:rFonts w:hint="default"/>
      </w:rPr>
    </w:lvl>
  </w:abstractNum>
  <w:abstractNum w:abstractNumId="9">
    <w:multiLevelType w:val="hybridMultilevel"/>
    <w:lvl w:ilvl="0">
      <w:start w:val="1"/>
      <w:numFmt w:val="lowerLetter"/>
      <w:lvlText w:val="%1)"/>
      <w:lvlJc w:val="left"/>
      <w:pPr>
        <w:ind w:left="1067" w:hanging="229"/>
        <w:jc w:val="left"/>
      </w:pPr>
      <w:rPr>
        <w:rFonts w:hint="default" w:ascii="Times New Roman" w:hAnsi="Times New Roman" w:eastAsia="Times New Roman" w:cs="Times New Roman"/>
        <w:w w:val="100"/>
        <w:sz w:val="22"/>
        <w:szCs w:val="22"/>
      </w:rPr>
    </w:lvl>
    <w:lvl w:ilvl="1">
      <w:start w:val="0"/>
      <w:numFmt w:val="bullet"/>
      <w:lvlText w:val="•"/>
      <w:lvlJc w:val="left"/>
      <w:pPr>
        <w:ind w:left="1914" w:hanging="229"/>
      </w:pPr>
      <w:rPr>
        <w:rFonts w:hint="default"/>
      </w:rPr>
    </w:lvl>
    <w:lvl w:ilvl="2">
      <w:start w:val="0"/>
      <w:numFmt w:val="bullet"/>
      <w:lvlText w:val="•"/>
      <w:lvlJc w:val="left"/>
      <w:pPr>
        <w:ind w:left="2768" w:hanging="229"/>
      </w:pPr>
      <w:rPr>
        <w:rFonts w:hint="default"/>
      </w:rPr>
    </w:lvl>
    <w:lvl w:ilvl="3">
      <w:start w:val="0"/>
      <w:numFmt w:val="bullet"/>
      <w:lvlText w:val="•"/>
      <w:lvlJc w:val="left"/>
      <w:pPr>
        <w:ind w:left="3622" w:hanging="229"/>
      </w:pPr>
      <w:rPr>
        <w:rFonts w:hint="default"/>
      </w:rPr>
    </w:lvl>
    <w:lvl w:ilvl="4">
      <w:start w:val="0"/>
      <w:numFmt w:val="bullet"/>
      <w:lvlText w:val="•"/>
      <w:lvlJc w:val="left"/>
      <w:pPr>
        <w:ind w:left="4476" w:hanging="229"/>
      </w:pPr>
      <w:rPr>
        <w:rFonts w:hint="default"/>
      </w:rPr>
    </w:lvl>
    <w:lvl w:ilvl="5">
      <w:start w:val="0"/>
      <w:numFmt w:val="bullet"/>
      <w:lvlText w:val="•"/>
      <w:lvlJc w:val="left"/>
      <w:pPr>
        <w:ind w:left="5330" w:hanging="229"/>
      </w:pPr>
      <w:rPr>
        <w:rFonts w:hint="default"/>
      </w:rPr>
    </w:lvl>
    <w:lvl w:ilvl="6">
      <w:start w:val="0"/>
      <w:numFmt w:val="bullet"/>
      <w:lvlText w:val="•"/>
      <w:lvlJc w:val="left"/>
      <w:pPr>
        <w:ind w:left="6184" w:hanging="229"/>
      </w:pPr>
      <w:rPr>
        <w:rFonts w:hint="default"/>
      </w:rPr>
    </w:lvl>
    <w:lvl w:ilvl="7">
      <w:start w:val="0"/>
      <w:numFmt w:val="bullet"/>
      <w:lvlText w:val="•"/>
      <w:lvlJc w:val="left"/>
      <w:pPr>
        <w:ind w:left="7038" w:hanging="229"/>
      </w:pPr>
      <w:rPr>
        <w:rFonts w:hint="default"/>
      </w:rPr>
    </w:lvl>
    <w:lvl w:ilvl="8">
      <w:start w:val="0"/>
      <w:numFmt w:val="bullet"/>
      <w:lvlText w:val="•"/>
      <w:lvlJc w:val="left"/>
      <w:pPr>
        <w:ind w:left="7892" w:hanging="229"/>
      </w:pPr>
      <w:rPr>
        <w:rFonts w:hint="default"/>
      </w:rPr>
    </w:lvl>
  </w:abstractNum>
  <w:abstractNum w:abstractNumId="8">
    <w:multiLevelType w:val="hybridMultilevel"/>
    <w:lvl w:ilvl="0">
      <w:start w:val="1"/>
      <w:numFmt w:val="decimal"/>
      <w:lvlText w:val="%1."/>
      <w:lvlJc w:val="left"/>
      <w:pPr>
        <w:ind w:left="1060" w:hanging="221"/>
        <w:jc w:val="left"/>
      </w:pPr>
      <w:rPr>
        <w:rFonts w:hint="default" w:ascii="Times New Roman" w:hAnsi="Times New Roman" w:eastAsia="Times New Roman" w:cs="Times New Roman"/>
        <w:w w:val="100"/>
        <w:sz w:val="22"/>
        <w:szCs w:val="22"/>
      </w:rPr>
    </w:lvl>
    <w:lvl w:ilvl="1">
      <w:start w:val="0"/>
      <w:numFmt w:val="bullet"/>
      <w:lvlText w:val="•"/>
      <w:lvlJc w:val="left"/>
      <w:pPr>
        <w:ind w:left="1914" w:hanging="221"/>
      </w:pPr>
      <w:rPr>
        <w:rFonts w:hint="default"/>
      </w:rPr>
    </w:lvl>
    <w:lvl w:ilvl="2">
      <w:start w:val="0"/>
      <w:numFmt w:val="bullet"/>
      <w:lvlText w:val="•"/>
      <w:lvlJc w:val="left"/>
      <w:pPr>
        <w:ind w:left="2768" w:hanging="221"/>
      </w:pPr>
      <w:rPr>
        <w:rFonts w:hint="default"/>
      </w:rPr>
    </w:lvl>
    <w:lvl w:ilvl="3">
      <w:start w:val="0"/>
      <w:numFmt w:val="bullet"/>
      <w:lvlText w:val="•"/>
      <w:lvlJc w:val="left"/>
      <w:pPr>
        <w:ind w:left="3622" w:hanging="221"/>
      </w:pPr>
      <w:rPr>
        <w:rFonts w:hint="default"/>
      </w:rPr>
    </w:lvl>
    <w:lvl w:ilvl="4">
      <w:start w:val="0"/>
      <w:numFmt w:val="bullet"/>
      <w:lvlText w:val="•"/>
      <w:lvlJc w:val="left"/>
      <w:pPr>
        <w:ind w:left="4476" w:hanging="221"/>
      </w:pPr>
      <w:rPr>
        <w:rFonts w:hint="default"/>
      </w:rPr>
    </w:lvl>
    <w:lvl w:ilvl="5">
      <w:start w:val="0"/>
      <w:numFmt w:val="bullet"/>
      <w:lvlText w:val="•"/>
      <w:lvlJc w:val="left"/>
      <w:pPr>
        <w:ind w:left="5330" w:hanging="221"/>
      </w:pPr>
      <w:rPr>
        <w:rFonts w:hint="default"/>
      </w:rPr>
    </w:lvl>
    <w:lvl w:ilvl="6">
      <w:start w:val="0"/>
      <w:numFmt w:val="bullet"/>
      <w:lvlText w:val="•"/>
      <w:lvlJc w:val="left"/>
      <w:pPr>
        <w:ind w:left="6184" w:hanging="221"/>
      </w:pPr>
      <w:rPr>
        <w:rFonts w:hint="default"/>
      </w:rPr>
    </w:lvl>
    <w:lvl w:ilvl="7">
      <w:start w:val="0"/>
      <w:numFmt w:val="bullet"/>
      <w:lvlText w:val="•"/>
      <w:lvlJc w:val="left"/>
      <w:pPr>
        <w:ind w:left="7038" w:hanging="221"/>
      </w:pPr>
      <w:rPr>
        <w:rFonts w:hint="default"/>
      </w:rPr>
    </w:lvl>
    <w:lvl w:ilvl="8">
      <w:start w:val="0"/>
      <w:numFmt w:val="bullet"/>
      <w:lvlText w:val="•"/>
      <w:lvlJc w:val="left"/>
      <w:pPr>
        <w:ind w:left="7892" w:hanging="221"/>
      </w:pPr>
      <w:rPr>
        <w:rFonts w:hint="default"/>
      </w:rPr>
    </w:lvl>
  </w:abstractNum>
  <w:abstractNum w:abstractNumId="7">
    <w:multiLevelType w:val="hybridMultilevel"/>
    <w:lvl w:ilvl="0">
      <w:start w:val="1"/>
      <w:numFmt w:val="lowerRoman"/>
      <w:lvlText w:val="%1)"/>
      <w:lvlJc w:val="left"/>
      <w:pPr>
        <w:ind w:left="1060" w:hanging="221"/>
        <w:jc w:val="left"/>
      </w:pPr>
      <w:rPr>
        <w:rFonts w:hint="default" w:ascii="Times New Roman" w:hAnsi="Times New Roman" w:eastAsia="Times New Roman" w:cs="Times New Roman"/>
        <w:spacing w:val="0"/>
        <w:w w:val="100"/>
        <w:sz w:val="22"/>
        <w:szCs w:val="22"/>
      </w:rPr>
    </w:lvl>
    <w:lvl w:ilvl="1">
      <w:start w:val="0"/>
      <w:numFmt w:val="bullet"/>
      <w:lvlText w:val="•"/>
      <w:lvlJc w:val="left"/>
      <w:pPr>
        <w:ind w:left="1914" w:hanging="221"/>
      </w:pPr>
      <w:rPr>
        <w:rFonts w:hint="default"/>
      </w:rPr>
    </w:lvl>
    <w:lvl w:ilvl="2">
      <w:start w:val="0"/>
      <w:numFmt w:val="bullet"/>
      <w:lvlText w:val="•"/>
      <w:lvlJc w:val="left"/>
      <w:pPr>
        <w:ind w:left="2768" w:hanging="221"/>
      </w:pPr>
      <w:rPr>
        <w:rFonts w:hint="default"/>
      </w:rPr>
    </w:lvl>
    <w:lvl w:ilvl="3">
      <w:start w:val="0"/>
      <w:numFmt w:val="bullet"/>
      <w:lvlText w:val="•"/>
      <w:lvlJc w:val="left"/>
      <w:pPr>
        <w:ind w:left="3622" w:hanging="221"/>
      </w:pPr>
      <w:rPr>
        <w:rFonts w:hint="default"/>
      </w:rPr>
    </w:lvl>
    <w:lvl w:ilvl="4">
      <w:start w:val="0"/>
      <w:numFmt w:val="bullet"/>
      <w:lvlText w:val="•"/>
      <w:lvlJc w:val="left"/>
      <w:pPr>
        <w:ind w:left="4476" w:hanging="221"/>
      </w:pPr>
      <w:rPr>
        <w:rFonts w:hint="default"/>
      </w:rPr>
    </w:lvl>
    <w:lvl w:ilvl="5">
      <w:start w:val="0"/>
      <w:numFmt w:val="bullet"/>
      <w:lvlText w:val="•"/>
      <w:lvlJc w:val="left"/>
      <w:pPr>
        <w:ind w:left="5330" w:hanging="221"/>
      </w:pPr>
      <w:rPr>
        <w:rFonts w:hint="default"/>
      </w:rPr>
    </w:lvl>
    <w:lvl w:ilvl="6">
      <w:start w:val="0"/>
      <w:numFmt w:val="bullet"/>
      <w:lvlText w:val="•"/>
      <w:lvlJc w:val="left"/>
      <w:pPr>
        <w:ind w:left="6184" w:hanging="221"/>
      </w:pPr>
      <w:rPr>
        <w:rFonts w:hint="default"/>
      </w:rPr>
    </w:lvl>
    <w:lvl w:ilvl="7">
      <w:start w:val="0"/>
      <w:numFmt w:val="bullet"/>
      <w:lvlText w:val="•"/>
      <w:lvlJc w:val="left"/>
      <w:pPr>
        <w:ind w:left="7038" w:hanging="221"/>
      </w:pPr>
      <w:rPr>
        <w:rFonts w:hint="default"/>
      </w:rPr>
    </w:lvl>
    <w:lvl w:ilvl="8">
      <w:start w:val="0"/>
      <w:numFmt w:val="bullet"/>
      <w:lvlText w:val="•"/>
      <w:lvlJc w:val="left"/>
      <w:pPr>
        <w:ind w:left="7892" w:hanging="221"/>
      </w:pPr>
      <w:rPr>
        <w:rFonts w:hint="default"/>
      </w:rPr>
    </w:lvl>
  </w:abstractNum>
  <w:abstractNum w:abstractNumId="6">
    <w:multiLevelType w:val="hybridMultilevel"/>
    <w:lvl w:ilvl="0">
      <w:start w:val="1"/>
      <w:numFmt w:val="lowerLetter"/>
      <w:lvlText w:val="%1)"/>
      <w:lvlJc w:val="left"/>
      <w:pPr>
        <w:ind w:left="1067" w:hanging="229"/>
        <w:jc w:val="left"/>
      </w:pPr>
      <w:rPr>
        <w:rFonts w:hint="default" w:ascii="Times New Roman" w:hAnsi="Times New Roman" w:eastAsia="Times New Roman" w:cs="Times New Roman"/>
        <w:w w:val="100"/>
        <w:sz w:val="22"/>
        <w:szCs w:val="22"/>
      </w:rPr>
    </w:lvl>
    <w:lvl w:ilvl="1">
      <w:start w:val="0"/>
      <w:numFmt w:val="bullet"/>
      <w:lvlText w:val="•"/>
      <w:lvlJc w:val="left"/>
      <w:pPr>
        <w:ind w:left="1914" w:hanging="229"/>
      </w:pPr>
      <w:rPr>
        <w:rFonts w:hint="default"/>
      </w:rPr>
    </w:lvl>
    <w:lvl w:ilvl="2">
      <w:start w:val="0"/>
      <w:numFmt w:val="bullet"/>
      <w:lvlText w:val="•"/>
      <w:lvlJc w:val="left"/>
      <w:pPr>
        <w:ind w:left="2768" w:hanging="229"/>
      </w:pPr>
      <w:rPr>
        <w:rFonts w:hint="default"/>
      </w:rPr>
    </w:lvl>
    <w:lvl w:ilvl="3">
      <w:start w:val="0"/>
      <w:numFmt w:val="bullet"/>
      <w:lvlText w:val="•"/>
      <w:lvlJc w:val="left"/>
      <w:pPr>
        <w:ind w:left="3622" w:hanging="229"/>
      </w:pPr>
      <w:rPr>
        <w:rFonts w:hint="default"/>
      </w:rPr>
    </w:lvl>
    <w:lvl w:ilvl="4">
      <w:start w:val="0"/>
      <w:numFmt w:val="bullet"/>
      <w:lvlText w:val="•"/>
      <w:lvlJc w:val="left"/>
      <w:pPr>
        <w:ind w:left="4476" w:hanging="229"/>
      </w:pPr>
      <w:rPr>
        <w:rFonts w:hint="default"/>
      </w:rPr>
    </w:lvl>
    <w:lvl w:ilvl="5">
      <w:start w:val="0"/>
      <w:numFmt w:val="bullet"/>
      <w:lvlText w:val="•"/>
      <w:lvlJc w:val="left"/>
      <w:pPr>
        <w:ind w:left="5330" w:hanging="229"/>
      </w:pPr>
      <w:rPr>
        <w:rFonts w:hint="default"/>
      </w:rPr>
    </w:lvl>
    <w:lvl w:ilvl="6">
      <w:start w:val="0"/>
      <w:numFmt w:val="bullet"/>
      <w:lvlText w:val="•"/>
      <w:lvlJc w:val="left"/>
      <w:pPr>
        <w:ind w:left="6184" w:hanging="229"/>
      </w:pPr>
      <w:rPr>
        <w:rFonts w:hint="default"/>
      </w:rPr>
    </w:lvl>
    <w:lvl w:ilvl="7">
      <w:start w:val="0"/>
      <w:numFmt w:val="bullet"/>
      <w:lvlText w:val="•"/>
      <w:lvlJc w:val="left"/>
      <w:pPr>
        <w:ind w:left="7038" w:hanging="229"/>
      </w:pPr>
      <w:rPr>
        <w:rFonts w:hint="default"/>
      </w:rPr>
    </w:lvl>
    <w:lvl w:ilvl="8">
      <w:start w:val="0"/>
      <w:numFmt w:val="bullet"/>
      <w:lvlText w:val="•"/>
      <w:lvlJc w:val="left"/>
      <w:pPr>
        <w:ind w:left="7892" w:hanging="229"/>
      </w:pPr>
      <w:rPr>
        <w:rFonts w:hint="default"/>
      </w:rPr>
    </w:lvl>
  </w:abstractNum>
  <w:abstractNum w:abstractNumId="5">
    <w:multiLevelType w:val="hybridMultilevel"/>
    <w:lvl w:ilvl="0">
      <w:start w:val="1"/>
      <w:numFmt w:val="lowerLetter"/>
      <w:lvlText w:val="%1)"/>
      <w:lvlJc w:val="left"/>
      <w:pPr>
        <w:ind w:left="120" w:hanging="233"/>
        <w:jc w:val="left"/>
      </w:pPr>
      <w:rPr>
        <w:rFonts w:hint="default" w:ascii="Times New Roman" w:hAnsi="Times New Roman" w:eastAsia="Times New Roman" w:cs="Times New Roman"/>
        <w:w w:val="100"/>
        <w:sz w:val="22"/>
        <w:szCs w:val="22"/>
      </w:rPr>
    </w:lvl>
    <w:lvl w:ilvl="1">
      <w:start w:val="0"/>
      <w:numFmt w:val="bullet"/>
      <w:lvlText w:val="•"/>
      <w:lvlJc w:val="left"/>
      <w:pPr>
        <w:ind w:left="1068" w:hanging="233"/>
      </w:pPr>
      <w:rPr>
        <w:rFonts w:hint="default"/>
      </w:rPr>
    </w:lvl>
    <w:lvl w:ilvl="2">
      <w:start w:val="0"/>
      <w:numFmt w:val="bullet"/>
      <w:lvlText w:val="•"/>
      <w:lvlJc w:val="left"/>
      <w:pPr>
        <w:ind w:left="2016" w:hanging="233"/>
      </w:pPr>
      <w:rPr>
        <w:rFonts w:hint="default"/>
      </w:rPr>
    </w:lvl>
    <w:lvl w:ilvl="3">
      <w:start w:val="0"/>
      <w:numFmt w:val="bullet"/>
      <w:lvlText w:val="•"/>
      <w:lvlJc w:val="left"/>
      <w:pPr>
        <w:ind w:left="2964" w:hanging="233"/>
      </w:pPr>
      <w:rPr>
        <w:rFonts w:hint="default"/>
      </w:rPr>
    </w:lvl>
    <w:lvl w:ilvl="4">
      <w:start w:val="0"/>
      <w:numFmt w:val="bullet"/>
      <w:lvlText w:val="•"/>
      <w:lvlJc w:val="left"/>
      <w:pPr>
        <w:ind w:left="3912" w:hanging="233"/>
      </w:pPr>
      <w:rPr>
        <w:rFonts w:hint="default"/>
      </w:rPr>
    </w:lvl>
    <w:lvl w:ilvl="5">
      <w:start w:val="0"/>
      <w:numFmt w:val="bullet"/>
      <w:lvlText w:val="•"/>
      <w:lvlJc w:val="left"/>
      <w:pPr>
        <w:ind w:left="4860" w:hanging="233"/>
      </w:pPr>
      <w:rPr>
        <w:rFonts w:hint="default"/>
      </w:rPr>
    </w:lvl>
    <w:lvl w:ilvl="6">
      <w:start w:val="0"/>
      <w:numFmt w:val="bullet"/>
      <w:lvlText w:val="•"/>
      <w:lvlJc w:val="left"/>
      <w:pPr>
        <w:ind w:left="5808" w:hanging="233"/>
      </w:pPr>
      <w:rPr>
        <w:rFonts w:hint="default"/>
      </w:rPr>
    </w:lvl>
    <w:lvl w:ilvl="7">
      <w:start w:val="0"/>
      <w:numFmt w:val="bullet"/>
      <w:lvlText w:val="•"/>
      <w:lvlJc w:val="left"/>
      <w:pPr>
        <w:ind w:left="6756" w:hanging="233"/>
      </w:pPr>
      <w:rPr>
        <w:rFonts w:hint="default"/>
      </w:rPr>
    </w:lvl>
    <w:lvl w:ilvl="8">
      <w:start w:val="0"/>
      <w:numFmt w:val="bullet"/>
      <w:lvlText w:val="•"/>
      <w:lvlJc w:val="left"/>
      <w:pPr>
        <w:ind w:left="7704" w:hanging="233"/>
      </w:pPr>
      <w:rPr>
        <w:rFonts w:hint="default"/>
      </w:rPr>
    </w:lvl>
  </w:abstractNum>
  <w:abstractNum w:abstractNumId="4">
    <w:multiLevelType w:val="hybridMultilevel"/>
    <w:lvl w:ilvl="0">
      <w:start w:val="1"/>
      <w:numFmt w:val="lowerLetter"/>
      <w:lvlText w:val="%1)"/>
      <w:lvlJc w:val="left"/>
      <w:pPr>
        <w:ind w:left="120" w:hanging="253"/>
        <w:jc w:val="left"/>
      </w:pPr>
      <w:rPr>
        <w:rFonts w:hint="default" w:ascii="Times New Roman" w:hAnsi="Times New Roman" w:eastAsia="Times New Roman" w:cs="Times New Roman"/>
        <w:w w:val="100"/>
        <w:sz w:val="22"/>
        <w:szCs w:val="22"/>
      </w:rPr>
    </w:lvl>
    <w:lvl w:ilvl="1">
      <w:start w:val="0"/>
      <w:numFmt w:val="bullet"/>
      <w:lvlText w:val="•"/>
      <w:lvlJc w:val="left"/>
      <w:pPr>
        <w:ind w:left="1068" w:hanging="253"/>
      </w:pPr>
      <w:rPr>
        <w:rFonts w:hint="default"/>
      </w:rPr>
    </w:lvl>
    <w:lvl w:ilvl="2">
      <w:start w:val="0"/>
      <w:numFmt w:val="bullet"/>
      <w:lvlText w:val="•"/>
      <w:lvlJc w:val="left"/>
      <w:pPr>
        <w:ind w:left="2016" w:hanging="253"/>
      </w:pPr>
      <w:rPr>
        <w:rFonts w:hint="default"/>
      </w:rPr>
    </w:lvl>
    <w:lvl w:ilvl="3">
      <w:start w:val="0"/>
      <w:numFmt w:val="bullet"/>
      <w:lvlText w:val="•"/>
      <w:lvlJc w:val="left"/>
      <w:pPr>
        <w:ind w:left="2964" w:hanging="253"/>
      </w:pPr>
      <w:rPr>
        <w:rFonts w:hint="default"/>
      </w:rPr>
    </w:lvl>
    <w:lvl w:ilvl="4">
      <w:start w:val="0"/>
      <w:numFmt w:val="bullet"/>
      <w:lvlText w:val="•"/>
      <w:lvlJc w:val="left"/>
      <w:pPr>
        <w:ind w:left="3912" w:hanging="253"/>
      </w:pPr>
      <w:rPr>
        <w:rFonts w:hint="default"/>
      </w:rPr>
    </w:lvl>
    <w:lvl w:ilvl="5">
      <w:start w:val="0"/>
      <w:numFmt w:val="bullet"/>
      <w:lvlText w:val="•"/>
      <w:lvlJc w:val="left"/>
      <w:pPr>
        <w:ind w:left="4860" w:hanging="253"/>
      </w:pPr>
      <w:rPr>
        <w:rFonts w:hint="default"/>
      </w:rPr>
    </w:lvl>
    <w:lvl w:ilvl="6">
      <w:start w:val="0"/>
      <w:numFmt w:val="bullet"/>
      <w:lvlText w:val="•"/>
      <w:lvlJc w:val="left"/>
      <w:pPr>
        <w:ind w:left="5808" w:hanging="253"/>
      </w:pPr>
      <w:rPr>
        <w:rFonts w:hint="default"/>
      </w:rPr>
    </w:lvl>
    <w:lvl w:ilvl="7">
      <w:start w:val="0"/>
      <w:numFmt w:val="bullet"/>
      <w:lvlText w:val="•"/>
      <w:lvlJc w:val="left"/>
      <w:pPr>
        <w:ind w:left="6756" w:hanging="253"/>
      </w:pPr>
      <w:rPr>
        <w:rFonts w:hint="default"/>
      </w:rPr>
    </w:lvl>
    <w:lvl w:ilvl="8">
      <w:start w:val="0"/>
      <w:numFmt w:val="bullet"/>
      <w:lvlText w:val="•"/>
      <w:lvlJc w:val="left"/>
      <w:pPr>
        <w:ind w:left="7704" w:hanging="253"/>
      </w:pPr>
      <w:rPr>
        <w:rFonts w:hint="default"/>
      </w:rPr>
    </w:lvl>
  </w:abstractNum>
  <w:abstractNum w:abstractNumId="3">
    <w:multiLevelType w:val="hybridMultilevel"/>
    <w:lvl w:ilvl="0">
      <w:start w:val="1"/>
      <w:numFmt w:val="lowerLetter"/>
      <w:lvlText w:val="%1)"/>
      <w:lvlJc w:val="left"/>
      <w:pPr>
        <w:ind w:left="1068" w:hanging="229"/>
        <w:jc w:val="left"/>
      </w:pPr>
      <w:rPr>
        <w:rFonts w:hint="default" w:ascii="Times New Roman" w:hAnsi="Times New Roman" w:eastAsia="Times New Roman" w:cs="Times New Roman"/>
        <w:w w:val="100"/>
        <w:sz w:val="22"/>
        <w:szCs w:val="22"/>
      </w:rPr>
    </w:lvl>
    <w:lvl w:ilvl="1">
      <w:start w:val="0"/>
      <w:numFmt w:val="bullet"/>
      <w:lvlText w:val="•"/>
      <w:lvlJc w:val="left"/>
      <w:pPr>
        <w:ind w:left="1914" w:hanging="229"/>
      </w:pPr>
      <w:rPr>
        <w:rFonts w:hint="default"/>
      </w:rPr>
    </w:lvl>
    <w:lvl w:ilvl="2">
      <w:start w:val="0"/>
      <w:numFmt w:val="bullet"/>
      <w:lvlText w:val="•"/>
      <w:lvlJc w:val="left"/>
      <w:pPr>
        <w:ind w:left="2768" w:hanging="229"/>
      </w:pPr>
      <w:rPr>
        <w:rFonts w:hint="default"/>
      </w:rPr>
    </w:lvl>
    <w:lvl w:ilvl="3">
      <w:start w:val="0"/>
      <w:numFmt w:val="bullet"/>
      <w:lvlText w:val="•"/>
      <w:lvlJc w:val="left"/>
      <w:pPr>
        <w:ind w:left="3622" w:hanging="229"/>
      </w:pPr>
      <w:rPr>
        <w:rFonts w:hint="default"/>
      </w:rPr>
    </w:lvl>
    <w:lvl w:ilvl="4">
      <w:start w:val="0"/>
      <w:numFmt w:val="bullet"/>
      <w:lvlText w:val="•"/>
      <w:lvlJc w:val="left"/>
      <w:pPr>
        <w:ind w:left="4476" w:hanging="229"/>
      </w:pPr>
      <w:rPr>
        <w:rFonts w:hint="default"/>
      </w:rPr>
    </w:lvl>
    <w:lvl w:ilvl="5">
      <w:start w:val="0"/>
      <w:numFmt w:val="bullet"/>
      <w:lvlText w:val="•"/>
      <w:lvlJc w:val="left"/>
      <w:pPr>
        <w:ind w:left="5330" w:hanging="229"/>
      </w:pPr>
      <w:rPr>
        <w:rFonts w:hint="default"/>
      </w:rPr>
    </w:lvl>
    <w:lvl w:ilvl="6">
      <w:start w:val="0"/>
      <w:numFmt w:val="bullet"/>
      <w:lvlText w:val="•"/>
      <w:lvlJc w:val="left"/>
      <w:pPr>
        <w:ind w:left="6184" w:hanging="229"/>
      </w:pPr>
      <w:rPr>
        <w:rFonts w:hint="default"/>
      </w:rPr>
    </w:lvl>
    <w:lvl w:ilvl="7">
      <w:start w:val="0"/>
      <w:numFmt w:val="bullet"/>
      <w:lvlText w:val="•"/>
      <w:lvlJc w:val="left"/>
      <w:pPr>
        <w:ind w:left="7038" w:hanging="229"/>
      </w:pPr>
      <w:rPr>
        <w:rFonts w:hint="default"/>
      </w:rPr>
    </w:lvl>
    <w:lvl w:ilvl="8">
      <w:start w:val="0"/>
      <w:numFmt w:val="bullet"/>
      <w:lvlText w:val="•"/>
      <w:lvlJc w:val="left"/>
      <w:pPr>
        <w:ind w:left="7892" w:hanging="229"/>
      </w:pPr>
      <w:rPr>
        <w:rFonts w:hint="default"/>
      </w:rPr>
    </w:lvl>
  </w:abstractNum>
  <w:abstractNum w:abstractNumId="2">
    <w:multiLevelType w:val="hybridMultilevel"/>
    <w:lvl w:ilvl="0">
      <w:start w:val="1"/>
      <w:numFmt w:val="lowerLetter"/>
      <w:lvlText w:val="%1)"/>
      <w:lvlJc w:val="left"/>
      <w:pPr>
        <w:ind w:left="119" w:hanging="253"/>
        <w:jc w:val="left"/>
      </w:pPr>
      <w:rPr>
        <w:rFonts w:hint="default" w:ascii="Times New Roman" w:hAnsi="Times New Roman" w:eastAsia="Times New Roman" w:cs="Times New Roman"/>
        <w:w w:val="100"/>
        <w:sz w:val="22"/>
        <w:szCs w:val="22"/>
      </w:rPr>
    </w:lvl>
    <w:lvl w:ilvl="1">
      <w:start w:val="0"/>
      <w:numFmt w:val="bullet"/>
      <w:lvlText w:val="•"/>
      <w:lvlJc w:val="left"/>
      <w:pPr>
        <w:ind w:left="1068" w:hanging="253"/>
      </w:pPr>
      <w:rPr>
        <w:rFonts w:hint="default"/>
      </w:rPr>
    </w:lvl>
    <w:lvl w:ilvl="2">
      <w:start w:val="0"/>
      <w:numFmt w:val="bullet"/>
      <w:lvlText w:val="•"/>
      <w:lvlJc w:val="left"/>
      <w:pPr>
        <w:ind w:left="2016" w:hanging="253"/>
      </w:pPr>
      <w:rPr>
        <w:rFonts w:hint="default"/>
      </w:rPr>
    </w:lvl>
    <w:lvl w:ilvl="3">
      <w:start w:val="0"/>
      <w:numFmt w:val="bullet"/>
      <w:lvlText w:val="•"/>
      <w:lvlJc w:val="left"/>
      <w:pPr>
        <w:ind w:left="2964" w:hanging="253"/>
      </w:pPr>
      <w:rPr>
        <w:rFonts w:hint="default"/>
      </w:rPr>
    </w:lvl>
    <w:lvl w:ilvl="4">
      <w:start w:val="0"/>
      <w:numFmt w:val="bullet"/>
      <w:lvlText w:val="•"/>
      <w:lvlJc w:val="left"/>
      <w:pPr>
        <w:ind w:left="3912" w:hanging="253"/>
      </w:pPr>
      <w:rPr>
        <w:rFonts w:hint="default"/>
      </w:rPr>
    </w:lvl>
    <w:lvl w:ilvl="5">
      <w:start w:val="0"/>
      <w:numFmt w:val="bullet"/>
      <w:lvlText w:val="•"/>
      <w:lvlJc w:val="left"/>
      <w:pPr>
        <w:ind w:left="4860" w:hanging="253"/>
      </w:pPr>
      <w:rPr>
        <w:rFonts w:hint="default"/>
      </w:rPr>
    </w:lvl>
    <w:lvl w:ilvl="6">
      <w:start w:val="0"/>
      <w:numFmt w:val="bullet"/>
      <w:lvlText w:val="•"/>
      <w:lvlJc w:val="left"/>
      <w:pPr>
        <w:ind w:left="5808" w:hanging="253"/>
      </w:pPr>
      <w:rPr>
        <w:rFonts w:hint="default"/>
      </w:rPr>
    </w:lvl>
    <w:lvl w:ilvl="7">
      <w:start w:val="0"/>
      <w:numFmt w:val="bullet"/>
      <w:lvlText w:val="•"/>
      <w:lvlJc w:val="left"/>
      <w:pPr>
        <w:ind w:left="6756" w:hanging="253"/>
      </w:pPr>
      <w:rPr>
        <w:rFonts w:hint="default"/>
      </w:rPr>
    </w:lvl>
    <w:lvl w:ilvl="8">
      <w:start w:val="0"/>
      <w:numFmt w:val="bullet"/>
      <w:lvlText w:val="•"/>
      <w:lvlJc w:val="left"/>
      <w:pPr>
        <w:ind w:left="7704" w:hanging="253"/>
      </w:pPr>
      <w:rPr>
        <w:rFonts w:hint="default"/>
      </w:rPr>
    </w:lvl>
  </w:abstractNum>
  <w:abstractNum w:abstractNumId="1">
    <w:multiLevelType w:val="hybridMultilevel"/>
    <w:lvl w:ilvl="0">
      <w:start w:val="1"/>
      <w:numFmt w:val="lowerLetter"/>
      <w:lvlText w:val="%1)"/>
      <w:lvlJc w:val="left"/>
      <w:pPr>
        <w:ind w:left="1067" w:hanging="229"/>
        <w:jc w:val="left"/>
      </w:pPr>
      <w:rPr>
        <w:rFonts w:hint="default" w:ascii="Times New Roman" w:hAnsi="Times New Roman" w:eastAsia="Times New Roman" w:cs="Times New Roman"/>
        <w:w w:val="100"/>
        <w:sz w:val="22"/>
        <w:szCs w:val="22"/>
      </w:rPr>
    </w:lvl>
    <w:lvl w:ilvl="1">
      <w:start w:val="0"/>
      <w:numFmt w:val="bullet"/>
      <w:lvlText w:val="•"/>
      <w:lvlJc w:val="left"/>
      <w:pPr>
        <w:ind w:left="1914" w:hanging="229"/>
      </w:pPr>
      <w:rPr>
        <w:rFonts w:hint="default"/>
      </w:rPr>
    </w:lvl>
    <w:lvl w:ilvl="2">
      <w:start w:val="0"/>
      <w:numFmt w:val="bullet"/>
      <w:lvlText w:val="•"/>
      <w:lvlJc w:val="left"/>
      <w:pPr>
        <w:ind w:left="2768" w:hanging="229"/>
      </w:pPr>
      <w:rPr>
        <w:rFonts w:hint="default"/>
      </w:rPr>
    </w:lvl>
    <w:lvl w:ilvl="3">
      <w:start w:val="0"/>
      <w:numFmt w:val="bullet"/>
      <w:lvlText w:val="•"/>
      <w:lvlJc w:val="left"/>
      <w:pPr>
        <w:ind w:left="3622" w:hanging="229"/>
      </w:pPr>
      <w:rPr>
        <w:rFonts w:hint="default"/>
      </w:rPr>
    </w:lvl>
    <w:lvl w:ilvl="4">
      <w:start w:val="0"/>
      <w:numFmt w:val="bullet"/>
      <w:lvlText w:val="•"/>
      <w:lvlJc w:val="left"/>
      <w:pPr>
        <w:ind w:left="4476" w:hanging="229"/>
      </w:pPr>
      <w:rPr>
        <w:rFonts w:hint="default"/>
      </w:rPr>
    </w:lvl>
    <w:lvl w:ilvl="5">
      <w:start w:val="0"/>
      <w:numFmt w:val="bullet"/>
      <w:lvlText w:val="•"/>
      <w:lvlJc w:val="left"/>
      <w:pPr>
        <w:ind w:left="5330" w:hanging="229"/>
      </w:pPr>
      <w:rPr>
        <w:rFonts w:hint="default"/>
      </w:rPr>
    </w:lvl>
    <w:lvl w:ilvl="6">
      <w:start w:val="0"/>
      <w:numFmt w:val="bullet"/>
      <w:lvlText w:val="•"/>
      <w:lvlJc w:val="left"/>
      <w:pPr>
        <w:ind w:left="6184" w:hanging="229"/>
      </w:pPr>
      <w:rPr>
        <w:rFonts w:hint="default"/>
      </w:rPr>
    </w:lvl>
    <w:lvl w:ilvl="7">
      <w:start w:val="0"/>
      <w:numFmt w:val="bullet"/>
      <w:lvlText w:val="•"/>
      <w:lvlJc w:val="left"/>
      <w:pPr>
        <w:ind w:left="7038" w:hanging="229"/>
      </w:pPr>
      <w:rPr>
        <w:rFonts w:hint="default"/>
      </w:rPr>
    </w:lvl>
    <w:lvl w:ilvl="8">
      <w:start w:val="0"/>
      <w:numFmt w:val="bullet"/>
      <w:lvlText w:val="•"/>
      <w:lvlJc w:val="left"/>
      <w:pPr>
        <w:ind w:left="7892" w:hanging="229"/>
      </w:pPr>
      <w:rPr>
        <w:rFonts w:hint="default"/>
      </w:rPr>
    </w:lvl>
  </w:abstractNum>
  <w:abstractNum w:abstractNumId="0">
    <w:multiLevelType w:val="hybridMultilevel"/>
    <w:lvl w:ilvl="0">
      <w:start w:val="1"/>
      <w:numFmt w:val="decimal"/>
      <w:lvlText w:val="%1."/>
      <w:lvlJc w:val="left"/>
      <w:pPr>
        <w:ind w:left="120" w:hanging="317"/>
        <w:jc w:val="left"/>
      </w:pPr>
      <w:rPr>
        <w:rFonts w:hint="default" w:ascii="Times New Roman" w:hAnsi="Times New Roman" w:eastAsia="Times New Roman" w:cs="Times New Roman"/>
        <w:w w:val="100"/>
        <w:sz w:val="22"/>
        <w:szCs w:val="22"/>
      </w:rPr>
    </w:lvl>
    <w:lvl w:ilvl="1">
      <w:start w:val="0"/>
      <w:numFmt w:val="bullet"/>
      <w:lvlText w:val="•"/>
      <w:lvlJc w:val="left"/>
      <w:pPr>
        <w:ind w:left="1068" w:hanging="317"/>
      </w:pPr>
      <w:rPr>
        <w:rFonts w:hint="default"/>
      </w:rPr>
    </w:lvl>
    <w:lvl w:ilvl="2">
      <w:start w:val="0"/>
      <w:numFmt w:val="bullet"/>
      <w:lvlText w:val="•"/>
      <w:lvlJc w:val="left"/>
      <w:pPr>
        <w:ind w:left="2016" w:hanging="317"/>
      </w:pPr>
      <w:rPr>
        <w:rFonts w:hint="default"/>
      </w:rPr>
    </w:lvl>
    <w:lvl w:ilvl="3">
      <w:start w:val="0"/>
      <w:numFmt w:val="bullet"/>
      <w:lvlText w:val="•"/>
      <w:lvlJc w:val="left"/>
      <w:pPr>
        <w:ind w:left="2964" w:hanging="317"/>
      </w:pPr>
      <w:rPr>
        <w:rFonts w:hint="default"/>
      </w:rPr>
    </w:lvl>
    <w:lvl w:ilvl="4">
      <w:start w:val="0"/>
      <w:numFmt w:val="bullet"/>
      <w:lvlText w:val="•"/>
      <w:lvlJc w:val="left"/>
      <w:pPr>
        <w:ind w:left="3912" w:hanging="317"/>
      </w:pPr>
      <w:rPr>
        <w:rFonts w:hint="default"/>
      </w:rPr>
    </w:lvl>
    <w:lvl w:ilvl="5">
      <w:start w:val="0"/>
      <w:numFmt w:val="bullet"/>
      <w:lvlText w:val="•"/>
      <w:lvlJc w:val="left"/>
      <w:pPr>
        <w:ind w:left="4860" w:hanging="317"/>
      </w:pPr>
      <w:rPr>
        <w:rFonts w:hint="default"/>
      </w:rPr>
    </w:lvl>
    <w:lvl w:ilvl="6">
      <w:start w:val="0"/>
      <w:numFmt w:val="bullet"/>
      <w:lvlText w:val="•"/>
      <w:lvlJc w:val="left"/>
      <w:pPr>
        <w:ind w:left="5808" w:hanging="317"/>
      </w:pPr>
      <w:rPr>
        <w:rFonts w:hint="default"/>
      </w:rPr>
    </w:lvl>
    <w:lvl w:ilvl="7">
      <w:start w:val="0"/>
      <w:numFmt w:val="bullet"/>
      <w:lvlText w:val="•"/>
      <w:lvlJc w:val="left"/>
      <w:pPr>
        <w:ind w:left="6756" w:hanging="317"/>
      </w:pPr>
      <w:rPr>
        <w:rFonts w:hint="default"/>
      </w:rPr>
    </w:lvl>
    <w:lvl w:ilvl="8">
      <w:start w:val="0"/>
      <w:numFmt w:val="bullet"/>
      <w:lvlText w:val="•"/>
      <w:lvlJc w:val="left"/>
      <w:pPr>
        <w:ind w:left="7704" w:hanging="317"/>
      </w:pPr>
      <w:rPr>
        <w:rFonts w:hint="default"/>
      </w:rPr>
    </w:lvl>
  </w:abstractNum>
  <w:num w:numId="254">
    <w:abstractNumId w:val="253"/>
  </w:num>
  <w:num w:numId="253">
    <w:abstractNumId w:val="252"/>
  </w:num>
  <w:num w:numId="252">
    <w:abstractNumId w:val="251"/>
  </w:num>
  <w:num w:numId="251">
    <w:abstractNumId w:val="250"/>
  </w:num>
  <w:num w:numId="250">
    <w:abstractNumId w:val="249"/>
  </w:num>
  <w:num w:numId="249">
    <w:abstractNumId w:val="248"/>
  </w:num>
  <w:num w:numId="248">
    <w:abstractNumId w:val="247"/>
  </w:num>
  <w:num w:numId="247">
    <w:abstractNumId w:val="246"/>
  </w:num>
  <w:num w:numId="246">
    <w:abstractNumId w:val="245"/>
  </w:num>
  <w:num w:numId="245">
    <w:abstractNumId w:val="244"/>
  </w:num>
  <w:num w:numId="244">
    <w:abstractNumId w:val="243"/>
  </w:num>
  <w:num w:numId="243">
    <w:abstractNumId w:val="242"/>
  </w:num>
  <w:num w:numId="242">
    <w:abstractNumId w:val="241"/>
  </w:num>
  <w:num w:numId="241">
    <w:abstractNumId w:val="240"/>
  </w:num>
  <w:num w:numId="240">
    <w:abstractNumId w:val="239"/>
  </w:num>
  <w:num w:numId="239">
    <w:abstractNumId w:val="238"/>
  </w:num>
  <w:num w:numId="238">
    <w:abstractNumId w:val="237"/>
  </w:num>
  <w:num w:numId="237">
    <w:abstractNumId w:val="236"/>
  </w:num>
  <w:num w:numId="236">
    <w:abstractNumId w:val="235"/>
  </w:num>
  <w:num w:numId="235">
    <w:abstractNumId w:val="234"/>
  </w:num>
  <w:num w:numId="234">
    <w:abstractNumId w:val="233"/>
  </w:num>
  <w:num w:numId="233">
    <w:abstractNumId w:val="232"/>
  </w:num>
  <w:num w:numId="232">
    <w:abstractNumId w:val="231"/>
  </w:num>
  <w:num w:numId="231">
    <w:abstractNumId w:val="230"/>
  </w:num>
  <w:num w:numId="230">
    <w:abstractNumId w:val="229"/>
  </w:num>
  <w:num w:numId="229">
    <w:abstractNumId w:val="228"/>
  </w:num>
  <w:num w:numId="228">
    <w:abstractNumId w:val="227"/>
  </w:num>
  <w:num w:numId="227">
    <w:abstractNumId w:val="226"/>
  </w:num>
  <w:num w:numId="226">
    <w:abstractNumId w:val="225"/>
  </w:num>
  <w:num w:numId="225">
    <w:abstractNumId w:val="224"/>
  </w:num>
  <w:num w:numId="224">
    <w:abstractNumId w:val="223"/>
  </w:num>
  <w:num w:numId="223">
    <w:abstractNumId w:val="222"/>
  </w:num>
  <w:num w:numId="222">
    <w:abstractNumId w:val="221"/>
  </w:num>
  <w:num w:numId="221">
    <w:abstractNumId w:val="220"/>
  </w:num>
  <w:num w:numId="220">
    <w:abstractNumId w:val="219"/>
  </w:num>
  <w:num w:numId="219">
    <w:abstractNumId w:val="218"/>
  </w:num>
  <w:num w:numId="218">
    <w:abstractNumId w:val="217"/>
  </w:num>
  <w:num w:numId="217">
    <w:abstractNumId w:val="216"/>
  </w:num>
  <w:num w:numId="216">
    <w:abstractNumId w:val="215"/>
  </w:num>
  <w:num w:numId="215">
    <w:abstractNumId w:val="214"/>
  </w:num>
  <w:num w:numId="214">
    <w:abstractNumId w:val="213"/>
  </w:num>
  <w:num w:numId="213">
    <w:abstractNumId w:val="212"/>
  </w:num>
  <w:num w:numId="212">
    <w:abstractNumId w:val="211"/>
  </w:num>
  <w:num w:numId="211">
    <w:abstractNumId w:val="210"/>
  </w:num>
  <w:num w:numId="210">
    <w:abstractNumId w:val="209"/>
  </w:num>
  <w:num w:numId="209">
    <w:abstractNumId w:val="208"/>
  </w:num>
  <w:num w:numId="208">
    <w:abstractNumId w:val="207"/>
  </w:num>
  <w:num w:numId="207">
    <w:abstractNumId w:val="206"/>
  </w:num>
  <w:num w:numId="206">
    <w:abstractNumId w:val="205"/>
  </w:num>
  <w:num w:numId="205">
    <w:abstractNumId w:val="204"/>
  </w:num>
  <w:num w:numId="204">
    <w:abstractNumId w:val="203"/>
  </w:num>
  <w:num w:numId="203">
    <w:abstractNumId w:val="202"/>
  </w:num>
  <w:num w:numId="202">
    <w:abstractNumId w:val="201"/>
  </w:num>
  <w:num w:numId="201">
    <w:abstractNumId w:val="200"/>
  </w:num>
  <w:num w:numId="200">
    <w:abstractNumId w:val="199"/>
  </w:num>
  <w:num w:numId="199">
    <w:abstractNumId w:val="198"/>
  </w:num>
  <w:num w:numId="198">
    <w:abstractNumId w:val="197"/>
  </w:num>
  <w:num w:numId="197">
    <w:abstractNumId w:val="196"/>
  </w:num>
  <w:num w:numId="196">
    <w:abstractNumId w:val="195"/>
  </w:num>
  <w:num w:numId="195">
    <w:abstractNumId w:val="194"/>
  </w:num>
  <w:num w:numId="194">
    <w:abstractNumId w:val="193"/>
  </w:num>
  <w:num w:numId="193">
    <w:abstractNumId w:val="192"/>
  </w:num>
  <w:num w:numId="192">
    <w:abstractNumId w:val="191"/>
  </w:num>
  <w:num w:numId="191">
    <w:abstractNumId w:val="190"/>
  </w:num>
  <w:num w:numId="190">
    <w:abstractNumId w:val="189"/>
  </w:num>
  <w:num w:numId="189">
    <w:abstractNumId w:val="188"/>
  </w:num>
  <w:num w:numId="188">
    <w:abstractNumId w:val="187"/>
  </w:num>
  <w:num w:numId="187">
    <w:abstractNumId w:val="186"/>
  </w:num>
  <w:num w:numId="186">
    <w:abstractNumId w:val="185"/>
  </w:num>
  <w:num w:numId="185">
    <w:abstractNumId w:val="184"/>
  </w:num>
  <w:num w:numId="184">
    <w:abstractNumId w:val="183"/>
  </w:num>
  <w:num w:numId="183">
    <w:abstractNumId w:val="182"/>
  </w:num>
  <w:num w:numId="182">
    <w:abstractNumId w:val="181"/>
  </w:num>
  <w:num w:numId="181">
    <w:abstractNumId w:val="180"/>
  </w:num>
  <w:num w:numId="180">
    <w:abstractNumId w:val="179"/>
  </w:num>
  <w:num w:numId="179">
    <w:abstractNumId w:val="178"/>
  </w:num>
  <w:num w:numId="178">
    <w:abstractNumId w:val="177"/>
  </w:num>
  <w:num w:numId="177">
    <w:abstractNumId w:val="176"/>
  </w:num>
  <w:num w:numId="176">
    <w:abstractNumId w:val="175"/>
  </w:num>
  <w:num w:numId="175">
    <w:abstractNumId w:val="174"/>
  </w:num>
  <w:num w:numId="174">
    <w:abstractNumId w:val="173"/>
  </w:num>
  <w:num w:numId="173">
    <w:abstractNumId w:val="172"/>
  </w:num>
  <w:num w:numId="172">
    <w:abstractNumId w:val="171"/>
  </w:num>
  <w:num w:numId="171">
    <w:abstractNumId w:val="170"/>
  </w:num>
  <w:num w:numId="170">
    <w:abstractNumId w:val="169"/>
  </w:num>
  <w:num w:numId="169">
    <w:abstractNumId w:val="168"/>
  </w:num>
  <w:num w:numId="168">
    <w:abstractNumId w:val="167"/>
  </w:num>
  <w:num w:numId="167">
    <w:abstractNumId w:val="166"/>
  </w:num>
  <w:num w:numId="166">
    <w:abstractNumId w:val="165"/>
  </w:num>
  <w:num w:numId="165">
    <w:abstractNumId w:val="164"/>
  </w:num>
  <w:num w:numId="164">
    <w:abstractNumId w:val="163"/>
  </w:num>
  <w:num w:numId="163">
    <w:abstractNumId w:val="162"/>
  </w:num>
  <w:num w:numId="162">
    <w:abstractNumId w:val="161"/>
  </w:num>
  <w:num w:numId="161">
    <w:abstractNumId w:val="160"/>
  </w:num>
  <w:num w:numId="160">
    <w:abstractNumId w:val="159"/>
  </w:num>
  <w:num w:numId="159">
    <w:abstractNumId w:val="158"/>
  </w:num>
  <w:num w:numId="158">
    <w:abstractNumId w:val="157"/>
  </w:num>
  <w:num w:numId="157">
    <w:abstractNumId w:val="156"/>
  </w:num>
  <w:num w:numId="156">
    <w:abstractNumId w:val="155"/>
  </w:num>
  <w:num w:numId="155">
    <w:abstractNumId w:val="154"/>
  </w:num>
  <w:num w:numId="154">
    <w:abstractNumId w:val="153"/>
  </w:num>
  <w:num w:numId="153">
    <w:abstractNumId w:val="152"/>
  </w:num>
  <w:num w:numId="152">
    <w:abstractNumId w:val="151"/>
  </w:num>
  <w:num w:numId="151">
    <w:abstractNumId w:val="150"/>
  </w:num>
  <w:num w:numId="150">
    <w:abstractNumId w:val="149"/>
  </w:num>
  <w:num w:numId="149">
    <w:abstractNumId w:val="148"/>
  </w:num>
  <w:num w:numId="148">
    <w:abstractNumId w:val="147"/>
  </w:num>
  <w:num w:numId="147">
    <w:abstractNumId w:val="146"/>
  </w:num>
  <w:num w:numId="146">
    <w:abstractNumId w:val="145"/>
  </w:num>
  <w:num w:numId="145">
    <w:abstractNumId w:val="144"/>
  </w:num>
  <w:num w:numId="144">
    <w:abstractNumId w:val="143"/>
  </w:num>
  <w:num w:numId="143">
    <w:abstractNumId w:val="142"/>
  </w:num>
  <w:num w:numId="142">
    <w:abstractNumId w:val="141"/>
  </w:num>
  <w:num w:numId="141">
    <w:abstractNumId w:val="140"/>
  </w:num>
  <w:num w:numId="140">
    <w:abstractNumId w:val="139"/>
  </w:num>
  <w:num w:numId="139">
    <w:abstractNumId w:val="138"/>
  </w:num>
  <w:num w:numId="138">
    <w:abstractNumId w:val="137"/>
  </w:num>
  <w:num w:numId="137">
    <w:abstractNumId w:val="136"/>
  </w:num>
  <w:num w:numId="136">
    <w:abstractNumId w:val="135"/>
  </w:num>
  <w:num w:numId="135">
    <w:abstractNumId w:val="134"/>
  </w:num>
  <w:num w:numId="134">
    <w:abstractNumId w:val="133"/>
  </w:num>
  <w:num w:numId="133">
    <w:abstractNumId w:val="132"/>
  </w:num>
  <w:num w:numId="132">
    <w:abstractNumId w:val="131"/>
  </w:num>
  <w:num w:numId="131">
    <w:abstractNumId w:val="130"/>
  </w:num>
  <w:num w:numId="130">
    <w:abstractNumId w:val="129"/>
  </w:num>
  <w:num w:numId="129">
    <w:abstractNumId w:val="128"/>
  </w:num>
  <w:num w:numId="128">
    <w:abstractNumId w:val="127"/>
  </w:num>
  <w:num w:numId="127">
    <w:abstractNumId w:val="126"/>
  </w:num>
  <w:num w:numId="126">
    <w:abstractNumId w:val="125"/>
  </w:num>
  <w:num w:numId="125">
    <w:abstractNumId w:val="124"/>
  </w:num>
  <w:num w:numId="124">
    <w:abstractNumId w:val="123"/>
  </w:num>
  <w:num w:numId="123">
    <w:abstractNumId w:val="122"/>
  </w:num>
  <w:num w:numId="122">
    <w:abstractNumId w:val="121"/>
  </w:num>
  <w:num w:numId="121">
    <w:abstractNumId w:val="120"/>
  </w:num>
  <w:num w:numId="120">
    <w:abstractNumId w:val="119"/>
  </w:num>
  <w:num w:numId="119">
    <w:abstractNumId w:val="118"/>
  </w:num>
  <w:num w:numId="118">
    <w:abstractNumId w:val="117"/>
  </w:num>
  <w:num w:numId="117">
    <w:abstractNumId w:val="116"/>
  </w:num>
  <w:num w:numId="116">
    <w:abstractNumId w:val="115"/>
  </w:num>
  <w:num w:numId="115">
    <w:abstractNumId w:val="114"/>
  </w:num>
  <w:num w:numId="114">
    <w:abstractNumId w:val="113"/>
  </w:num>
  <w:num w:numId="113">
    <w:abstractNumId w:val="112"/>
  </w:num>
  <w:num w:numId="112">
    <w:abstractNumId w:val="111"/>
  </w:num>
  <w:num w:numId="111">
    <w:abstractNumId w:val="110"/>
  </w:num>
  <w:num w:numId="110">
    <w:abstractNumId w:val="109"/>
  </w:num>
  <w:num w:numId="109">
    <w:abstractNumId w:val="108"/>
  </w:num>
  <w:num w:numId="108">
    <w:abstractNumId w:val="107"/>
  </w:num>
  <w:num w:numId="107">
    <w:abstractNumId w:val="106"/>
  </w:num>
  <w:num w:numId="106">
    <w:abstractNumId w:val="105"/>
  </w:num>
  <w:num w:numId="105">
    <w:abstractNumId w:val="104"/>
  </w:num>
  <w:num w:numId="104">
    <w:abstractNumId w:val="103"/>
  </w:num>
  <w:num w:numId="103">
    <w:abstractNumId w:val="102"/>
  </w:num>
  <w:num w:numId="102">
    <w:abstractNumId w:val="101"/>
  </w:num>
  <w:num w:numId="101">
    <w:abstractNumId w:val="100"/>
  </w:num>
  <w:num w:numId="100">
    <w:abstractNumId w:val="99"/>
  </w:num>
  <w:num w:numId="99">
    <w:abstractNumId w:val="98"/>
  </w:num>
  <w:num w:numId="98">
    <w:abstractNumId w:val="97"/>
  </w:num>
  <w:num w:numId="97">
    <w:abstractNumId w:val="96"/>
  </w:num>
  <w:num w:numId="96">
    <w:abstractNumId w:val="95"/>
  </w:num>
  <w:num w:numId="95">
    <w:abstractNumId w:val="94"/>
  </w:num>
  <w:num w:numId="94">
    <w:abstractNumId w:val="93"/>
  </w:num>
  <w:num w:numId="93">
    <w:abstractNumId w:val="92"/>
  </w:num>
  <w:num w:numId="92">
    <w:abstractNumId w:val="91"/>
  </w:num>
  <w:num w:numId="91">
    <w:abstractNumId w:val="90"/>
  </w:num>
  <w:num w:numId="90">
    <w:abstractNumId w:val="89"/>
  </w:num>
  <w:num w:numId="89">
    <w:abstractNumId w:val="88"/>
  </w:num>
  <w:num w:numId="88">
    <w:abstractNumId w:val="87"/>
  </w:num>
  <w:num w:numId="87">
    <w:abstractNumId w:val="86"/>
  </w:num>
  <w:num w:numId="86">
    <w:abstractNumId w:val="85"/>
  </w:num>
  <w:num w:numId="85">
    <w:abstractNumId w:val="84"/>
  </w:num>
  <w:num w:numId="84">
    <w:abstractNumId w:val="83"/>
  </w:num>
  <w:num w:numId="83">
    <w:abstractNumId w:val="82"/>
  </w:num>
  <w:num w:numId="82">
    <w:abstractNumId w:val="81"/>
  </w:num>
  <w:num w:numId="81">
    <w:abstractNumId w:val="80"/>
  </w:num>
  <w:num w:numId="80">
    <w:abstractNumId w:val="79"/>
  </w:num>
  <w:num w:numId="79">
    <w:abstractNumId w:val="78"/>
  </w:num>
  <w:num w:numId="78">
    <w:abstractNumId w:val="77"/>
  </w:num>
  <w:num w:numId="77">
    <w:abstractNumId w:val="76"/>
  </w:num>
  <w:num w:numId="76">
    <w:abstractNumId w:val="75"/>
  </w:num>
  <w:num w:numId="75">
    <w:abstractNumId w:val="74"/>
  </w:num>
  <w:num w:numId="74">
    <w:abstractNumId w:val="73"/>
  </w:num>
  <w:num w:numId="73">
    <w:abstractNumId w:val="72"/>
  </w:num>
  <w:num w:numId="72">
    <w:abstractNumId w:val="71"/>
  </w:num>
  <w:num w:numId="71">
    <w:abstractNumId w:val="70"/>
  </w:num>
  <w:num w:numId="70">
    <w:abstractNumId w:val="69"/>
  </w:num>
  <w:num w:numId="69">
    <w:abstractNumId w:val="68"/>
  </w:num>
  <w:num w:numId="68">
    <w:abstractNumId w:val="67"/>
  </w:num>
  <w:num w:numId="67">
    <w:abstractNumId w:val="66"/>
  </w:num>
  <w:num w:numId="66">
    <w:abstractNumId w:val="65"/>
  </w:num>
  <w:num w:numId="65">
    <w:abstractNumId w:val="64"/>
  </w:num>
  <w:num w:numId="64">
    <w:abstractNumId w:val="63"/>
  </w:num>
  <w:num w:numId="63">
    <w:abstractNumId w:val="62"/>
  </w:num>
  <w:num w:numId="62">
    <w:abstractNumId w:val="61"/>
  </w:num>
  <w:num w:numId="61">
    <w:abstractNumId w:val="60"/>
  </w:num>
  <w:num w:numId="60">
    <w:abstractNumId w:val="59"/>
  </w:num>
  <w:num w:numId="59">
    <w:abstractNumId w:val="58"/>
  </w:num>
  <w:num w:numId="58">
    <w:abstractNumId w:val="57"/>
  </w:num>
  <w:num w:numId="57">
    <w:abstractNumId w:val="56"/>
  </w:num>
  <w:num w:numId="56">
    <w:abstractNumId w:val="55"/>
  </w:num>
  <w:num w:numId="55">
    <w:abstractNumId w:val="54"/>
  </w:num>
  <w:num w:numId="54">
    <w:abstractNumId w:val="53"/>
  </w:num>
  <w:num w:numId="53">
    <w:abstractNumId w:val="52"/>
  </w:num>
  <w:num w:numId="52">
    <w:abstractNumId w:val="51"/>
  </w:num>
  <w:num w:numId="51">
    <w:abstractNumId w:val="50"/>
  </w:num>
  <w:num w:numId="50">
    <w:abstractNumId w:val="49"/>
  </w:num>
  <w:num w:numId="49">
    <w:abstractNumId w:val="48"/>
  </w:num>
  <w:num w:numId="48">
    <w:abstractNumId w:val="47"/>
  </w:num>
  <w:num w:numId="47">
    <w:abstractNumId w:val="46"/>
  </w:num>
  <w:num w:numId="46">
    <w:abstractNumId w:val="45"/>
  </w: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rPr>
  </w:style>
  <w:style w:styleId="BodyText" w:type="paragraph">
    <w:name w:val="Body Text"/>
    <w:basedOn w:val="Normal"/>
    <w:uiPriority w:val="1"/>
    <w:qFormat/>
    <w:pPr>
      <w:ind w:left="120" w:firstLine="720"/>
    </w:pPr>
    <w:rPr>
      <w:rFonts w:ascii="Times New Roman" w:hAnsi="Times New Roman" w:eastAsia="Times New Roman" w:cs="Times New Roman"/>
      <w:sz w:val="22"/>
      <w:szCs w:val="22"/>
    </w:rPr>
  </w:style>
  <w:style w:styleId="Heading1" w:type="paragraph">
    <w:name w:val="Heading 1"/>
    <w:basedOn w:val="Normal"/>
    <w:uiPriority w:val="1"/>
    <w:qFormat/>
    <w:pPr>
      <w:spacing w:before="4"/>
      <w:ind w:left="146" w:right="146"/>
      <w:jc w:val="center"/>
      <w:outlineLvl w:val="1"/>
    </w:pPr>
    <w:rPr>
      <w:rFonts w:ascii="Times New Roman" w:hAnsi="Times New Roman" w:eastAsia="Times New Roman" w:cs="Times New Roman"/>
      <w:b/>
      <w:bCs/>
      <w:sz w:val="22"/>
      <w:szCs w:val="22"/>
    </w:rPr>
  </w:style>
  <w:style w:styleId="ListParagraph" w:type="paragraph">
    <w:name w:val="List Paragraph"/>
    <w:basedOn w:val="Normal"/>
    <w:uiPriority w:val="1"/>
    <w:qFormat/>
    <w:pPr>
      <w:ind w:left="120" w:firstLine="720"/>
      <w:jc w:val="both"/>
    </w:pPr>
    <w:rPr>
      <w:rFonts w:ascii="Times New Roman" w:hAnsi="Times New Roman" w:eastAsia="Times New Roman" w:cs="Times New Roman"/>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nisida.fagu</dc:creator>
  <dcterms:created xsi:type="dcterms:W3CDTF">2021-08-11T08:34:20Z</dcterms:created>
  <dcterms:modified xsi:type="dcterms:W3CDTF">2021-08-11T08:34:20Z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2017-09-07T00:00:00Z</vt:filetime>
  </property>
  <property fmtid="{D5CDD505-2E9C-101B-9397-08002B2CF9AE}" pid="3" name="Creator">
    <vt:lpwstr>Acrobat PDFMaker 10.1 for Word</vt:lpwstr>
  </property>
  <property fmtid="{D5CDD505-2E9C-101B-9397-08002B2CF9AE}" pid="4" name="LastSaved">
    <vt:filetime>2021-08-11T00:00:00Z</vt:filetime>
  </property>
</Properties>
</file>