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6D" w:rsidRPr="007F1DB7" w:rsidRDefault="0003256D" w:rsidP="0003256D">
      <w:pPr>
        <w:pStyle w:val="Akti"/>
        <w:keepNext w:val="0"/>
        <w:rPr>
          <w:lang w:val="sq-AL"/>
        </w:rPr>
      </w:pPr>
      <w:r w:rsidRPr="007F1DB7">
        <w:rPr>
          <w:lang w:val="sq-AL"/>
        </w:rPr>
        <w:t>LIGJ</w:t>
      </w:r>
    </w:p>
    <w:p w:rsidR="0003256D" w:rsidRPr="007F1DB7" w:rsidRDefault="0003256D" w:rsidP="0003256D">
      <w:pPr>
        <w:pStyle w:val="NumriData"/>
        <w:keepNext w:val="0"/>
        <w:rPr>
          <w:color w:val="000000"/>
          <w:lang w:val="sq-AL"/>
        </w:rPr>
      </w:pPr>
      <w:r w:rsidRPr="007F1DB7">
        <w:rPr>
          <w:lang w:val="sq-AL"/>
        </w:rPr>
        <w:t>Nr. 38/2014</w:t>
      </w:r>
    </w:p>
    <w:p w:rsidR="0003256D" w:rsidRPr="007F1DB7" w:rsidRDefault="0003256D" w:rsidP="0003256D">
      <w:pPr>
        <w:pStyle w:val="Paragrafi"/>
        <w:rPr>
          <w:rFonts w:eastAsia="Book Antiqua"/>
          <w:bCs/>
          <w:sz w:val="14"/>
          <w:szCs w:val="21"/>
          <w:lang w:val="sq-AL"/>
        </w:rPr>
      </w:pPr>
    </w:p>
    <w:p w:rsidR="0003256D" w:rsidRPr="007F1DB7" w:rsidRDefault="0003256D" w:rsidP="0003256D">
      <w:pPr>
        <w:pStyle w:val="Titulli"/>
        <w:keepNext w:val="0"/>
        <w:rPr>
          <w:lang w:val="sq-AL"/>
        </w:rPr>
      </w:pPr>
      <w:r w:rsidRPr="007F1DB7">
        <w:rPr>
          <w:lang w:val="sq-AL"/>
        </w:rPr>
        <w:t xml:space="preserve">PËR DISA NDRYSHIME DHE SHTESA NË LIGJIN NR. 8663, DATË 18.9.2000, “PËR REGJISTRIMIN, KLASIFIKIMIN, MËNYRËN E PËRDORIMIT DHE KONTROLLIN E MJETEVE LUNDRUESE ME MOTOR, ME TONAZH </w:t>
      </w:r>
    </w:p>
    <w:p w:rsidR="0003256D" w:rsidRPr="007F1DB7" w:rsidRDefault="0003256D" w:rsidP="0003256D">
      <w:pPr>
        <w:pStyle w:val="Titulli"/>
        <w:keepNext w:val="0"/>
        <w:rPr>
          <w:lang w:val="sq-AL"/>
        </w:rPr>
      </w:pPr>
      <w:r w:rsidRPr="007F1DB7">
        <w:rPr>
          <w:lang w:val="sq-AL"/>
        </w:rPr>
        <w:t>NËN 20 NT”</w:t>
      </w:r>
    </w:p>
    <w:p w:rsidR="0003256D" w:rsidRPr="007F1DB7" w:rsidRDefault="0003256D" w:rsidP="0003256D">
      <w:pPr>
        <w:pStyle w:val="Paragrafi"/>
        <w:rPr>
          <w:rFonts w:eastAsia="Book Antiqua"/>
          <w:bCs/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 xml:space="preserve">Në mbështetje të neneve 78 e 83, pika 1, të Kushtetutës, me propozimin e Këshillit të Ministrave, 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VENDOSI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KUVENDI</w:t>
      </w:r>
    </w:p>
    <w:p w:rsidR="0003256D" w:rsidRPr="007F1DB7" w:rsidRDefault="0003256D" w:rsidP="0003256D">
      <w:pPr>
        <w:pStyle w:val="VENDOSI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I REPUBLIKËS SË SHQIPËRISË</w:t>
      </w:r>
    </w:p>
    <w:p w:rsidR="0003256D" w:rsidRPr="007F1DB7" w:rsidRDefault="0003256D" w:rsidP="0003256D">
      <w:pPr>
        <w:pStyle w:val="VENDOSI"/>
        <w:keepNext w:val="0"/>
        <w:rPr>
          <w:sz w:val="14"/>
          <w:szCs w:val="21"/>
          <w:lang w:val="sq-AL"/>
        </w:rPr>
      </w:pPr>
      <w:r w:rsidRPr="007F1DB7">
        <w:rPr>
          <w:sz w:val="14"/>
          <w:szCs w:val="21"/>
          <w:lang w:val="sq-AL"/>
        </w:rPr>
        <w:t> </w:t>
      </w:r>
    </w:p>
    <w:p w:rsidR="0003256D" w:rsidRPr="007F1DB7" w:rsidRDefault="0003256D" w:rsidP="0003256D">
      <w:pPr>
        <w:pStyle w:val="VENDOSI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VENDOSI: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Në ligjin nr. 8663, datë 18.9.2000, “Për regjistrimin, klasifikimin, mënyrën e përdorimit dhe kontrollin e mjeteve lundruese me motor, me tonazh nën 20 NT”, bëhen këto ndryshime dhe shtesa: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1</w:t>
      </w: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Neni 2 ndryshohet si më poshtë: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“Neni 2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Përkufizimi i mjetit lundrues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pacing w:val="-4"/>
          <w:szCs w:val="21"/>
          <w:lang w:val="sq-AL"/>
        </w:rPr>
      </w:pPr>
      <w:r w:rsidRPr="007F1DB7">
        <w:rPr>
          <w:spacing w:val="-4"/>
          <w:szCs w:val="21"/>
          <w:lang w:val="sq-AL"/>
        </w:rPr>
        <w:t xml:space="preserve">Në kuptim të këtij ligji, mjet lundrues konsiderohen mjetet lundruese me motor, me tonazh nën 20 NT, duke përfshirë edhe ato që përdoren për qëllime argëtimi e sportive, të klasifikuara si të tilla nga Regjistri i Mjeteve Lundruese Shqiptare ose nga institucionet </w:t>
      </w:r>
      <w:proofErr w:type="spellStart"/>
      <w:r w:rsidRPr="007F1DB7">
        <w:rPr>
          <w:spacing w:val="-4"/>
          <w:szCs w:val="21"/>
          <w:lang w:val="sq-AL"/>
        </w:rPr>
        <w:t>korresponduese</w:t>
      </w:r>
      <w:proofErr w:type="spellEnd"/>
      <w:r w:rsidRPr="007F1DB7">
        <w:rPr>
          <w:spacing w:val="-4"/>
          <w:szCs w:val="21"/>
          <w:lang w:val="sq-AL"/>
        </w:rPr>
        <w:t xml:space="preserve"> të shteteve të tjera.”.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2</w:t>
      </w:r>
    </w:p>
    <w:p w:rsidR="0003256D" w:rsidRPr="007F1DB7" w:rsidRDefault="0003256D" w:rsidP="0003256D">
      <w:pPr>
        <w:pStyle w:val="Paragrafi"/>
        <w:rPr>
          <w:bCs/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bCs/>
          <w:szCs w:val="21"/>
          <w:lang w:val="sq-AL"/>
        </w:rPr>
      </w:pPr>
      <w:r w:rsidRPr="007F1DB7">
        <w:rPr>
          <w:bCs/>
          <w:szCs w:val="21"/>
          <w:lang w:val="sq-AL"/>
        </w:rPr>
        <w:t>Në nenin 3, pika 1 ndryshohet si më poshtë:</w:t>
      </w:r>
    </w:p>
    <w:p w:rsidR="0003256D" w:rsidRPr="007F1DB7" w:rsidRDefault="0003256D" w:rsidP="0003256D">
      <w:pPr>
        <w:pStyle w:val="Paragrafi"/>
        <w:rPr>
          <w:bCs/>
          <w:szCs w:val="21"/>
          <w:lang w:val="sq-AL"/>
        </w:rPr>
      </w:pPr>
      <w:r w:rsidRPr="007F1DB7">
        <w:rPr>
          <w:bCs/>
          <w:szCs w:val="21"/>
          <w:lang w:val="sq-AL"/>
        </w:rPr>
        <w:t>“1. Ky ligj zbatohet për mjetet lundruese, objekt i këtij ligji, që mund të përdoren në det, liqene, lumenj, rezervuarë dhe përrenj.”.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3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 xml:space="preserve">Neni 4 ndryshohet </w:t>
      </w:r>
      <w:r w:rsidRPr="007F1DB7">
        <w:rPr>
          <w:bCs/>
          <w:szCs w:val="21"/>
          <w:lang w:val="sq-AL"/>
        </w:rPr>
        <w:t>si më poshtë: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“Neni 4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Respektimi i normave të lundrimit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 xml:space="preserve">Mjetet lundruese duhet të respektojnë rregullat e regjimit të lundrimit në det, liqene, lumenj, rezervuarë dhe përrenj, duke përfshirë dhe normat që lidhen me pajisjet e shpëtimit, me sinjalet ndriçuese për lundrimin natën, me pajisjen me radio ndërlidhjeje, të </w:t>
      </w:r>
      <w:proofErr w:type="spellStart"/>
      <w:r w:rsidRPr="007F1DB7">
        <w:rPr>
          <w:szCs w:val="21"/>
          <w:lang w:val="sq-AL"/>
        </w:rPr>
        <w:t>sintonizuar</w:t>
      </w:r>
      <w:proofErr w:type="spellEnd"/>
      <w:r w:rsidRPr="007F1DB7">
        <w:rPr>
          <w:szCs w:val="21"/>
          <w:lang w:val="sq-AL"/>
        </w:rPr>
        <w:t xml:space="preserve"> në frekuencat e ndihmës detare, si dhe me sistemin për lokalizim gjeografik, GPS.”.</w:t>
      </w:r>
    </w:p>
    <w:p w:rsidR="0003256D" w:rsidRPr="007F1DB7" w:rsidRDefault="0003256D" w:rsidP="0003256D">
      <w:pPr>
        <w:pStyle w:val="Paragrafi"/>
        <w:rPr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4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Pas nenit 4 shtohet neni 4/a me këtë përmbajtje: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“Neni 4/a</w:t>
      </w:r>
    </w:p>
    <w:p w:rsidR="0003256D" w:rsidRPr="007F1DB7" w:rsidRDefault="0003256D" w:rsidP="0003256D">
      <w:pPr>
        <w:pStyle w:val="NeniTitull"/>
        <w:rPr>
          <w:lang w:val="sq-AL"/>
        </w:rPr>
      </w:pPr>
      <w:r w:rsidRPr="007F1DB7">
        <w:rPr>
          <w:lang w:val="sq-AL"/>
        </w:rPr>
        <w:t>Kushtet e sigurisë dhe mënyra e përdorimit të mjeteve lundruese për qëllime argëtimi dhe sportive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color w:val="000000"/>
          <w:szCs w:val="21"/>
          <w:lang w:val="sq-AL"/>
        </w:rPr>
      </w:pPr>
      <w:r w:rsidRPr="007F1DB7">
        <w:rPr>
          <w:color w:val="000000"/>
          <w:szCs w:val="21"/>
          <w:lang w:val="sq-AL"/>
        </w:rPr>
        <w:t xml:space="preserve">Kushtet për ushtrimin e aktivitetit të rregullt e të sigurt me mjetet lundruese, mënyra e përdorimit të tyre për qëllime argëtimi e sportive dhe rregullat për sigurinë e pushuesve në plazhet publike dhe jopublike, në bregdet apo në ujërat e brendshme në thellësi të territorit përcaktohen me vendim të Këshillit të </w:t>
      </w:r>
      <w:r w:rsidRPr="007F1DB7">
        <w:rPr>
          <w:color w:val="000000"/>
          <w:szCs w:val="21"/>
          <w:lang w:val="sq-AL"/>
        </w:rPr>
        <w:lastRenderedPageBreak/>
        <w:t>Ministrave.”.</w:t>
      </w:r>
    </w:p>
    <w:p w:rsidR="0003256D" w:rsidRPr="007F1DB7" w:rsidRDefault="0003256D" w:rsidP="0003256D">
      <w:pPr>
        <w:pStyle w:val="Paragrafi"/>
        <w:rPr>
          <w:color w:val="000000"/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5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Pas nenit 30 shtohen nenet 30/a, 30/b dhe 30/c me këtë përmbajtje:</w:t>
      </w:r>
    </w:p>
    <w:p w:rsidR="0003256D" w:rsidRPr="007F1DB7" w:rsidRDefault="0003256D" w:rsidP="0003256D">
      <w:pPr>
        <w:pStyle w:val="NeniNr"/>
        <w:rPr>
          <w:lang w:val="sq-AL"/>
        </w:rPr>
      </w:pPr>
      <w:r w:rsidRPr="007F1DB7">
        <w:rPr>
          <w:lang w:val="sq-AL"/>
        </w:rPr>
        <w:t>“Neni 30/a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Mosrespektimi i normave të lundrimit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color w:val="000000"/>
          <w:szCs w:val="21"/>
          <w:lang w:val="sq-AL"/>
        </w:rPr>
      </w:pPr>
      <w:r w:rsidRPr="007F1DB7">
        <w:rPr>
          <w:szCs w:val="21"/>
          <w:lang w:val="sq-AL"/>
        </w:rPr>
        <w:t xml:space="preserve">1. Shkelja e </w:t>
      </w:r>
      <w:r w:rsidRPr="007F1DB7">
        <w:rPr>
          <w:color w:val="000000"/>
          <w:szCs w:val="21"/>
          <w:lang w:val="sq-AL"/>
        </w:rPr>
        <w:t>detyrimeve të parashikuara në nenin 4,</w:t>
      </w:r>
      <w:r w:rsidRPr="007F1DB7">
        <w:rPr>
          <w:color w:val="FF0000"/>
          <w:szCs w:val="21"/>
          <w:lang w:val="sq-AL"/>
        </w:rPr>
        <w:t xml:space="preserve"> </w:t>
      </w:r>
      <w:r w:rsidRPr="007F1DB7">
        <w:rPr>
          <w:color w:val="000000"/>
          <w:szCs w:val="21"/>
          <w:lang w:val="sq-AL"/>
        </w:rPr>
        <w:t>të këtij ligji,</w:t>
      </w:r>
      <w:r w:rsidRPr="007F1DB7">
        <w:rPr>
          <w:szCs w:val="21"/>
          <w:lang w:val="sq-AL"/>
        </w:rPr>
        <w:t xml:space="preserve"> përbën kundërvajtje administrative, dënohet me gjobë </w:t>
      </w:r>
      <w:r w:rsidRPr="007F1DB7">
        <w:rPr>
          <w:color w:val="000000"/>
          <w:szCs w:val="21"/>
          <w:lang w:val="sq-AL"/>
        </w:rPr>
        <w:t>nga 10 000 (dhjetë mijë) deri në 50 000 (pesëdhjetë mijë) lekë dhe me heqje të dëshmisë së aftësisë për drejtim të mjetit lundrues.</w:t>
      </w:r>
    </w:p>
    <w:p w:rsidR="0003256D" w:rsidRPr="007F1DB7" w:rsidRDefault="0003256D" w:rsidP="0003256D">
      <w:pPr>
        <w:pStyle w:val="Paragrafi"/>
        <w:rPr>
          <w:color w:val="000000"/>
          <w:spacing w:val="-4"/>
          <w:szCs w:val="21"/>
          <w:lang w:val="sq-AL"/>
        </w:rPr>
      </w:pPr>
      <w:r w:rsidRPr="007F1DB7">
        <w:rPr>
          <w:color w:val="000000"/>
          <w:spacing w:val="-4"/>
          <w:szCs w:val="21"/>
          <w:lang w:val="sq-AL"/>
        </w:rPr>
        <w:t>2. Në rast se kundërvajtja administrative, e parashikuar në pikën 1 të këtij neni, përsëritet, mjeti lundrues sekuestrohet.</w:t>
      </w:r>
    </w:p>
    <w:p w:rsidR="0003256D" w:rsidRPr="007F1DB7" w:rsidRDefault="0003256D" w:rsidP="0003256D">
      <w:pPr>
        <w:pStyle w:val="Paragrafi"/>
        <w:rPr>
          <w:color w:val="000000"/>
          <w:spacing w:val="-4"/>
          <w:szCs w:val="21"/>
          <w:lang w:val="sq-AL"/>
        </w:rPr>
      </w:pPr>
      <w:r w:rsidRPr="007F1DB7">
        <w:rPr>
          <w:color w:val="000000"/>
          <w:spacing w:val="-4"/>
          <w:szCs w:val="21"/>
          <w:lang w:val="sq-AL"/>
        </w:rPr>
        <w:t>3. Konfiskimi i mjeteve bëhet sipas rregullave dhe afateve të parashikuara në legjislacionin në fuqi për kundërvajtjet administrative.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30/b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Shkelja e rregullave të sigurisë në plazhe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 xml:space="preserve">1. Shkelja e </w:t>
      </w:r>
      <w:r w:rsidRPr="007F1DB7">
        <w:rPr>
          <w:color w:val="000000"/>
          <w:szCs w:val="21"/>
          <w:lang w:val="sq-AL"/>
        </w:rPr>
        <w:t>rregullave për sigurinë e pushuesve në plazhet publike dhe jopublike, në bregdet apo në ujërat e brendshme në thellësi të territorit, sipas</w:t>
      </w:r>
      <w:r w:rsidRPr="007F1DB7">
        <w:rPr>
          <w:color w:val="FF0000"/>
          <w:szCs w:val="21"/>
          <w:lang w:val="sq-AL"/>
        </w:rPr>
        <w:t xml:space="preserve"> </w:t>
      </w:r>
      <w:r w:rsidRPr="007F1DB7">
        <w:rPr>
          <w:szCs w:val="21"/>
          <w:lang w:val="sq-AL"/>
        </w:rPr>
        <w:t xml:space="preserve">nenit 4/a, të këtij ligji, përbën kundërvajtje administrative dhe mjeti lundrues sekuestrohet. </w:t>
      </w:r>
    </w:p>
    <w:p w:rsidR="0003256D" w:rsidRPr="007F1DB7" w:rsidRDefault="0003256D" w:rsidP="0003256D">
      <w:pPr>
        <w:pStyle w:val="Paragrafi"/>
        <w:rPr>
          <w:color w:val="000000"/>
          <w:szCs w:val="21"/>
          <w:lang w:val="sq-AL"/>
        </w:rPr>
      </w:pPr>
      <w:r w:rsidRPr="007F1DB7">
        <w:rPr>
          <w:szCs w:val="21"/>
          <w:lang w:val="sq-AL"/>
        </w:rPr>
        <w:t xml:space="preserve">2. </w:t>
      </w:r>
      <w:r w:rsidRPr="007F1DB7">
        <w:rPr>
          <w:color w:val="000000"/>
          <w:szCs w:val="21"/>
          <w:lang w:val="sq-AL"/>
        </w:rPr>
        <w:t>Konfiskimi i mjeteve bëhet sipas rregullave dhe afateve të parashikuara në legjislacionin në fuqi për kundërvajtjet administrative.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30/c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Shkelja e rregullave të përdorimit të mjeteve lundruese në plazhe e sporte ujore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pacing w:val="-4"/>
          <w:szCs w:val="21"/>
          <w:lang w:val="sq-AL"/>
        </w:rPr>
      </w:pPr>
      <w:r w:rsidRPr="007F1DB7">
        <w:rPr>
          <w:spacing w:val="-4"/>
          <w:szCs w:val="21"/>
          <w:lang w:val="sq-AL"/>
        </w:rPr>
        <w:t xml:space="preserve">1. Shkelja e </w:t>
      </w:r>
      <w:r w:rsidRPr="007F1DB7">
        <w:rPr>
          <w:color w:val="000000"/>
          <w:spacing w:val="-4"/>
          <w:szCs w:val="21"/>
          <w:lang w:val="sq-AL"/>
        </w:rPr>
        <w:t>kushteve për ushtrimin e aktivitetit të rregullt e të sigurt me mjetet lundruese e për mënyrën e përdorimit të tyre për qëllime argëtimi e sportive,</w:t>
      </w:r>
      <w:r w:rsidRPr="007F1DB7">
        <w:rPr>
          <w:spacing w:val="-4"/>
          <w:szCs w:val="21"/>
          <w:lang w:val="sq-AL"/>
        </w:rPr>
        <w:t xml:space="preserve"> sipas nenit 4/a të këtij ligji, përbën kundërvajtje administrative dhe dënohet me gjobë nga 100 000 (njëqind mijë) deri në 200 000 (dyqind mijë) lekë, si dhe me sekuestrim të mjetit lundrues.</w:t>
      </w:r>
    </w:p>
    <w:p w:rsidR="0003256D" w:rsidRPr="007F1DB7" w:rsidRDefault="0003256D" w:rsidP="0003256D">
      <w:pPr>
        <w:pStyle w:val="Paragrafi"/>
        <w:rPr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2. K</w:t>
      </w:r>
      <w:r w:rsidRPr="007F1DB7">
        <w:rPr>
          <w:color w:val="000000"/>
          <w:szCs w:val="21"/>
          <w:lang w:val="sq-AL"/>
        </w:rPr>
        <w:t>onfiskimi i mjeteve bëhet sipas rregullave dhe afateve të parashikuara në legjislacionin në fuqi për kundërvajtjet administrative.”</w:t>
      </w:r>
      <w:r w:rsidRPr="007F1DB7">
        <w:rPr>
          <w:szCs w:val="21"/>
          <w:lang w:val="sq-AL"/>
        </w:rPr>
        <w:t>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6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Neni 37 ndryshohet si më poshtë:</w:t>
      </w:r>
    </w:p>
    <w:p w:rsidR="0003256D" w:rsidRPr="007F1DB7" w:rsidRDefault="0003256D" w:rsidP="0003256D">
      <w:pPr>
        <w:pStyle w:val="NeniNr"/>
        <w:keepNext w:val="0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“Neni 37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Ankimi administrativ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1. Ndaj masave administrative me gjobë, të marra në bazë të këtij ligji, kundërvajtësi mund të bëjë ankim brenda 5 ditëve te drejtori rajonal për kufirin dhe migracionin, i cili vendos brenda 15 ditëve nga data e paraqitjes së ankimit.</w:t>
      </w: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2. Ndaj masës administrative të sekuestrimit, të marrë në bazë të këtij ligji, kundërvajtësi mund të bëjë ankim brenda 5 ditëve te Drejtori i Përgjithshëm i Policisë së Shtetit, i cili vendos brenda 15 ditëve nga data e paraqitjes së ankimit.</w:t>
      </w: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3. Ndaj vendimeve të marra, sipas pikave 1 dhe 2 të këtij neni, kundërvajtësi mund të bëjë ankim në gjykatën kompetente, në përputhje me rregullat dhe afatet e parashikuara sipas legjislacionit në fuqi për kundërvajtjet administrative.”.</w:t>
      </w: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7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 xml:space="preserve">Ngarkohet Këshilli i Ministrave që, brenda 2 muajve nga dita e hyrjes në fuqi të këtij ligji, të nxjerrë </w:t>
      </w:r>
      <w:r w:rsidRPr="007F1DB7">
        <w:rPr>
          <w:szCs w:val="21"/>
          <w:lang w:val="sq-AL"/>
        </w:rPr>
        <w:lastRenderedPageBreak/>
        <w:t>aktet nënligjore në zbatim të nenit 4 të këtij ligji.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lang w:val="sq-AL"/>
        </w:rPr>
      </w:pPr>
      <w:r w:rsidRPr="007F1DB7">
        <w:rPr>
          <w:lang w:val="sq-AL"/>
        </w:rPr>
        <w:t>Neni 8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Shfuqizime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Çdo akt ligjor dhe nënligjor që bie në kundërshtim me dispozitat e këtij ligji shfuqizohet.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NeniNr"/>
        <w:keepNext w:val="0"/>
        <w:rPr>
          <w:szCs w:val="21"/>
          <w:lang w:val="sq-AL"/>
        </w:rPr>
      </w:pPr>
      <w:r w:rsidRPr="007F1DB7">
        <w:rPr>
          <w:szCs w:val="21"/>
          <w:lang w:val="sq-AL"/>
        </w:rPr>
        <w:t>Neni 9</w:t>
      </w:r>
    </w:p>
    <w:p w:rsidR="0003256D" w:rsidRPr="007F1DB7" w:rsidRDefault="0003256D" w:rsidP="0003256D">
      <w:pPr>
        <w:pStyle w:val="NeniTitull"/>
        <w:keepNext w:val="0"/>
        <w:rPr>
          <w:lang w:val="sq-AL"/>
        </w:rPr>
      </w:pPr>
      <w:r w:rsidRPr="007F1DB7">
        <w:rPr>
          <w:lang w:val="sq-AL"/>
        </w:rPr>
        <w:t>Hyrja në fuqi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Ky ligj hyn në fuqi  15 ditë pas botimit në Fletoren Zyrtare.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pStyle w:val="Paragrafi"/>
        <w:rPr>
          <w:szCs w:val="21"/>
          <w:lang w:val="sq-AL"/>
        </w:rPr>
      </w:pPr>
      <w:r w:rsidRPr="007F1DB7">
        <w:rPr>
          <w:szCs w:val="21"/>
          <w:lang w:val="sq-AL"/>
        </w:rPr>
        <w:t>Miratuar në datën 17.4.2014</w:t>
      </w:r>
    </w:p>
    <w:p w:rsidR="0003256D" w:rsidRPr="007F1DB7" w:rsidRDefault="0003256D" w:rsidP="0003256D">
      <w:pPr>
        <w:pStyle w:val="Paragrafi"/>
        <w:rPr>
          <w:sz w:val="14"/>
          <w:szCs w:val="21"/>
          <w:lang w:val="sq-AL"/>
        </w:rPr>
      </w:pPr>
    </w:p>
    <w:p w:rsidR="0003256D" w:rsidRPr="007F1DB7" w:rsidRDefault="0003256D" w:rsidP="0003256D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  <w:r w:rsidRPr="007F1DB7">
        <w:rPr>
          <w:rFonts w:ascii="CG Times" w:hAnsi="CG Times"/>
          <w:b/>
          <w:spacing w:val="-4"/>
          <w:sz w:val="21"/>
          <w:szCs w:val="21"/>
          <w:lang w:val="sq-AL"/>
        </w:rPr>
        <w:t>Shpallur me dekretin nr. 8557, datë 12.5.2014 të Presidentit të Republikës së Shqipërisë, Bujar Nishani</w:t>
      </w:r>
    </w:p>
    <w:p w:rsidR="0003256D" w:rsidRPr="007F1DB7" w:rsidRDefault="0003256D" w:rsidP="0003256D">
      <w:pPr>
        <w:pStyle w:val="Paragrafi"/>
        <w:rPr>
          <w:szCs w:val="21"/>
          <w:lang w:val="sq-AL"/>
        </w:rPr>
      </w:pPr>
    </w:p>
    <w:p w:rsidR="0003256D" w:rsidRPr="007F1DB7" w:rsidRDefault="0003256D" w:rsidP="0003256D">
      <w:pPr>
        <w:pStyle w:val="Akti"/>
        <w:keepNext w:val="0"/>
        <w:rPr>
          <w:lang w:val="sq-AL"/>
        </w:rPr>
      </w:pPr>
    </w:p>
    <w:p w:rsidR="00000000" w:rsidRDefault="0003256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03256D"/>
    <w:rsid w:val="0003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256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03256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256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3256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03256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3256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3256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256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03256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03256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03256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03256D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03256D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4261</Characters>
  <Application>Microsoft Office Word</Application>
  <DocSecurity>0</DocSecurity>
  <Lines>35</Lines>
  <Paragraphs>9</Paragraphs>
  <ScaleCrop>false</ScaleCrop>
  <Company>Grizli777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2014-09-23T13:04:00Z</dcterms:created>
  <dcterms:modified xsi:type="dcterms:W3CDTF">2014-09-23T13:04:00Z</dcterms:modified>
</cp:coreProperties>
</file>