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8B1" w:rsidRPr="0074069B" w:rsidRDefault="00BA18B1" w:rsidP="00BA18B1">
      <w:pPr>
        <w:widowControl w:val="0"/>
        <w:spacing w:after="0" w:line="240" w:lineRule="auto"/>
        <w:jc w:val="center"/>
        <w:outlineLvl w:val="0"/>
        <w:rPr>
          <w:rFonts w:ascii="CG Times" w:eastAsia="MS Mincho" w:hAnsi="CG Times" w:cs="CG Times"/>
          <w:b/>
          <w:bCs/>
          <w:caps/>
          <w:color w:val="000000"/>
          <w:sz w:val="21"/>
          <w:lang w:val="sq-AL"/>
        </w:rPr>
      </w:pPr>
      <w:r w:rsidRPr="0074069B">
        <w:rPr>
          <w:rFonts w:ascii="CG Times" w:eastAsia="MS Mincho" w:hAnsi="CG Times" w:cs="CG Times"/>
          <w:b/>
          <w:bCs/>
          <w:caps/>
          <w:color w:val="000000"/>
          <w:sz w:val="21"/>
          <w:lang w:val="sq-AL"/>
        </w:rPr>
        <w:t>LIGJ</w:t>
      </w:r>
    </w:p>
    <w:p w:rsidR="00BA18B1" w:rsidRPr="0074069B" w:rsidRDefault="00BA18B1" w:rsidP="00BA18B1">
      <w:pPr>
        <w:widowControl w:val="0"/>
        <w:spacing w:after="0" w:line="240" w:lineRule="auto"/>
        <w:jc w:val="center"/>
        <w:outlineLvl w:val="0"/>
        <w:rPr>
          <w:rFonts w:ascii="CG Times" w:eastAsia="MS Mincho" w:hAnsi="CG Times" w:cs="CG Times"/>
          <w:b/>
          <w:bCs/>
          <w:spacing w:val="-2"/>
          <w:sz w:val="21"/>
          <w:lang w:val="sq-AL"/>
        </w:rPr>
      </w:pPr>
      <w:r w:rsidRPr="0074069B">
        <w:rPr>
          <w:rFonts w:ascii="CG Times" w:eastAsia="MS Mincho" w:hAnsi="CG Times" w:cs="CG Times"/>
          <w:b/>
          <w:bCs/>
          <w:spacing w:val="-2"/>
          <w:sz w:val="21"/>
          <w:lang w:val="sq-AL"/>
        </w:rPr>
        <w:t>Nr. 42/2014</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jc w:val="center"/>
        <w:outlineLvl w:val="1"/>
        <w:rPr>
          <w:rFonts w:ascii="CG Times" w:eastAsia="MS Mincho" w:hAnsi="CG Times" w:cs="CG Times"/>
          <w:b/>
          <w:bCs/>
          <w:caps/>
          <w:spacing w:val="-4"/>
          <w:sz w:val="21"/>
          <w:lang w:val="sq-AL"/>
        </w:rPr>
      </w:pPr>
      <w:r w:rsidRPr="0074069B">
        <w:rPr>
          <w:rFonts w:ascii="CG Times" w:eastAsia="MS Mincho" w:hAnsi="CG Times" w:cs="CG Times"/>
          <w:b/>
          <w:bCs/>
          <w:caps/>
          <w:spacing w:val="-4"/>
          <w:sz w:val="21"/>
          <w:lang w:val="sq-AL"/>
        </w:rPr>
        <w:t xml:space="preserve"> PËR DISA SHTESA DHE NDRYSHIME NË LIGJIN NR. 8438, DATË 28.12.1998, “Për TATIMIN MBI TË ARDHURAT”, TË NDRYSHUAR</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Në mbështetje të neneve 78, 83, pika 1, dhe 155 të Kushtetutës, me propozimin e Këshillit të Ministrave, </w:t>
      </w:r>
    </w:p>
    <w:p w:rsidR="00BA18B1" w:rsidRPr="0074069B" w:rsidRDefault="00BA18B1" w:rsidP="00BA18B1">
      <w:pPr>
        <w:widowControl w:val="0"/>
        <w:spacing w:after="0" w:line="240" w:lineRule="auto"/>
        <w:outlineLvl w:val="0"/>
        <w:rPr>
          <w:rFonts w:ascii="CG Times" w:eastAsia="MS Mincho" w:hAnsi="CG Times" w:cs="CG Times"/>
          <w:caps/>
          <w:spacing w:val="-2"/>
          <w:sz w:val="14"/>
          <w:lang w:val="sq-AL"/>
        </w:rPr>
      </w:pPr>
    </w:p>
    <w:p w:rsidR="00BA18B1" w:rsidRPr="0074069B" w:rsidRDefault="00BA18B1" w:rsidP="00BA18B1">
      <w:pPr>
        <w:widowControl w:val="0"/>
        <w:spacing w:after="0" w:line="240" w:lineRule="auto"/>
        <w:jc w:val="center"/>
        <w:outlineLvl w:val="0"/>
        <w:rPr>
          <w:rFonts w:ascii="CG Times" w:eastAsia="MS Mincho" w:hAnsi="CG Times" w:cs="CG Times"/>
          <w:caps/>
          <w:spacing w:val="-2"/>
          <w:sz w:val="21"/>
          <w:lang w:val="sq-AL"/>
        </w:rPr>
      </w:pPr>
      <w:r w:rsidRPr="0074069B">
        <w:rPr>
          <w:rFonts w:ascii="CG Times" w:eastAsia="MS Mincho" w:hAnsi="CG Times" w:cs="CG Times"/>
          <w:caps/>
          <w:spacing w:val="-2"/>
          <w:sz w:val="21"/>
          <w:lang w:val="sq-AL"/>
        </w:rPr>
        <w:t>KUVENDI</w:t>
      </w:r>
    </w:p>
    <w:p w:rsidR="00BA18B1" w:rsidRPr="0074069B" w:rsidRDefault="00BA18B1" w:rsidP="00BA18B1">
      <w:pPr>
        <w:widowControl w:val="0"/>
        <w:spacing w:after="0" w:line="240" w:lineRule="auto"/>
        <w:jc w:val="center"/>
        <w:outlineLvl w:val="0"/>
        <w:rPr>
          <w:rFonts w:ascii="CG Times" w:eastAsia="MS Mincho" w:hAnsi="CG Times" w:cs="CG Times"/>
          <w:caps/>
          <w:spacing w:val="-2"/>
          <w:sz w:val="21"/>
          <w:lang w:val="sq-AL"/>
        </w:rPr>
      </w:pPr>
      <w:r w:rsidRPr="0074069B">
        <w:rPr>
          <w:rFonts w:ascii="CG Times" w:eastAsia="MS Mincho" w:hAnsi="CG Times" w:cs="CG Times"/>
          <w:caps/>
          <w:spacing w:val="-2"/>
          <w:sz w:val="21"/>
          <w:lang w:val="sq-AL"/>
        </w:rPr>
        <w:t>I REPUBLIKËS SË SHQIPËRISË</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jc w:val="center"/>
        <w:rPr>
          <w:rFonts w:ascii="CG Times" w:eastAsia="MS Mincho" w:hAnsi="CG Times" w:cs="CG Times"/>
          <w:caps/>
          <w:spacing w:val="-2"/>
          <w:sz w:val="21"/>
          <w:lang w:val="sq-AL"/>
        </w:rPr>
      </w:pPr>
      <w:r w:rsidRPr="0074069B">
        <w:rPr>
          <w:rFonts w:ascii="CG Times" w:eastAsia="MS Mincho" w:hAnsi="CG Times" w:cs="CG Times"/>
          <w:caps/>
          <w:spacing w:val="-2"/>
          <w:sz w:val="21"/>
          <w:lang w:val="sq-AL"/>
        </w:rPr>
        <w:t>VENDOSI:</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Në  ligjin nr. 8438, datë 28.12.1998, “Për tatimin mbi të ardhurat”, të  ndryshuar, bëhen këto shtesa dhe ndryshime:</w:t>
      </w:r>
    </w:p>
    <w:p w:rsidR="00BA18B1" w:rsidRPr="0074069B" w:rsidRDefault="00BA18B1" w:rsidP="00BA18B1">
      <w:pPr>
        <w:widowControl w:val="0"/>
        <w:spacing w:after="0" w:line="240" w:lineRule="auto"/>
        <w:jc w:val="center"/>
        <w:rPr>
          <w:rFonts w:ascii="CG Times" w:eastAsia="MS Mincho" w:hAnsi="CG Times" w:cs="CG Times"/>
          <w:spacing w:val="-4"/>
          <w:sz w:val="21"/>
          <w:lang w:val="sq-AL"/>
        </w:rPr>
      </w:pPr>
      <w:r w:rsidRPr="0074069B">
        <w:rPr>
          <w:rFonts w:ascii="CG Times" w:eastAsia="MS Mincho" w:hAnsi="CG Times" w:cs="CG Times"/>
          <w:spacing w:val="-4"/>
          <w:sz w:val="21"/>
          <w:lang w:val="sq-AL"/>
        </w:rPr>
        <w:t>Neni 1</w:t>
      </w:r>
    </w:p>
    <w:p w:rsidR="00BA18B1" w:rsidRPr="0074069B" w:rsidRDefault="00BA18B1" w:rsidP="00BA18B1">
      <w:pPr>
        <w:widowControl w:val="0"/>
        <w:spacing w:after="0" w:line="240" w:lineRule="auto"/>
        <w:rPr>
          <w:rFonts w:ascii="CG Times" w:eastAsia="MS Mincho" w:hAnsi="CG Times" w:cs="CG Times"/>
          <w:spacing w:val="-4"/>
          <w:sz w:val="16"/>
          <w:lang w:val="sq-AL"/>
        </w:rPr>
      </w:pP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Në nenin 2, pas pikës 3 shtohet pika 4 me këtë përmbajtje:</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“4. Për qëllime të neneve 36-36/7 të këtij ligji, termat e mëposhtëm kanë këto kuptime:</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a) Dy persona konsiderohen të jenë palë të lidhura, kur:</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i) një person merr pjesë direkt apo indirekt në menaxhimin, kontrollin apo kapitalin e personit tjetër; ose </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ii) i njëjti/të njëjtët person/persona marrin pjesë direkt apo indirekt në menaxhimin, kontrollin apo kapitalin e të dy personave.</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b) Një person merr pjesë direkt ose indirekt në menaxhimin, kontrollin apo kapitalin e një personi tjetër, kur:</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 ai person zotëron, direkt ose indirekt, 50 për qind ose më shumë të kapitalit aksionar të personit tjetër; ose</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ii) efektivisht kontrollon vendimet e biznesit të këtij personi tjetër.</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c) “Palë të pavarura” janë palët që nuk janë palë të lidhura.</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ç) “Transaksion i kontrolluar” është:</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 çdo transaksion midis palëve të lidhura, kur:</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njëra nga palët në transaksion është  rezidente dhe tjetra jorezidente;</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 njëra nga palët në transaksion është një jorezident që ka një seli të përhershme në Shqipëri, së cilës i atribuohet transaksioni, dhe pala tjetër është një person tjetër jorezident; </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 njëra palë në transaksion është një rezident dhe pala tjetër është një rezident që ka një seli të përhershme jashtë Shqipërisë, së cilës i atribuohet transaksioni; </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ii) çdo marrëdhënie biznesi ndërmjet një jorezidenti dhe një selie të përhershme në Shqipëri të atij jorezidenti;</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iii) çdo marrëdhënie biznesi ndërmjet një rezidenti dhe selisë së përhershme të tij jashtë Shqipërisë;</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iv) çdo transaksion ndërmjet një rezidenti apo një jorezidenti që ka një seli të përhershme në Shqipëri, së cilës i atribuohet transaksioni, me një rezident të një juridiksioni të listuar me udhëzim të ministrit të Financave.</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d)</w:t>
      </w:r>
      <w:r w:rsidRPr="0074069B">
        <w:rPr>
          <w:rFonts w:ascii="CG Times" w:eastAsia="MS Mincho" w:hAnsi="CG Times" w:cs="CG Times"/>
          <w:spacing w:val="-4"/>
          <w:sz w:val="10"/>
          <w:lang w:val="sq-AL"/>
        </w:rPr>
        <w:t xml:space="preserve"> </w:t>
      </w:r>
      <w:r w:rsidRPr="0074069B">
        <w:rPr>
          <w:rFonts w:ascii="CG Times" w:eastAsia="MS Mincho" w:hAnsi="CG Times" w:cs="CG Times"/>
          <w:spacing w:val="-4"/>
          <w:sz w:val="21"/>
          <w:lang w:val="sq-AL"/>
        </w:rPr>
        <w:t>“Transaksion i pakontrolluar” është çdo transaksion ndërmjet palëve të pavarura.</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dh)</w:t>
      </w:r>
      <w:r w:rsidRPr="0074069B">
        <w:rPr>
          <w:rFonts w:ascii="CG Times" w:eastAsia="MS Mincho" w:hAnsi="CG Times" w:cs="CG Times"/>
          <w:spacing w:val="-4"/>
          <w:sz w:val="12"/>
          <w:lang w:val="sq-AL"/>
        </w:rPr>
        <w:t xml:space="preserve"> </w:t>
      </w:r>
      <w:r w:rsidRPr="0074069B">
        <w:rPr>
          <w:rFonts w:ascii="CG Times" w:eastAsia="MS Mincho" w:hAnsi="CG Times" w:cs="CG Times"/>
          <w:spacing w:val="-4"/>
          <w:sz w:val="21"/>
          <w:lang w:val="sq-AL"/>
        </w:rPr>
        <w:t xml:space="preserve">Termi “transaksion” përfshin një ujdi, mirëkuptim, marrëveshje apo praktikë direkte ose indirekte mes palëve, e detyrueshme ose jo ligjërisht apo me synimin që të jetë ligjërisht e detyrueshme, dhe përfshin çdo marrëdhënie biznesi ndërmjet personave të lidhur. </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e) Kushtet e një transaksioni përfshijnë, por pa u kufizuar vetëm në to, treguesit financiarë të matur në aplikimin e metodës së duhur të transferimit të çmimit, p.sh., çmimi i transaksionit, marzhi bruto apo fitimi neto i përfituar nga një prej palëve në transaksion, ose ndarja e fitimit midis palëve në transaksion.</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ë) “Marrëveshje çmimi në avancë” është një marrëveshje procedurale ndërmjet një apo më shumë tatimpaguesve dhe një apo më shumë administratave tatimore, me qëllim zgjidhjen në avancë të mosmarrëveshjeve të mundshme të transferimit të çmimit, duke përcaktuar, para kryerjes së transaksioneve të kontrolluara, një grup kriteresh të përshtatshme për përcaktimin e përputhshmërisë së këtyre transaksioneve me parimin e tregut.</w:t>
      </w:r>
    </w:p>
    <w:p w:rsidR="00BA18B1" w:rsidRPr="0074069B" w:rsidRDefault="00BA18B1" w:rsidP="00BA18B1">
      <w:pPr>
        <w:widowControl w:val="0"/>
        <w:spacing w:after="0" w:line="240" w:lineRule="auto"/>
        <w:rPr>
          <w:rFonts w:ascii="CG Times" w:eastAsia="MS Mincho" w:hAnsi="CG Times" w:cs="CG Times"/>
          <w:spacing w:val="-2"/>
          <w:sz w:val="6"/>
          <w:lang w:val="sq-AL"/>
        </w:rPr>
      </w:pPr>
    </w:p>
    <w:p w:rsidR="00BA18B1" w:rsidRPr="0074069B" w:rsidRDefault="00BA18B1" w:rsidP="00BA18B1">
      <w:pPr>
        <w:widowControl w:val="0"/>
        <w:spacing w:after="0" w:line="240" w:lineRule="auto"/>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t>Neni 2</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Neni 36 ndryshohet si më poshtë:</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lastRenderedPageBreak/>
        <w:t>“Neni 36</w:t>
      </w:r>
    </w:p>
    <w:p w:rsidR="00BA18B1" w:rsidRPr="0074069B" w:rsidRDefault="00BA18B1" w:rsidP="00BA18B1">
      <w:pPr>
        <w:widowControl w:val="0"/>
        <w:spacing w:after="0" w:line="240" w:lineRule="auto"/>
        <w:jc w:val="center"/>
        <w:outlineLvl w:val="2"/>
        <w:rPr>
          <w:rFonts w:ascii="CG Times" w:eastAsia="MS Mincho" w:hAnsi="CG Times" w:cs="CG Times"/>
          <w:b/>
          <w:bCs/>
          <w:spacing w:val="-2"/>
          <w:sz w:val="21"/>
          <w:lang w:val="sq-AL"/>
        </w:rPr>
      </w:pPr>
      <w:r w:rsidRPr="0074069B">
        <w:rPr>
          <w:rFonts w:ascii="CG Times" w:eastAsia="MS Mincho" w:hAnsi="CG Times" w:cs="CG Times"/>
          <w:b/>
          <w:bCs/>
          <w:spacing w:val="-2"/>
          <w:sz w:val="21"/>
          <w:lang w:val="sq-AL"/>
        </w:rPr>
        <w:t>Transferimi i çmimit</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1. Nëse një tatimpagues që është subjekt i tatimfitimit merr pjesë në një apo më shumë transaksione të kontrolluara, ai duhet të përcaktojë fitimin e tatueshëm në një mënyrë që është në përputhje me parimin e tregut.</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2. Fitimet e tatueshme të një tatimpaguesi që merr pjesë në një apo më shumë transaksione të kontrolluara do të konsiderohen në përputhje me parimin e tregut, nëse kushtet e këtyre transaksioneve nuk janë të ndryshme nga kushtet që do të ishin aplikuar ndërmjet palëve të pavarura në transaksione të krahasueshme, të kryera në rrethana të krahasueshme.</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3. Kur kushtet e vendosura apo të diktuara në një a më shumë transaksione të kontrolluara, të kryera nga një tatimpagues, nuk janë në përputhje me parimin e tregut, atëherë fitimet e tatueshme të atij tatimpaguesi mund të rriten në atë masë që të jenë në përputhje me parimin e tregut. </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4. Përcaktimi nëse kushtet e një transaksioni të kontrolluar janë në përputhje me parimin e tregut dhe masa e çdo rregullimi, sipas pikës 3 të këtij neni, do të bëhet në përputhje me dispozitat e nenit 36 të këtij ligji.”.</w:t>
      </w:r>
    </w:p>
    <w:p w:rsidR="00BA18B1" w:rsidRPr="0074069B" w:rsidRDefault="00BA18B1" w:rsidP="00BA18B1">
      <w:pPr>
        <w:widowControl w:val="0"/>
        <w:spacing w:after="0" w:line="240" w:lineRule="auto"/>
        <w:jc w:val="center"/>
        <w:rPr>
          <w:rFonts w:ascii="CG Times" w:eastAsia="MS Mincho" w:hAnsi="CG Times" w:cs="CG Times"/>
          <w:spacing w:val="-2"/>
          <w:sz w:val="21"/>
          <w:lang w:val="sq-AL"/>
        </w:rPr>
      </w:pPr>
    </w:p>
    <w:p w:rsidR="00BA18B1" w:rsidRPr="0074069B" w:rsidRDefault="00BA18B1" w:rsidP="00BA18B1">
      <w:pPr>
        <w:widowControl w:val="0"/>
        <w:spacing w:after="0" w:line="240" w:lineRule="auto"/>
        <w:jc w:val="center"/>
        <w:rPr>
          <w:rFonts w:ascii="CG Times" w:eastAsia="MS Mincho" w:hAnsi="CG Times" w:cs="CG Times"/>
          <w:spacing w:val="-2"/>
          <w:sz w:val="21"/>
          <w:lang w:val="sq-AL"/>
        </w:rPr>
      </w:pPr>
    </w:p>
    <w:p w:rsidR="00BA18B1" w:rsidRPr="0074069B" w:rsidRDefault="00BA18B1" w:rsidP="00BA18B1">
      <w:pPr>
        <w:widowControl w:val="0"/>
        <w:spacing w:after="0" w:line="240" w:lineRule="auto"/>
        <w:jc w:val="center"/>
        <w:rPr>
          <w:rFonts w:ascii="CG Times" w:eastAsia="MS Mincho" w:hAnsi="CG Times" w:cs="CG Times"/>
          <w:spacing w:val="-2"/>
          <w:sz w:val="21"/>
          <w:lang w:val="sq-AL"/>
        </w:rPr>
      </w:pPr>
    </w:p>
    <w:p w:rsidR="00BA18B1" w:rsidRPr="0074069B" w:rsidRDefault="00BA18B1" w:rsidP="00BA18B1">
      <w:pPr>
        <w:widowControl w:val="0"/>
        <w:spacing w:after="0" w:line="240" w:lineRule="auto"/>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t>Neni 3</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Pas nenit 36 shtohen nenet 36/1, 36/2, 36/3, 36/4, 36/5, 36/6 dhe 36/7 me këtë përmbajtje:</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t>“Neni 36/1</w:t>
      </w:r>
    </w:p>
    <w:p w:rsidR="00BA18B1" w:rsidRPr="0074069B" w:rsidRDefault="00BA18B1" w:rsidP="00BA18B1">
      <w:pPr>
        <w:widowControl w:val="0"/>
        <w:spacing w:after="0" w:line="240" w:lineRule="auto"/>
        <w:jc w:val="center"/>
        <w:outlineLvl w:val="2"/>
        <w:rPr>
          <w:rFonts w:ascii="CG Times" w:eastAsia="MS Mincho" w:hAnsi="CG Times" w:cs="CG Times"/>
          <w:b/>
          <w:bCs/>
          <w:spacing w:val="-2"/>
          <w:sz w:val="21"/>
          <w:lang w:val="sq-AL"/>
        </w:rPr>
      </w:pPr>
      <w:r w:rsidRPr="0074069B">
        <w:rPr>
          <w:rFonts w:ascii="CG Times" w:eastAsia="MS Mincho" w:hAnsi="CG Times" w:cs="CG Times"/>
          <w:b/>
          <w:bCs/>
          <w:spacing w:val="-2"/>
          <w:sz w:val="21"/>
          <w:lang w:val="sq-AL"/>
        </w:rPr>
        <w:t>Krahasueshmëria</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1. Një transaksion i pakontrolluar është i krahasueshëm me një transaksion të kontrolluar, për qëllime të këtij kapitulli:</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a) kur nuk ka diferenca të rëndësishme midis tyre që mund të ndikojnë materialisht treguesit financiarë që po kontrollohen, sipas metodës së përshtatshme të transferimit të çmimit; ose</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b) kur ekzistojnë të tilla diferenca, një rregullim i arsyeshëm i bëhet treguesit financiar përkatës të transaksionit të pakontrolluar, me qëllim eliminimin e efekteve të këtyre diferencave në krahasim.</w:t>
      </w:r>
    </w:p>
    <w:p w:rsidR="00BA18B1" w:rsidRPr="0074069B" w:rsidRDefault="00BA18B1" w:rsidP="00BA18B1">
      <w:pPr>
        <w:widowControl w:val="0"/>
        <w:spacing w:after="0" w:line="240" w:lineRule="auto"/>
        <w:rPr>
          <w:rFonts w:ascii="CG Times" w:eastAsia="MS Mincho" w:hAnsi="CG Times" w:cs="CG Times"/>
          <w:spacing w:val="-6"/>
          <w:sz w:val="21"/>
          <w:lang w:val="sq-AL"/>
        </w:rPr>
      </w:pPr>
      <w:r w:rsidRPr="0074069B">
        <w:rPr>
          <w:rFonts w:ascii="CG Times" w:eastAsia="MS Mincho" w:hAnsi="CG Times" w:cs="CG Times"/>
          <w:spacing w:val="-6"/>
          <w:sz w:val="21"/>
          <w:lang w:val="sq-AL"/>
        </w:rPr>
        <w:t>2. Për të përcaktuar nëse dy apo më shumë transaksione janë të krahasueshme, do të merren në konsideratë, në masën që ata janë ekonomikisht të përshtatshëm për faktet dhe rrethanat e transaksionit, këta faktorë:</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a) karakteristikat e pronës, mallit apo shërbimeve të transferuara; </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b) funksionet e marra përsipër nga secila palë në lidhje me transaksionet, duke marrë në konsideratë asetet e përdorura dhe risqet e marra; </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c) kushtet kontraktuale të transaksioneve; </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ç) rrethanat ekonomike në të cilat ndodhin transaksionet; dhe </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d) strategjitë e biznesit të ndjekura nga palët në lidhje me transaksionet.</w:t>
      </w:r>
    </w:p>
    <w:p w:rsidR="00BA18B1" w:rsidRPr="0074069B" w:rsidRDefault="00BA18B1" w:rsidP="00BA18B1">
      <w:pPr>
        <w:widowControl w:val="0"/>
        <w:spacing w:after="0" w:line="240" w:lineRule="auto"/>
        <w:rPr>
          <w:rFonts w:ascii="CG Times" w:eastAsia="MS Mincho" w:hAnsi="CG Times" w:cs="CG Times"/>
          <w:spacing w:val="-2"/>
          <w:sz w:val="2"/>
          <w:lang w:val="sq-AL"/>
        </w:rPr>
      </w:pPr>
    </w:p>
    <w:p w:rsidR="00BA18B1" w:rsidRPr="0074069B" w:rsidRDefault="00BA18B1" w:rsidP="00BA18B1">
      <w:pPr>
        <w:widowControl w:val="0"/>
        <w:spacing w:after="0" w:line="240" w:lineRule="auto"/>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t>Neni 36/2</w:t>
      </w:r>
    </w:p>
    <w:p w:rsidR="00BA18B1" w:rsidRPr="0074069B" w:rsidRDefault="00BA18B1" w:rsidP="00BA18B1">
      <w:pPr>
        <w:widowControl w:val="0"/>
        <w:spacing w:after="0" w:line="240" w:lineRule="auto"/>
        <w:jc w:val="center"/>
        <w:outlineLvl w:val="2"/>
        <w:rPr>
          <w:rFonts w:ascii="CG Times" w:eastAsia="MS Mincho" w:hAnsi="CG Times" w:cs="CG Times"/>
          <w:b/>
          <w:bCs/>
          <w:spacing w:val="-2"/>
          <w:sz w:val="21"/>
          <w:lang w:val="sq-AL"/>
        </w:rPr>
      </w:pPr>
      <w:r w:rsidRPr="0074069B">
        <w:rPr>
          <w:rFonts w:ascii="CG Times" w:eastAsia="MS Mincho" w:hAnsi="CG Times" w:cs="CG Times"/>
          <w:b/>
          <w:bCs/>
          <w:spacing w:val="-2"/>
          <w:sz w:val="21"/>
          <w:lang w:val="sq-AL"/>
        </w:rPr>
        <w:t>Metodat e transferimit të çmimit</w:t>
      </w:r>
    </w:p>
    <w:p w:rsidR="00BA18B1" w:rsidRPr="0074069B" w:rsidRDefault="00BA18B1" w:rsidP="00BA18B1">
      <w:pPr>
        <w:widowControl w:val="0"/>
        <w:spacing w:after="0" w:line="240" w:lineRule="auto"/>
        <w:rPr>
          <w:rFonts w:ascii="CG Times" w:eastAsia="MS Mincho" w:hAnsi="CG Times" w:cs="CG Times"/>
          <w:spacing w:val="-2"/>
          <w:sz w:val="14"/>
          <w:lang w:val="sq-AL"/>
        </w:rPr>
      </w:pP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1. Përputhshmëria me parimin e tregut e një transaksioni të kontrolluar do të përcaktohet duke aplikuar metodën më të përshtatshme të transferimit të çmimit, sipas rrethanave të rastit, sipas përcaktimeve të bëra me udhëzim të ministrit të Financave.  Përveç sa parashikohet në pikën 2, metoda më e përshtatshme e transferimit të çmimit do të zgjidhet midis metodave që vijojnë:  </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a) metoda e çmimit të pakontrolluar të krahasueshëm, e cila konsiston në krahasimin e çmimit të vendosur për mallra apo shërbime të transferuara në një transaksion të kontrolluar me çmimin e vendosur për mallra apo shërbime të transferuara në një transaksion të pakontrolluar të krahasueshëm;</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b) metoda e çmimit të rishitjes, e cila konsiston në krahasimin e marzhit të rishitjes, që një blerës mallrash në një transaksion të kontrolluar fiton nga rishitja e asaj prone në një transaksion të pakontrolluar, me marzhin e rishitjes që fitohet në transaksione shitblerjesh të pakontrolluara të krahasueshme; </w:t>
      </w:r>
    </w:p>
    <w:p w:rsidR="00BA18B1" w:rsidRPr="0074069B" w:rsidRDefault="00BA18B1" w:rsidP="00BA18B1">
      <w:pPr>
        <w:widowControl w:val="0"/>
        <w:spacing w:after="0" w:line="240" w:lineRule="auto"/>
        <w:rPr>
          <w:rFonts w:ascii="CG Times" w:eastAsia="MS Mincho" w:hAnsi="CG Times" w:cs="CG Times"/>
          <w:spacing w:val="-2"/>
          <w:sz w:val="21"/>
          <w:lang w:val="sq-AL"/>
        </w:rPr>
      </w:pP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c) metoda kosto plus, e cila konsiston në krahasimin e rritjes (marzhit të fitimit) mbi kostot direkte dhe indirekte në furnizimin e mallrave e shërbimeve në një transaksion të kontrolluar me rritjen, marzhin e fitimit të këtyre kostove direkte dhe indirekte në furnizimin e mallrave dhe shërbimeve në një transaksion të pakontrolluar të krahasueshëm;</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ç) metoda e marzhit neto të transaksionit, e cila konsiston në krahasimin e marzhit neto të fitimit ndaj një baze të përshtatshme, p.sh., kostot, shitjet, asetet, që një palë arrin në një transaksion të kontrolluar, me marzhin neto të fitimit ndaj së njëjtës bazë të arritur në transaksione të pakontrolluara të krahasueshme; </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d) metoda e ndarjes së fitimit të transaksionit, sipas së cilës çdo personi të lidhur që merr pjesë në një transaksion të kontrolluar i alokohet pjesa e fitimit të përbashkët/humbjes që rrjedh nga ky transaksion që një person i pavarur do të fitonte nga pjesëmarrja në një transaksion të pakontrolluar të krahasueshëm. </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2. Tatimpaguesi mund të aplikojë një metodë të transferimit të çmimit të ndryshme nga metodat e mësipërme, kur ai provon se asnjë nga metodat e miratuara nuk mund të përdoret në mënyrë të arsyeshme për të përcaktuar përputhshmërinë me parimin e tregut për transaksionet e kontrolluara dhe kjo metodë tjetër jep një rezultat në përputhje me parimin e tregut. Tatimpaguesi që përdor një metodë të ndryshme nga metodat e miratuara, të përmendura në pikën 1 të këtij neni, do të ketë barrën e provës për të demonstruar se kërkesat e këtij kreu janë përmbushur.</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3. Për të përcaktuar përputhshmërinë me parimin e tregut për një transaksion të kontrolluar, nuk kërkohet të aplikohet më shumë se një metodë.</w:t>
      </w:r>
    </w:p>
    <w:p w:rsidR="00BA18B1" w:rsidRPr="0074069B" w:rsidRDefault="00BA18B1" w:rsidP="00BA18B1">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4. Kur një tatimpagues ka përdorur një metodë të transferimit të çmimit për të vendosur shpërblimin e transaksioneve të tij të kontrolluara dhe kjo metodë e transferimit të çmimit është në përputhje me dispozitat e këtij neni, atëherë kontrolli i administratës tatimore mbi faktin nëse kushtet e transaksioneve të kontrolluara të tatimpaguesit janë në përputhje me parimin e tregut, bazohet në metodën e transferimit të çmimit të aplikuar nga tatimpaguesi.</w:t>
      </w:r>
    </w:p>
    <w:p w:rsidR="00BA18B1" w:rsidRPr="0074069B" w:rsidRDefault="00BA18B1" w:rsidP="00BA18B1">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36/3</w:t>
      </w:r>
    </w:p>
    <w:p w:rsidR="00BA18B1" w:rsidRPr="0074069B" w:rsidRDefault="00BA18B1" w:rsidP="00BA18B1">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Vlerësimi i transaksioneve të kontrolluara të kombinuara</w:t>
      </w:r>
    </w:p>
    <w:p w:rsidR="00BA18B1" w:rsidRPr="0074069B" w:rsidRDefault="00BA18B1" w:rsidP="00BA18B1">
      <w:pPr>
        <w:widowControl w:val="0"/>
        <w:spacing w:after="0" w:line="240" w:lineRule="auto"/>
        <w:rPr>
          <w:rFonts w:ascii="CG Times" w:eastAsia="MS Mincho" w:hAnsi="CG Times" w:cs="CG Times"/>
          <w:sz w:val="14"/>
          <w:lang w:val="sq-AL"/>
        </w:rPr>
      </w:pP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Nëse një tatimpagues kryen, në rrethana të njëjta ose të ngjashme, dy ose më shumë transaksione të kontrolluara, që janë ekonomikisht të lidhura ngushtë me njëri-tjetrin ose që përbëjnë një vazhdimësi/kombinim të caktuar, në mënyrë të tillë që ato nuk mund të analizohen veçmas në mënyrë të besueshme, këto transaksione mund të kombinohen:</w:t>
      </w: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a) për të kryer analizën e krahasueshmërisë, të përcaktuar në nenin 36/1; dhe </w:t>
      </w: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për të aplikuar metodat e transferimit të çmimit, të përcaktuara në nenin 36/2.</w:t>
      </w:r>
    </w:p>
    <w:p w:rsidR="00BA18B1" w:rsidRPr="0074069B" w:rsidRDefault="00BA18B1" w:rsidP="00BA18B1">
      <w:pPr>
        <w:widowControl w:val="0"/>
        <w:spacing w:after="0" w:line="240" w:lineRule="auto"/>
        <w:rPr>
          <w:rFonts w:ascii="CG Times" w:eastAsia="MS Mincho" w:hAnsi="CG Times" w:cs="CG Times"/>
          <w:sz w:val="14"/>
          <w:lang w:val="sq-AL"/>
        </w:rPr>
      </w:pPr>
    </w:p>
    <w:p w:rsidR="00BA18B1" w:rsidRPr="0074069B" w:rsidRDefault="00BA18B1" w:rsidP="00BA18B1">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36/4</w:t>
      </w:r>
    </w:p>
    <w:p w:rsidR="00BA18B1" w:rsidRPr="0074069B" w:rsidRDefault="00BA18B1" w:rsidP="00BA18B1">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Diapazoni i treguesve të tregut</w:t>
      </w:r>
    </w:p>
    <w:p w:rsidR="00BA18B1" w:rsidRPr="0074069B" w:rsidRDefault="00BA18B1" w:rsidP="00BA18B1">
      <w:pPr>
        <w:widowControl w:val="0"/>
        <w:spacing w:after="0" w:line="240" w:lineRule="auto"/>
        <w:rPr>
          <w:rFonts w:ascii="CG Times" w:eastAsia="MS Mincho" w:hAnsi="CG Times" w:cs="CG Times"/>
          <w:sz w:val="14"/>
          <w:lang w:val="sq-AL"/>
        </w:rPr>
      </w:pP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1. Diapazon tregu është një grup treguesish financiarë përkatës, p.sh., çmimet, marzhet apo pjesët e fitimit, të nxjerra nga aplikimi i metodës më të përshtatshme të transferimit të çmimit për një numër transaksionesh të pakontrolluara, ku secili është pothuajse njëlloj i krahasueshëm me transaksionin e kontrolluar, bazuar në një analizë krahasueshmërie të kryer në përputhje me nenin 36/1. </w:t>
      </w: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2. Një transaksion i kontrolluar ose një grup transaksionesh nuk do të jetë subjekt i rregullimeve, sipas pikës 3 të nenit 36, kur treguesi financiar përkatës, që rrjedh nga transaksioni/transaksionet i/e kontrolluar/a që po testohet/testohen sipas metodës më të përshtatshme të transferimit të çmimit, është brenda diapazonit të tregut. </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3. Kur treguesi financiar përkatës, i cili rrjedh nga transaksione të kontrolluara, del jashtë diapazonit të tregut, administrata tatimore mund ta rregullojë atë sipas pikës 3 të nenit 36, dhe çdo rregullim i tillë do të jetë në mesataren e diapazonit të tregut, përveç rasteve kur administrata tatimore apo tatimpaguesi mund të vërtetojnë se rrethanat në atë rast garantojnë rregullimin në një pikë të ndryshme të gamës së tregut, sipas përcaktimeve të bëra në udhëzimin e ministrit të Financave.</w:t>
      </w:r>
    </w:p>
    <w:p w:rsidR="00BA18B1" w:rsidRPr="0074069B" w:rsidRDefault="00BA18B1" w:rsidP="00BA18B1">
      <w:pPr>
        <w:widowControl w:val="0"/>
        <w:spacing w:after="0" w:line="240" w:lineRule="auto"/>
        <w:jc w:val="center"/>
        <w:rPr>
          <w:rFonts w:ascii="CG Times" w:eastAsia="MS Mincho" w:hAnsi="CG Times" w:cs="CG Times"/>
          <w:sz w:val="14"/>
          <w:lang w:val="sq-AL"/>
        </w:rPr>
      </w:pPr>
    </w:p>
    <w:p w:rsidR="00BA18B1" w:rsidRPr="0074069B" w:rsidRDefault="00BA18B1" w:rsidP="00BA18B1">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36/5</w:t>
      </w:r>
    </w:p>
    <w:p w:rsidR="00BA18B1" w:rsidRPr="0074069B" w:rsidRDefault="00BA18B1" w:rsidP="00BA18B1">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lastRenderedPageBreak/>
        <w:t>Informacioni mbi transferimin e çmimit</w:t>
      </w:r>
    </w:p>
    <w:p w:rsidR="00BA18B1" w:rsidRPr="0074069B" w:rsidRDefault="00BA18B1" w:rsidP="00BA18B1">
      <w:pPr>
        <w:widowControl w:val="0"/>
        <w:spacing w:after="0" w:line="240" w:lineRule="auto"/>
        <w:rPr>
          <w:rFonts w:ascii="CG Times" w:eastAsia="MS Mincho" w:hAnsi="CG Times" w:cs="CG Times"/>
          <w:sz w:val="14"/>
          <w:lang w:val="sq-AL"/>
        </w:rPr>
      </w:pP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Një tatimpagues duhet të paraqesë informacion dhe analiza të mjaftueshme  për të vërtetuar se kushtet e transaksioneve të tij të kontrolluara janë në përputhje me parimet e tregut. Dokumentacioni i transferimit të çmimit duhet t’i vihet në dispozicion administratës tatimore, me kërkesë të saj, brenda 30 ditëve nga marrja e kërkesës së administratës tatimore. Përmbajtja dhe forma e dokumentacionit të transferimit të çmimit përcaktohen me udhëzim të ministrit të Financave.</w:t>
      </w: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2. Tatimpaguesit e përfshirë në transaksione të kontrolluara mbi një vlerë të përcaktuar duhet të paraqesin një njoftim/formular vjetor për transaksionet e kontrolluara. Ministri i Financave përcakton, me udhëzim, kufirin/vlerën e sipërpërmendur, formatin dhe afatin kohor për paraqitjen e informacionit mbi transaksionet e kontrolluara. </w:t>
      </w:r>
    </w:p>
    <w:p w:rsidR="00BA18B1" w:rsidRPr="0074069B" w:rsidRDefault="00BA18B1" w:rsidP="00BA18B1">
      <w:pPr>
        <w:widowControl w:val="0"/>
        <w:spacing w:after="0" w:line="240" w:lineRule="auto"/>
        <w:rPr>
          <w:rFonts w:ascii="CG Times" w:eastAsia="MS Mincho" w:hAnsi="CG Times" w:cs="CG Times"/>
          <w:sz w:val="14"/>
          <w:lang w:val="sq-AL"/>
        </w:rPr>
      </w:pPr>
    </w:p>
    <w:p w:rsidR="00BA18B1" w:rsidRPr="0074069B" w:rsidRDefault="00BA18B1" w:rsidP="00BA18B1">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36/6</w:t>
      </w:r>
    </w:p>
    <w:p w:rsidR="00BA18B1" w:rsidRPr="0074069B" w:rsidRDefault="00BA18B1" w:rsidP="00BA18B1">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Rregullimet korresponduese</w:t>
      </w:r>
    </w:p>
    <w:p w:rsidR="00BA18B1" w:rsidRPr="0074069B" w:rsidRDefault="00BA18B1" w:rsidP="00BA18B1">
      <w:pPr>
        <w:widowControl w:val="0"/>
        <w:spacing w:after="0" w:line="240" w:lineRule="auto"/>
        <w:rPr>
          <w:rFonts w:ascii="CG Times" w:eastAsia="MS Mincho" w:hAnsi="CG Times" w:cs="CG Times"/>
          <w:sz w:val="14"/>
          <w:lang w:val="sq-AL"/>
        </w:rPr>
      </w:pP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Kur në kushtet e transaksioneve të kontrolluara bëhet një rregullim nga një administratë tatimore e një vendi tjetër dhe ky rregullim rezulton në taksimin në atë vend të fitimeve, për të cilat tatimpaguesi është tatuar tashmë në Shqipëri, dhe vendi që propozon rregullimin ka një marrëveshje me Shqipërinë për eliminimin e tatimit të dyfishtë, atëherë, në këto kushte, administrata tatimore e Shqipërisë, pas kryerjes së një kërkese nga tatimpaguesi shqiptar, do të kontrollojë përputhshmërinë e atij rregullimi me parimet e tregut, siç përcaktohet në pikën 2 të nenit 36. Nëse administrata tatimore arrin në përfundimin që rregullimi është në përputhje me parimet e tregut, ajo bën rregullimet e duhura në vlerën e tatimit që i është ngarkuar tatimpaguesit shqiptar. Procedura për kërkesën për një rregullim korrespondues, sipas këtij neni, do të përcaktohet në udhëzimin e ministrit të Financave. </w:t>
      </w:r>
    </w:p>
    <w:p w:rsidR="00BA18B1" w:rsidRPr="0074069B" w:rsidRDefault="00BA18B1" w:rsidP="00BA18B1">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36/7</w:t>
      </w:r>
    </w:p>
    <w:p w:rsidR="00BA18B1" w:rsidRPr="0074069B" w:rsidRDefault="00BA18B1" w:rsidP="00BA18B1">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Marrëveshjet e çmimit në avancë</w:t>
      </w:r>
    </w:p>
    <w:p w:rsidR="00BA18B1" w:rsidRPr="0074069B" w:rsidRDefault="00BA18B1" w:rsidP="00BA18B1">
      <w:pPr>
        <w:widowControl w:val="0"/>
        <w:spacing w:after="0" w:line="240" w:lineRule="auto"/>
        <w:rPr>
          <w:rFonts w:ascii="CG Times" w:eastAsia="MS Mincho" w:hAnsi="CG Times" w:cs="CG Times"/>
          <w:sz w:val="14"/>
          <w:lang w:val="sq-AL"/>
        </w:rPr>
      </w:pP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1. Një tatimpagues mund të kërkojë që administrata tatimore të hyjë në një marrëveshje çmimi në avancë për të përcaktuar një grup të përshtatshëm kriteresh për përputhshmërinë me parimin e tregut për transaksionet e ardhshme të kontrolluara për një periudhë kohore të përcaktuar.</w:t>
      </w: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2. Kur administrata tatimore hyn në një marrëveshje çmimi në avancë me një tatimpagues, asnjë rregullim i transferimit të çmimit nuk bëhet sipas pikës 3 të nenit 36, për transaksionet e kontrolluara që janë brenda fushës së marrëveshjes, për aq kohë sa afatet dhe kushtet e vendosura nga marrëveshja e çmimit në avancë janë plotësuar. </w:t>
      </w:r>
    </w:p>
    <w:p w:rsidR="00BA18B1" w:rsidRPr="0074069B" w:rsidRDefault="00BA18B1" w:rsidP="00BA18B1">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3. Ngarkohet ministri i Financave për nxjerrjen e një udhëzimi të posaçëm në lidhje me marrëveshjet e çmimit në avancë.”.</w:t>
      </w:r>
    </w:p>
    <w:p w:rsidR="00BA18B1" w:rsidRPr="0074069B" w:rsidRDefault="00BA18B1" w:rsidP="00BA18B1">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4</w:t>
      </w:r>
    </w:p>
    <w:p w:rsidR="00BA18B1" w:rsidRPr="0074069B" w:rsidRDefault="00BA18B1" w:rsidP="00BA18B1">
      <w:pPr>
        <w:widowControl w:val="0"/>
        <w:spacing w:after="0" w:line="240" w:lineRule="auto"/>
        <w:rPr>
          <w:rFonts w:ascii="CG Times" w:eastAsia="MS Mincho" w:hAnsi="CG Times" w:cs="CG Times"/>
          <w:sz w:val="14"/>
          <w:lang w:val="sq-AL"/>
        </w:rPr>
      </w:pP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Ky ligj hyn në fuqi 15 ditë pas botimit në Fletoren Zyrtare.</w:t>
      </w:r>
    </w:p>
    <w:p w:rsidR="00BA18B1" w:rsidRPr="0074069B" w:rsidRDefault="00BA18B1" w:rsidP="00BA18B1">
      <w:pPr>
        <w:widowControl w:val="0"/>
        <w:spacing w:after="0" w:line="240" w:lineRule="auto"/>
        <w:rPr>
          <w:rFonts w:ascii="CG Times" w:eastAsia="MS Mincho" w:hAnsi="CG Times" w:cs="CG Times"/>
          <w:caps/>
          <w:sz w:val="14"/>
          <w:lang w:val="sq-AL"/>
        </w:rPr>
      </w:pP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Miratuar në datën 24.4.2014</w:t>
      </w:r>
    </w:p>
    <w:p w:rsidR="00BA18B1" w:rsidRPr="0074069B" w:rsidRDefault="00BA18B1" w:rsidP="00BA18B1">
      <w:pPr>
        <w:widowControl w:val="0"/>
        <w:spacing w:after="0" w:line="240" w:lineRule="auto"/>
        <w:rPr>
          <w:rFonts w:ascii="CG Times" w:eastAsia="MS Mincho" w:hAnsi="CG Times" w:cs="CG Times"/>
          <w:sz w:val="14"/>
          <w:lang w:val="sq-AL"/>
        </w:rPr>
      </w:pPr>
    </w:p>
    <w:p w:rsidR="00BA18B1" w:rsidRPr="0074069B" w:rsidRDefault="00BA18B1" w:rsidP="00BA18B1">
      <w:pPr>
        <w:widowControl w:val="0"/>
        <w:spacing w:after="0" w:line="240" w:lineRule="auto"/>
        <w:rPr>
          <w:rFonts w:ascii="CG Times" w:eastAsia="MS Mincho" w:hAnsi="CG Times" w:cs="CG Times"/>
          <w:sz w:val="21"/>
          <w:lang w:val="sq-AL"/>
        </w:rPr>
      </w:pPr>
      <w:r w:rsidRPr="0074069B">
        <w:rPr>
          <w:rFonts w:ascii="CG Times" w:eastAsia="MS Mincho" w:hAnsi="CG Times" w:cs="CG Times"/>
          <w:b/>
          <w:spacing w:val="-4"/>
          <w:sz w:val="21"/>
          <w:szCs w:val="21"/>
          <w:lang w:val="sq-AL"/>
        </w:rPr>
        <w:t>Shpallur me dekretin nr. 8563, datë 16.5.2014 të Presidentit të Republikës së Shqipërisë, Bujar Nishani</w:t>
      </w:r>
    </w:p>
    <w:p w:rsidR="00BA18B1" w:rsidRPr="0074069B" w:rsidRDefault="00BA18B1" w:rsidP="00BA18B1">
      <w:pPr>
        <w:widowControl w:val="0"/>
        <w:spacing w:after="0" w:line="240" w:lineRule="auto"/>
        <w:jc w:val="center"/>
        <w:outlineLvl w:val="0"/>
        <w:rPr>
          <w:rFonts w:ascii="CG Times" w:eastAsia="MS Mincho" w:hAnsi="CG Times" w:cs="CG Times"/>
          <w:b/>
          <w:bCs/>
          <w:caps/>
          <w:color w:val="000000"/>
          <w:sz w:val="21"/>
          <w:lang w:val="sq-AL"/>
        </w:rPr>
      </w:pPr>
    </w:p>
    <w:p w:rsidR="00000000" w:rsidRDefault="00BA18B1"/>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useFELayout/>
  </w:compat>
  <w:rsids>
    <w:rsidRoot w:val="00BA18B1"/>
    <w:rsid w:val="00BA18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2013</Words>
  <Characters>11478</Characters>
  <Application>Microsoft Office Word</Application>
  <DocSecurity>0</DocSecurity>
  <Lines>95</Lines>
  <Paragraphs>26</Paragraphs>
  <ScaleCrop>false</ScaleCrop>
  <Company>Grizli777</Company>
  <LinksUpToDate>false</LinksUpToDate>
  <CharactersWithSpaces>13465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2014-09-23T13:14:00Z</dcterms:created>
  <dcterms:modified xsi:type="dcterms:W3CDTF">2014-09-23T13:14:00Z</dcterms:modified>
</cp:coreProperties>
</file>