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20EB" w:rsidRPr="00DF1F3A" w:rsidRDefault="001E20EB" w:rsidP="001E20EB">
      <w:pPr>
        <w:pStyle w:val="Akti"/>
        <w:rPr>
          <w:spacing w:val="-4"/>
          <w:lang w:val="sq-AL"/>
        </w:rPr>
      </w:pPr>
      <w:r w:rsidRPr="00DF1F3A">
        <w:rPr>
          <w:spacing w:val="-4"/>
          <w:lang w:val="sq-AL"/>
        </w:rPr>
        <w:t>LIGJ</w:t>
      </w:r>
    </w:p>
    <w:p w:rsidR="001E20EB" w:rsidRPr="00DF1F3A" w:rsidRDefault="001E20EB" w:rsidP="001E20EB">
      <w:pPr>
        <w:pStyle w:val="NumriData"/>
        <w:rPr>
          <w:spacing w:val="-4"/>
          <w:lang w:val="sq-AL"/>
        </w:rPr>
      </w:pPr>
      <w:r w:rsidRPr="00DF1F3A">
        <w:rPr>
          <w:spacing w:val="-4"/>
          <w:lang w:val="sq-AL"/>
        </w:rPr>
        <w:t>Nr. 98/2014</w:t>
      </w:r>
    </w:p>
    <w:p w:rsidR="001E20EB" w:rsidRPr="00DF1F3A" w:rsidRDefault="001E20EB" w:rsidP="001E20EB">
      <w:pPr>
        <w:pStyle w:val="Paragrafi"/>
        <w:rPr>
          <w:spacing w:val="-4"/>
          <w:sz w:val="14"/>
          <w:lang w:val="sq-AL"/>
        </w:rPr>
      </w:pPr>
    </w:p>
    <w:p w:rsidR="001E20EB" w:rsidRPr="00DF1F3A" w:rsidRDefault="001E20EB" w:rsidP="001E20EB">
      <w:pPr>
        <w:pStyle w:val="Titulli"/>
        <w:rPr>
          <w:spacing w:val="-4"/>
          <w:lang w:val="sq-AL"/>
        </w:rPr>
      </w:pPr>
      <w:r w:rsidRPr="00DF1F3A">
        <w:rPr>
          <w:spacing w:val="-4"/>
          <w:lang w:val="sq-AL"/>
        </w:rPr>
        <w:t>PËR DISA SHTESA DHE NDRYSHIME NË LIGJIN NR. 7895,</w:t>
      </w:r>
      <w:r>
        <w:rPr>
          <w:spacing w:val="-4"/>
          <w:lang w:val="sq-AL"/>
        </w:rPr>
        <w:t xml:space="preserve"> </w:t>
      </w:r>
      <w:r w:rsidRPr="00DF1F3A">
        <w:rPr>
          <w:spacing w:val="-4"/>
          <w:lang w:val="sq-AL"/>
        </w:rPr>
        <w:t>DATË 27.1.1995, “KODI PENAL I REPUBLIKËS SË SHQIPËRISË”,TË NDRYSHUAR</w:t>
      </w:r>
    </w:p>
    <w:p w:rsidR="001E20EB" w:rsidRPr="00DF1F3A" w:rsidRDefault="001E20EB" w:rsidP="001E20EB">
      <w:pPr>
        <w:pStyle w:val="Paragrafi"/>
        <w:rPr>
          <w:spacing w:val="-4"/>
          <w:sz w:val="10"/>
          <w:lang w:val="sq-AL"/>
        </w:rPr>
      </w:pPr>
    </w:p>
    <w:p w:rsidR="001E20EB" w:rsidRPr="00DF1F3A" w:rsidRDefault="001E20EB" w:rsidP="001E20EB">
      <w:pPr>
        <w:pStyle w:val="Paragrafi"/>
        <w:rPr>
          <w:spacing w:val="-4"/>
          <w:lang w:val="sq-AL"/>
        </w:rPr>
      </w:pPr>
      <w:r w:rsidRPr="00DF1F3A">
        <w:rPr>
          <w:spacing w:val="-4"/>
          <w:lang w:val="sq-AL"/>
        </w:rPr>
        <w:t xml:space="preserve">Në mbështetje të neneve 81, pika 2, shkronja “d”, dhe 83, pika 1, të Kushtetutës, me propozimin e një grupi deputetësh dhe Këshillit të Ministrave, </w:t>
      </w:r>
    </w:p>
    <w:p w:rsidR="001E20EB" w:rsidRPr="00DF1F3A" w:rsidRDefault="001E20EB" w:rsidP="001E20EB">
      <w:pPr>
        <w:pStyle w:val="Paragrafi"/>
        <w:rPr>
          <w:spacing w:val="-4"/>
          <w:sz w:val="14"/>
          <w:lang w:val="sq-AL"/>
        </w:rPr>
      </w:pPr>
    </w:p>
    <w:p w:rsidR="001E20EB" w:rsidRPr="00DF1F3A" w:rsidRDefault="001E20EB" w:rsidP="001E20EB">
      <w:pPr>
        <w:pStyle w:val="VENDOSI"/>
        <w:rPr>
          <w:spacing w:val="-4"/>
          <w:lang w:val="sq-AL"/>
        </w:rPr>
      </w:pPr>
      <w:r w:rsidRPr="00DF1F3A">
        <w:rPr>
          <w:spacing w:val="-4"/>
          <w:lang w:val="sq-AL"/>
        </w:rPr>
        <w:t>KUVENDI</w:t>
      </w:r>
    </w:p>
    <w:p w:rsidR="001E20EB" w:rsidRPr="00DF1F3A" w:rsidRDefault="001E20EB" w:rsidP="001E20EB">
      <w:pPr>
        <w:pStyle w:val="VENDOSI"/>
        <w:rPr>
          <w:spacing w:val="-4"/>
          <w:lang w:val="sq-AL"/>
        </w:rPr>
      </w:pPr>
      <w:r w:rsidRPr="00DF1F3A">
        <w:rPr>
          <w:spacing w:val="-4"/>
          <w:lang w:val="sq-AL"/>
        </w:rPr>
        <w:t>I REPUBLIKËS SË SHQIPËRISË</w:t>
      </w:r>
    </w:p>
    <w:p w:rsidR="001E20EB" w:rsidRPr="00712C10" w:rsidRDefault="001E20EB" w:rsidP="001E20EB">
      <w:pPr>
        <w:pStyle w:val="VENDOSI"/>
        <w:rPr>
          <w:spacing w:val="-4"/>
          <w:sz w:val="12"/>
          <w:lang w:val="sq-AL"/>
        </w:rPr>
      </w:pPr>
    </w:p>
    <w:p w:rsidR="001E20EB" w:rsidRPr="00DF1F3A" w:rsidRDefault="001E20EB" w:rsidP="001E20EB">
      <w:pPr>
        <w:pStyle w:val="VENDOSI"/>
        <w:rPr>
          <w:spacing w:val="-4"/>
          <w:lang w:val="sq-AL"/>
        </w:rPr>
      </w:pPr>
      <w:r w:rsidRPr="00DF1F3A">
        <w:rPr>
          <w:spacing w:val="-4"/>
          <w:lang w:val="sq-AL"/>
        </w:rPr>
        <w:t>VENDOSI:</w:t>
      </w:r>
    </w:p>
    <w:p w:rsidR="001E20EB" w:rsidRPr="00DF1F3A" w:rsidRDefault="001E20EB" w:rsidP="001E20EB">
      <w:pPr>
        <w:pStyle w:val="Paragrafi"/>
        <w:rPr>
          <w:spacing w:val="-4"/>
          <w:sz w:val="14"/>
          <w:lang w:val="sq-AL"/>
        </w:rPr>
      </w:pPr>
    </w:p>
    <w:p w:rsidR="001E20EB" w:rsidRPr="00DF1F3A" w:rsidRDefault="001E20EB" w:rsidP="001E20EB">
      <w:pPr>
        <w:pStyle w:val="Paragrafi"/>
        <w:rPr>
          <w:spacing w:val="-4"/>
          <w:lang w:val="sq-AL"/>
        </w:rPr>
      </w:pPr>
      <w:r w:rsidRPr="00DF1F3A">
        <w:rPr>
          <w:spacing w:val="-4"/>
          <w:lang w:val="sq-AL"/>
        </w:rPr>
        <w:t>Në ligjin nr. 7895, datë 27.1.1995, “Kodi Penal i Republikës së Shqipërisë”, të ndryshuar, bëhen këto shtesa dhe ndryshime:</w:t>
      </w:r>
    </w:p>
    <w:p w:rsidR="001E20EB" w:rsidRPr="00DF1F3A" w:rsidRDefault="001E20EB" w:rsidP="001E20EB">
      <w:pPr>
        <w:pStyle w:val="NeniNr"/>
        <w:rPr>
          <w:spacing w:val="-4"/>
          <w:lang w:val="sq-AL"/>
        </w:rPr>
      </w:pPr>
      <w:r w:rsidRPr="00DF1F3A">
        <w:rPr>
          <w:spacing w:val="-4"/>
          <w:lang w:val="sq-AL"/>
        </w:rPr>
        <w:t>Neni 1</w:t>
      </w:r>
    </w:p>
    <w:p w:rsidR="001E20EB" w:rsidRPr="00DF1F3A" w:rsidRDefault="001E20EB" w:rsidP="001E20EB">
      <w:pPr>
        <w:pStyle w:val="Paragrafi"/>
        <w:rPr>
          <w:spacing w:val="-4"/>
          <w:sz w:val="14"/>
          <w:lang w:val="sq-AL"/>
        </w:rPr>
      </w:pPr>
    </w:p>
    <w:p w:rsidR="001E20EB" w:rsidRPr="00DF1F3A" w:rsidRDefault="001E20EB" w:rsidP="001E20EB">
      <w:pPr>
        <w:pStyle w:val="Paragrafi"/>
        <w:rPr>
          <w:spacing w:val="-4"/>
          <w:lang w:val="sq-AL"/>
        </w:rPr>
      </w:pPr>
      <w:r w:rsidRPr="00DF1F3A">
        <w:rPr>
          <w:spacing w:val="-4"/>
          <w:lang w:val="sq-AL"/>
        </w:rPr>
        <w:t>Pas nenit 53 shtohet neni 53/a me këtë përmbajtje:</w:t>
      </w:r>
    </w:p>
    <w:p w:rsidR="001E20EB" w:rsidRPr="00DF1F3A" w:rsidRDefault="001E20EB" w:rsidP="001E20EB">
      <w:pPr>
        <w:pStyle w:val="Paragrafi"/>
        <w:rPr>
          <w:spacing w:val="-4"/>
          <w:sz w:val="14"/>
          <w:lang w:val="sq-AL"/>
        </w:rPr>
      </w:pPr>
    </w:p>
    <w:p w:rsidR="001E20EB" w:rsidRPr="00DF1F3A" w:rsidRDefault="001E20EB" w:rsidP="001E20EB">
      <w:pPr>
        <w:pStyle w:val="NeniNr"/>
        <w:rPr>
          <w:spacing w:val="-4"/>
          <w:lang w:val="sq-AL"/>
        </w:rPr>
      </w:pPr>
      <w:r w:rsidRPr="00DF1F3A">
        <w:rPr>
          <w:spacing w:val="-4"/>
          <w:lang w:val="sq-AL"/>
        </w:rPr>
        <w:t>“Neni 53/a</w:t>
      </w:r>
    </w:p>
    <w:p w:rsidR="001E20EB" w:rsidRPr="0010266A" w:rsidRDefault="001E20EB" w:rsidP="001E20EB">
      <w:pPr>
        <w:pStyle w:val="NeniTitull"/>
        <w:rPr>
          <w:lang w:val="sq-AL"/>
        </w:rPr>
      </w:pPr>
      <w:r w:rsidRPr="00DF1F3A">
        <w:rPr>
          <w:spacing w:val="-4"/>
          <w:lang w:val="sq-AL"/>
        </w:rPr>
        <w:t>Zëvendësimi i dënimit me burgim me pagimin e një</w:t>
      </w:r>
      <w:r w:rsidRPr="0010266A">
        <w:rPr>
          <w:lang w:val="sq-AL"/>
        </w:rPr>
        <w:t xml:space="preserve"> shume të hollash në favor të shtetit</w:t>
      </w:r>
    </w:p>
    <w:p w:rsidR="001E20EB" w:rsidRPr="0010266A" w:rsidRDefault="001E20EB" w:rsidP="001E20EB">
      <w:pPr>
        <w:pStyle w:val="Paragrafi"/>
        <w:rPr>
          <w:spacing w:val="-4"/>
          <w:sz w:val="14"/>
          <w:lang w:val="sq-AL"/>
        </w:rPr>
      </w:pPr>
    </w:p>
    <w:p w:rsidR="001E20EB" w:rsidRPr="0010266A" w:rsidRDefault="001E20EB" w:rsidP="001E20EB">
      <w:pPr>
        <w:pStyle w:val="Paragrafi"/>
        <w:rPr>
          <w:spacing w:val="-4"/>
          <w:lang w:val="sq-AL"/>
        </w:rPr>
      </w:pPr>
      <w:r w:rsidRPr="0010266A">
        <w:rPr>
          <w:spacing w:val="-4"/>
          <w:lang w:val="sq-AL"/>
        </w:rPr>
        <w:t>Gjykata, në rastet kur parashikohet shprehimisht nga dispozita, kur çmon që vepra penale dhe autori i saj paraqesin rrezikshmëri të ulët shoqërore dhe kur cakton një dënim gjer në dy vjet burgim, mund të vendosë zëvendësimin e dënimit me burgim me pagimin e një shume të hollash në favor të shtetit, duke llogaritur një ditë burgim me pesë mijë lekë.</w:t>
      </w:r>
    </w:p>
    <w:p w:rsidR="001E20EB" w:rsidRDefault="001E20EB" w:rsidP="001E20EB">
      <w:pPr>
        <w:pStyle w:val="Paragrafi"/>
        <w:rPr>
          <w:spacing w:val="-4"/>
          <w:lang w:val="sq-AL"/>
        </w:rPr>
      </w:pPr>
      <w:r w:rsidRPr="0010266A">
        <w:rPr>
          <w:spacing w:val="-4"/>
          <w:lang w:val="sq-AL"/>
        </w:rPr>
        <w:t>Ky zëvendësim mund të vendoset kur është kërkuar nga autori i veprës penale.</w:t>
      </w:r>
    </w:p>
    <w:p w:rsidR="001E20EB" w:rsidRPr="0010266A" w:rsidRDefault="001E20EB" w:rsidP="001E20EB">
      <w:pPr>
        <w:pStyle w:val="Paragrafi"/>
        <w:rPr>
          <w:spacing w:val="-4"/>
          <w:lang w:val="sq-AL"/>
        </w:rPr>
      </w:pPr>
    </w:p>
    <w:p w:rsidR="001E20EB" w:rsidRPr="0010266A" w:rsidRDefault="001E20EB" w:rsidP="001E20EB">
      <w:pPr>
        <w:pStyle w:val="Paragrafi"/>
        <w:rPr>
          <w:spacing w:val="-4"/>
          <w:lang w:val="sq-AL"/>
        </w:rPr>
      </w:pPr>
      <w:r w:rsidRPr="0010266A">
        <w:rPr>
          <w:spacing w:val="-4"/>
          <w:lang w:val="sq-AL"/>
        </w:rPr>
        <w:t>Në rast se shuma e të hollave e vendosur nga gjykata nuk paguhet brenda 10 ditëve nga momenti që vendimi merr formë të prerë, me kërkesë të prokurorisë, gjykata vendos revokimin e vendimit për zëvendësimin e dënimit me burgim.</w:t>
      </w:r>
      <w:r>
        <w:rPr>
          <w:spacing w:val="-4"/>
          <w:lang w:val="sq-AL"/>
        </w:rPr>
        <w:t>”</w:t>
      </w:r>
      <w:r w:rsidRPr="0010266A">
        <w:rPr>
          <w:spacing w:val="-4"/>
          <w:lang w:val="sq-AL"/>
        </w:rPr>
        <w:t>.</w:t>
      </w:r>
    </w:p>
    <w:p w:rsidR="001E20EB" w:rsidRPr="0010266A" w:rsidRDefault="001E20EB" w:rsidP="001E20EB">
      <w:pPr>
        <w:pStyle w:val="NeniNr"/>
        <w:rPr>
          <w:lang w:val="sq-AL"/>
        </w:rPr>
      </w:pPr>
      <w:r w:rsidRPr="0010266A">
        <w:rPr>
          <w:lang w:val="sq-AL"/>
        </w:rPr>
        <w:t>Neni 2</w:t>
      </w:r>
    </w:p>
    <w:p w:rsidR="001E20EB" w:rsidRPr="0010266A" w:rsidRDefault="001E20EB" w:rsidP="001E20EB">
      <w:pPr>
        <w:pStyle w:val="Paragrafi"/>
        <w:rPr>
          <w:spacing w:val="-4"/>
          <w:sz w:val="14"/>
          <w:lang w:val="sq-AL"/>
        </w:rPr>
      </w:pPr>
    </w:p>
    <w:p w:rsidR="001E20EB" w:rsidRPr="0010266A" w:rsidRDefault="001E20EB" w:rsidP="001E20EB">
      <w:pPr>
        <w:pStyle w:val="Paragrafi"/>
        <w:rPr>
          <w:spacing w:val="-4"/>
          <w:lang w:val="sq-AL"/>
        </w:rPr>
      </w:pPr>
      <w:r w:rsidRPr="0010266A">
        <w:rPr>
          <w:spacing w:val="-4"/>
          <w:lang w:val="sq-AL"/>
        </w:rPr>
        <w:t xml:space="preserve">Neni 137 ndryshohet si më poshtë: </w:t>
      </w:r>
    </w:p>
    <w:p w:rsidR="001E20EB" w:rsidRPr="00712C10" w:rsidRDefault="001E20EB" w:rsidP="001E20EB">
      <w:pPr>
        <w:pStyle w:val="Paragrafi"/>
        <w:rPr>
          <w:spacing w:val="-4"/>
          <w:sz w:val="14"/>
          <w:lang w:val="sq-AL"/>
        </w:rPr>
      </w:pPr>
    </w:p>
    <w:p w:rsidR="001E20EB" w:rsidRPr="0010266A" w:rsidRDefault="001E20EB" w:rsidP="001E20EB">
      <w:pPr>
        <w:pStyle w:val="NeniNr"/>
        <w:rPr>
          <w:lang w:val="sq-AL"/>
        </w:rPr>
      </w:pPr>
      <w:r>
        <w:rPr>
          <w:lang w:val="sq-AL"/>
        </w:rPr>
        <w:t>“</w:t>
      </w:r>
      <w:r w:rsidRPr="0010266A">
        <w:rPr>
          <w:lang w:val="sq-AL"/>
        </w:rPr>
        <w:t>Neni 137</w:t>
      </w:r>
    </w:p>
    <w:p w:rsidR="001E20EB" w:rsidRPr="0010266A" w:rsidRDefault="001E20EB" w:rsidP="001E20EB">
      <w:pPr>
        <w:pStyle w:val="NeniTitull"/>
        <w:rPr>
          <w:lang w:val="sq-AL"/>
        </w:rPr>
      </w:pPr>
      <w:r w:rsidRPr="0010266A">
        <w:rPr>
          <w:lang w:val="sq-AL"/>
        </w:rPr>
        <w:t>Vjedhja e energjisë elektrike ose impulseve telefonike</w:t>
      </w:r>
    </w:p>
    <w:p w:rsidR="001E20EB" w:rsidRPr="0010266A" w:rsidRDefault="001E20EB" w:rsidP="001E20EB">
      <w:pPr>
        <w:pStyle w:val="Paragrafi"/>
        <w:rPr>
          <w:spacing w:val="-4"/>
          <w:sz w:val="14"/>
          <w:lang w:val="sq-AL"/>
        </w:rPr>
      </w:pPr>
    </w:p>
    <w:p w:rsidR="001E20EB" w:rsidRPr="0010266A" w:rsidRDefault="001E20EB" w:rsidP="001E20EB">
      <w:pPr>
        <w:pStyle w:val="Paragrafi"/>
        <w:rPr>
          <w:spacing w:val="-4"/>
          <w:lang w:val="sq-AL"/>
        </w:rPr>
      </w:pPr>
      <w:r w:rsidRPr="0010266A">
        <w:rPr>
          <w:spacing w:val="-4"/>
          <w:lang w:val="sq-AL"/>
        </w:rPr>
        <w:t xml:space="preserve">Vjedhja e energjisë elektrike ose impulseve telefonike, dëmtimi i matësit, si dhe çdo ndërhyrje tjetër e paligjshme dhe e paautorizuar në sistemin e matjes apo në rrjetin elektrik ose rrjetin telefonik, e kryer me qëllim përfitimi të paligjshëm, përbën vepër penale dhe dënohet me burgim deri në tre vjet.  </w:t>
      </w:r>
    </w:p>
    <w:p w:rsidR="001E20EB" w:rsidRPr="0010266A" w:rsidRDefault="001E20EB" w:rsidP="001E20EB">
      <w:pPr>
        <w:pStyle w:val="Paragrafi"/>
        <w:rPr>
          <w:spacing w:val="-4"/>
          <w:lang w:val="sq-AL"/>
        </w:rPr>
      </w:pPr>
      <w:r w:rsidRPr="0010266A">
        <w:rPr>
          <w:spacing w:val="-4"/>
          <w:lang w:val="sq-AL"/>
        </w:rPr>
        <w:t xml:space="preserve">Kur kjo vepër penale kryhet në bashkëpunim, më shumë se një herë, ose nga përdoruesit </w:t>
      </w:r>
      <w:proofErr w:type="spellStart"/>
      <w:r w:rsidRPr="0010266A">
        <w:rPr>
          <w:spacing w:val="-4"/>
          <w:lang w:val="sq-AL"/>
        </w:rPr>
        <w:t>jofamiljarë</w:t>
      </w:r>
      <w:proofErr w:type="spellEnd"/>
      <w:r w:rsidRPr="0010266A">
        <w:rPr>
          <w:spacing w:val="-4"/>
          <w:lang w:val="sq-AL"/>
        </w:rPr>
        <w:t xml:space="preserve"> të energjisë elektrike ose të rrjetit të shërbimit telefonik, dënohet me burgim nga një deri në pesë vjet.</w:t>
      </w:r>
      <w:r>
        <w:rPr>
          <w:spacing w:val="-4"/>
          <w:lang w:val="sq-AL"/>
        </w:rPr>
        <w:t>”</w:t>
      </w:r>
      <w:r w:rsidRPr="0010266A">
        <w:rPr>
          <w:spacing w:val="-4"/>
          <w:lang w:val="sq-AL"/>
        </w:rPr>
        <w:t>.</w:t>
      </w:r>
    </w:p>
    <w:p w:rsidR="001E20EB" w:rsidRPr="0010266A" w:rsidRDefault="001E20EB" w:rsidP="001E20EB">
      <w:pPr>
        <w:pStyle w:val="Paragrafi"/>
        <w:rPr>
          <w:spacing w:val="-4"/>
          <w:sz w:val="14"/>
          <w:lang w:val="sq-AL"/>
        </w:rPr>
      </w:pPr>
    </w:p>
    <w:p w:rsidR="001E20EB" w:rsidRPr="0010266A" w:rsidRDefault="001E20EB" w:rsidP="001E20EB">
      <w:pPr>
        <w:pStyle w:val="NeniNr"/>
        <w:rPr>
          <w:lang w:val="sq-AL"/>
        </w:rPr>
      </w:pPr>
      <w:r w:rsidRPr="0010266A">
        <w:rPr>
          <w:lang w:val="sq-AL"/>
        </w:rPr>
        <w:t>Neni 3</w:t>
      </w:r>
    </w:p>
    <w:p w:rsidR="001E20EB" w:rsidRPr="0010266A" w:rsidRDefault="001E20EB" w:rsidP="001E20EB">
      <w:pPr>
        <w:pStyle w:val="Paragrafi"/>
        <w:rPr>
          <w:spacing w:val="-4"/>
          <w:sz w:val="14"/>
          <w:lang w:val="sq-AL"/>
        </w:rPr>
      </w:pPr>
    </w:p>
    <w:p w:rsidR="001E20EB" w:rsidRPr="0010266A" w:rsidRDefault="001E20EB" w:rsidP="001E20EB">
      <w:pPr>
        <w:pStyle w:val="Paragrafi"/>
        <w:rPr>
          <w:spacing w:val="-4"/>
          <w:lang w:val="sq-AL"/>
        </w:rPr>
      </w:pPr>
      <w:r w:rsidRPr="0010266A">
        <w:rPr>
          <w:spacing w:val="-4"/>
          <w:lang w:val="sq-AL"/>
        </w:rPr>
        <w:t>Në nenin 257/a bëhen këto shtesa dhe ndryshime:</w:t>
      </w:r>
    </w:p>
    <w:p w:rsidR="001E20EB" w:rsidRPr="0010266A" w:rsidRDefault="001E20EB" w:rsidP="001E20EB">
      <w:pPr>
        <w:pStyle w:val="Paragrafi"/>
        <w:rPr>
          <w:spacing w:val="-4"/>
          <w:lang w:val="sq-AL"/>
        </w:rPr>
      </w:pPr>
      <w:r w:rsidRPr="0010266A">
        <w:rPr>
          <w:spacing w:val="-4"/>
          <w:lang w:val="sq-AL"/>
        </w:rPr>
        <w:t xml:space="preserve">1. Në titull, pas fjalës pasurive shtohet shenja e pikësimit </w:t>
      </w:r>
      <w:r>
        <w:rPr>
          <w:spacing w:val="-4"/>
          <w:lang w:val="sq-AL"/>
        </w:rPr>
        <w:t>“</w:t>
      </w:r>
      <w:r w:rsidRPr="0010266A">
        <w:rPr>
          <w:spacing w:val="-4"/>
          <w:lang w:val="sq-AL"/>
        </w:rPr>
        <w:t>,</w:t>
      </w:r>
      <w:r>
        <w:rPr>
          <w:spacing w:val="-4"/>
          <w:lang w:val="sq-AL"/>
        </w:rPr>
        <w:t>”</w:t>
      </w:r>
      <w:r w:rsidRPr="0010266A">
        <w:rPr>
          <w:spacing w:val="-4"/>
          <w:lang w:val="sq-AL"/>
        </w:rPr>
        <w:t xml:space="preserve"> (presje) dhe fjalët </w:t>
      </w:r>
      <w:r>
        <w:rPr>
          <w:spacing w:val="-4"/>
          <w:lang w:val="sq-AL"/>
        </w:rPr>
        <w:t>“</w:t>
      </w:r>
      <w:r w:rsidRPr="0010266A">
        <w:rPr>
          <w:spacing w:val="-4"/>
          <w:lang w:val="sq-AL"/>
        </w:rPr>
        <w:t>interesave privatë</w:t>
      </w:r>
      <w:r>
        <w:rPr>
          <w:spacing w:val="-4"/>
          <w:lang w:val="sq-AL"/>
        </w:rPr>
        <w:t>”</w:t>
      </w:r>
      <w:r w:rsidRPr="0010266A">
        <w:rPr>
          <w:spacing w:val="-4"/>
          <w:lang w:val="sq-AL"/>
        </w:rPr>
        <w:t>.</w:t>
      </w:r>
    </w:p>
    <w:p w:rsidR="001E20EB" w:rsidRPr="0010266A" w:rsidRDefault="001E20EB" w:rsidP="001E20EB">
      <w:pPr>
        <w:pStyle w:val="Paragrafi"/>
        <w:rPr>
          <w:spacing w:val="-4"/>
          <w:lang w:val="sq-AL"/>
        </w:rPr>
      </w:pPr>
      <w:r w:rsidRPr="0010266A">
        <w:rPr>
          <w:spacing w:val="-4"/>
          <w:lang w:val="sq-AL"/>
        </w:rPr>
        <w:t>2. Paragrafi i parë ndryshohet si më poshtë:</w:t>
      </w:r>
    </w:p>
    <w:p w:rsidR="001E20EB" w:rsidRPr="0010266A" w:rsidRDefault="001E20EB" w:rsidP="001E20EB">
      <w:pPr>
        <w:pStyle w:val="Paragrafi"/>
        <w:rPr>
          <w:spacing w:val="-4"/>
          <w:lang w:val="sq-AL"/>
        </w:rPr>
      </w:pPr>
      <w:r>
        <w:rPr>
          <w:spacing w:val="-4"/>
          <w:lang w:val="sq-AL"/>
        </w:rPr>
        <w:t>“</w:t>
      </w:r>
      <w:r w:rsidRPr="0010266A">
        <w:rPr>
          <w:spacing w:val="-4"/>
          <w:lang w:val="sq-AL"/>
        </w:rPr>
        <w:t>Refuzimi për deklarimin ose mosdeklarimi i pasurisë, interesave privatë të personave të zgjedhur ose nëpunësve publikë ose i çdo personi tjetër që ka detyrimin ligjor për deklarim sipas ligjit, kur më parë janë marrë masa administrative, përbën kundërvajtje penale dhe dënohet me gjobë ose me burgim deri në 6 muaj.</w:t>
      </w:r>
      <w:r>
        <w:rPr>
          <w:spacing w:val="-4"/>
          <w:lang w:val="sq-AL"/>
        </w:rPr>
        <w:t>”</w:t>
      </w:r>
      <w:r w:rsidRPr="0010266A">
        <w:rPr>
          <w:spacing w:val="-4"/>
          <w:lang w:val="sq-AL"/>
        </w:rPr>
        <w:t>.</w:t>
      </w:r>
    </w:p>
    <w:p w:rsidR="001E20EB" w:rsidRPr="0010266A" w:rsidRDefault="001E20EB" w:rsidP="001E20EB">
      <w:pPr>
        <w:pStyle w:val="Paragrafi"/>
        <w:rPr>
          <w:spacing w:val="-4"/>
          <w:lang w:val="sq-AL"/>
        </w:rPr>
      </w:pPr>
      <w:r w:rsidRPr="0010266A">
        <w:rPr>
          <w:spacing w:val="-4"/>
          <w:lang w:val="sq-AL"/>
        </w:rPr>
        <w:t xml:space="preserve">3. Në paragrafin e dytë, pas fjalës </w:t>
      </w:r>
      <w:r>
        <w:rPr>
          <w:spacing w:val="-4"/>
          <w:lang w:val="sq-AL"/>
        </w:rPr>
        <w:t>“</w:t>
      </w:r>
      <w:r w:rsidRPr="0010266A">
        <w:rPr>
          <w:spacing w:val="-4"/>
          <w:lang w:val="sq-AL"/>
        </w:rPr>
        <w:t>pasurive</w:t>
      </w:r>
      <w:r>
        <w:rPr>
          <w:spacing w:val="-4"/>
          <w:lang w:val="sq-AL"/>
        </w:rPr>
        <w:t>”</w:t>
      </w:r>
      <w:r w:rsidRPr="0010266A">
        <w:rPr>
          <w:spacing w:val="-4"/>
          <w:lang w:val="sq-AL"/>
        </w:rPr>
        <w:t xml:space="preserve"> shtohet shenja e pikësimit </w:t>
      </w:r>
      <w:r>
        <w:rPr>
          <w:spacing w:val="-4"/>
          <w:lang w:val="sq-AL"/>
        </w:rPr>
        <w:t>“</w:t>
      </w:r>
      <w:r w:rsidRPr="0010266A">
        <w:rPr>
          <w:spacing w:val="-4"/>
          <w:lang w:val="sq-AL"/>
        </w:rPr>
        <w:t>,</w:t>
      </w:r>
      <w:r>
        <w:rPr>
          <w:spacing w:val="-4"/>
          <w:lang w:val="sq-AL"/>
        </w:rPr>
        <w:t>”</w:t>
      </w:r>
      <w:r w:rsidRPr="0010266A">
        <w:rPr>
          <w:spacing w:val="-4"/>
          <w:lang w:val="sq-AL"/>
        </w:rPr>
        <w:t xml:space="preserve"> (presje) dhe fjalët </w:t>
      </w:r>
      <w:r>
        <w:rPr>
          <w:spacing w:val="-4"/>
          <w:lang w:val="sq-AL"/>
        </w:rPr>
        <w:t>“</w:t>
      </w:r>
      <w:r w:rsidRPr="0010266A">
        <w:rPr>
          <w:spacing w:val="-4"/>
          <w:lang w:val="sq-AL"/>
        </w:rPr>
        <w:t>interesave privatë</w:t>
      </w:r>
      <w:r>
        <w:rPr>
          <w:spacing w:val="-4"/>
          <w:lang w:val="sq-AL"/>
        </w:rPr>
        <w:t>”</w:t>
      </w:r>
      <w:r w:rsidRPr="0010266A">
        <w:rPr>
          <w:spacing w:val="-4"/>
          <w:lang w:val="sq-AL"/>
        </w:rPr>
        <w:t>.</w:t>
      </w:r>
    </w:p>
    <w:p w:rsidR="001E20EB" w:rsidRPr="0010266A" w:rsidRDefault="001E20EB" w:rsidP="001E20EB">
      <w:pPr>
        <w:pStyle w:val="NeniNr"/>
        <w:rPr>
          <w:lang w:val="sq-AL"/>
        </w:rPr>
      </w:pPr>
      <w:r w:rsidRPr="0010266A">
        <w:rPr>
          <w:lang w:val="sq-AL"/>
        </w:rPr>
        <w:lastRenderedPageBreak/>
        <w:t>Neni 4</w:t>
      </w:r>
    </w:p>
    <w:p w:rsidR="001E20EB" w:rsidRPr="0010266A" w:rsidRDefault="001E20EB" w:rsidP="001E20EB">
      <w:pPr>
        <w:pStyle w:val="Paragrafi"/>
        <w:rPr>
          <w:spacing w:val="-4"/>
          <w:sz w:val="14"/>
          <w:lang w:val="sq-AL"/>
        </w:rPr>
      </w:pPr>
    </w:p>
    <w:p w:rsidR="001E20EB" w:rsidRPr="0010266A" w:rsidRDefault="001E20EB" w:rsidP="001E20EB">
      <w:pPr>
        <w:pStyle w:val="Paragrafi"/>
        <w:rPr>
          <w:spacing w:val="-4"/>
          <w:lang w:val="sq-AL"/>
        </w:rPr>
      </w:pPr>
      <w:r w:rsidRPr="0010266A">
        <w:rPr>
          <w:spacing w:val="-4"/>
          <w:lang w:val="sq-AL"/>
        </w:rPr>
        <w:t>Pas nenit 265 shtohen nenet 265/a, 265/b dhe 265/c me këtë përmbajtje:</w:t>
      </w:r>
    </w:p>
    <w:p w:rsidR="001E20EB" w:rsidRPr="0010266A" w:rsidRDefault="001E20EB" w:rsidP="001E20EB">
      <w:pPr>
        <w:pStyle w:val="NeniNr"/>
        <w:rPr>
          <w:lang w:val="sq-AL"/>
        </w:rPr>
      </w:pPr>
      <w:r>
        <w:rPr>
          <w:lang w:val="sq-AL"/>
        </w:rPr>
        <w:t>“</w:t>
      </w:r>
      <w:r w:rsidRPr="0010266A">
        <w:rPr>
          <w:lang w:val="sq-AL"/>
        </w:rPr>
        <w:t>Neni 265/a</w:t>
      </w:r>
    </w:p>
    <w:p w:rsidR="001E20EB" w:rsidRPr="0010266A" w:rsidRDefault="001E20EB" w:rsidP="001E20EB">
      <w:pPr>
        <w:pStyle w:val="NeniTitull"/>
        <w:rPr>
          <w:lang w:val="sq-AL"/>
        </w:rPr>
      </w:pPr>
      <w:r w:rsidRPr="0010266A">
        <w:rPr>
          <w:lang w:val="sq-AL"/>
        </w:rPr>
        <w:t>Pjesëmarrja në veprime luftarake në një shtet të huaj</w:t>
      </w:r>
    </w:p>
    <w:p w:rsidR="001E20EB" w:rsidRPr="0010266A" w:rsidRDefault="001E20EB" w:rsidP="001E20EB">
      <w:pPr>
        <w:pStyle w:val="Paragrafi"/>
        <w:rPr>
          <w:spacing w:val="-4"/>
          <w:sz w:val="14"/>
          <w:lang w:val="sq-AL"/>
        </w:rPr>
      </w:pPr>
    </w:p>
    <w:p w:rsidR="001E20EB" w:rsidRPr="0010266A" w:rsidRDefault="001E20EB" w:rsidP="001E20EB">
      <w:pPr>
        <w:pStyle w:val="Paragrafi"/>
        <w:rPr>
          <w:spacing w:val="-4"/>
          <w:lang w:val="sq-AL"/>
        </w:rPr>
      </w:pPr>
      <w:r w:rsidRPr="0010266A">
        <w:rPr>
          <w:spacing w:val="-4"/>
          <w:lang w:val="sq-AL"/>
        </w:rPr>
        <w:t>Pjesëmarrja në formacione luftarake, organizata ushtarake ose paraushtarake në një konflikt të armatosur që zhvillohet në territorin e një shteti të huaj ose pjesëmarrja në çdo lloj trajnimi të zhvilluar nga këto struktura, pa qenë shtetas në shtetin e huaj, pa qenë pjesëtar i forcave të armatosura të njërës prej palëve në konflikt ose misioneve ushtarake zyrtare të forcave të armatosura të një shteti që nuk është palë në konflikt ose misioneve ushtarake zyrtare të një organizate ndërkombëtare, dënohet me burgim nga tre deri në tetë vjet.</w:t>
      </w:r>
    </w:p>
    <w:p w:rsidR="001E20EB" w:rsidRPr="0010266A" w:rsidRDefault="001E20EB" w:rsidP="001E20EB">
      <w:pPr>
        <w:pStyle w:val="Paragrafi"/>
        <w:rPr>
          <w:spacing w:val="-4"/>
          <w:lang w:val="sq-AL"/>
        </w:rPr>
      </w:pPr>
      <w:r w:rsidRPr="0010266A">
        <w:rPr>
          <w:spacing w:val="-4"/>
          <w:lang w:val="sq-AL"/>
        </w:rPr>
        <w:t>Kur kjo vepër penale kryhet me qëllim përmbysjen e rendit kushtetues ose shkeljen e integritetit territorial të një shteti të huaj, dënohet me burgim nga pesë deri në dhjetë vjet.</w:t>
      </w:r>
    </w:p>
    <w:p w:rsidR="001E20EB" w:rsidRPr="0010266A" w:rsidRDefault="001E20EB" w:rsidP="001E20EB">
      <w:pPr>
        <w:pStyle w:val="NeniNr"/>
        <w:rPr>
          <w:lang w:val="sq-AL"/>
        </w:rPr>
      </w:pPr>
      <w:r w:rsidRPr="0010266A">
        <w:rPr>
          <w:lang w:val="sq-AL"/>
        </w:rPr>
        <w:t>Neni 265/b</w:t>
      </w:r>
    </w:p>
    <w:p w:rsidR="001E20EB" w:rsidRPr="0010266A" w:rsidRDefault="001E20EB" w:rsidP="001E20EB">
      <w:pPr>
        <w:pStyle w:val="NeniTitull"/>
        <w:rPr>
          <w:lang w:val="sq-AL"/>
        </w:rPr>
      </w:pPr>
      <w:r w:rsidRPr="0010266A">
        <w:rPr>
          <w:lang w:val="sq-AL"/>
        </w:rPr>
        <w:t>Organizimi për pjesëmarrje në veprime luftarake në një shtet të huaj</w:t>
      </w:r>
    </w:p>
    <w:p w:rsidR="001E20EB" w:rsidRPr="0010266A" w:rsidRDefault="001E20EB" w:rsidP="001E20EB">
      <w:pPr>
        <w:pStyle w:val="Paragrafi"/>
        <w:rPr>
          <w:spacing w:val="-4"/>
          <w:sz w:val="14"/>
          <w:lang w:val="sq-AL"/>
        </w:rPr>
      </w:pPr>
    </w:p>
    <w:p w:rsidR="001E20EB" w:rsidRPr="0010266A" w:rsidRDefault="001E20EB" w:rsidP="001E20EB">
      <w:pPr>
        <w:pStyle w:val="Paragrafi"/>
        <w:rPr>
          <w:spacing w:val="-4"/>
          <w:lang w:val="sq-AL"/>
        </w:rPr>
      </w:pPr>
      <w:r w:rsidRPr="0010266A">
        <w:rPr>
          <w:spacing w:val="-4"/>
          <w:lang w:val="sq-AL"/>
        </w:rPr>
        <w:t xml:space="preserve">Nxitja, rekrutimi, organizimi, drejtimi, stërvitja, vënia në dispozicion e pajisjeve, krijimi ose përdorimi i fondeve ose mjeteve të tjera për financimin, mbështetjen materiale të personave, në çdo lloj forme dhe mënyre, për të kryer veprën penale të parashikuar nga neni 265/a dënohet me burgim nga tetë deri në pesëmbëdhjetë vjet. </w:t>
      </w:r>
    </w:p>
    <w:p w:rsidR="001E20EB" w:rsidRPr="00E46745" w:rsidRDefault="001E20EB" w:rsidP="001E20EB">
      <w:pPr>
        <w:pStyle w:val="Paragrafi"/>
        <w:rPr>
          <w:spacing w:val="-4"/>
          <w:sz w:val="10"/>
          <w:lang w:val="sq-AL"/>
        </w:rPr>
      </w:pPr>
    </w:p>
    <w:p w:rsidR="001E20EB" w:rsidRPr="0010266A" w:rsidRDefault="001E20EB" w:rsidP="001E20EB">
      <w:pPr>
        <w:pStyle w:val="NeniNr"/>
        <w:rPr>
          <w:lang w:val="sq-AL"/>
        </w:rPr>
      </w:pPr>
      <w:r w:rsidRPr="0010266A">
        <w:rPr>
          <w:lang w:val="sq-AL"/>
        </w:rPr>
        <w:t>Neni 265/c</w:t>
      </w:r>
    </w:p>
    <w:p w:rsidR="001E20EB" w:rsidRPr="0010266A" w:rsidRDefault="001E20EB" w:rsidP="001E20EB">
      <w:pPr>
        <w:pStyle w:val="NeniTitull"/>
        <w:rPr>
          <w:lang w:val="sq-AL"/>
        </w:rPr>
      </w:pPr>
      <w:r w:rsidRPr="0010266A">
        <w:rPr>
          <w:lang w:val="sq-AL"/>
        </w:rPr>
        <w:t>Thirrja për pjesëmarrje në veprime luftarake të dhunshme në një shtet të huaj</w:t>
      </w:r>
    </w:p>
    <w:p w:rsidR="001E20EB" w:rsidRPr="0010266A" w:rsidRDefault="001E20EB" w:rsidP="001E20EB">
      <w:pPr>
        <w:pStyle w:val="Paragrafi"/>
        <w:rPr>
          <w:spacing w:val="-4"/>
          <w:sz w:val="14"/>
          <w:lang w:val="sq-AL"/>
        </w:rPr>
      </w:pPr>
    </w:p>
    <w:p w:rsidR="001E20EB" w:rsidRPr="0010266A" w:rsidRDefault="001E20EB" w:rsidP="001E20EB">
      <w:pPr>
        <w:pStyle w:val="Paragrafi"/>
        <w:rPr>
          <w:spacing w:val="-4"/>
          <w:lang w:val="sq-AL"/>
        </w:rPr>
      </w:pPr>
      <w:r w:rsidRPr="0010266A">
        <w:rPr>
          <w:spacing w:val="-4"/>
          <w:lang w:val="sq-AL"/>
        </w:rPr>
        <w:t>Thirrja në mënyrë publike me çdo lloj forme, mjeti dhe mënyre për të kryer veprën penale të parashikuar nga neni 265/a ose 265/b, dënohet me burgim deri në tre vjet.</w:t>
      </w:r>
      <w:r>
        <w:rPr>
          <w:spacing w:val="-4"/>
          <w:lang w:val="sq-AL"/>
        </w:rPr>
        <w:t>”</w:t>
      </w:r>
      <w:r w:rsidRPr="0010266A">
        <w:rPr>
          <w:spacing w:val="-4"/>
          <w:lang w:val="sq-AL"/>
        </w:rPr>
        <w:t xml:space="preserve">. </w:t>
      </w:r>
    </w:p>
    <w:p w:rsidR="001E20EB" w:rsidRPr="00E46745" w:rsidRDefault="001E20EB" w:rsidP="001E20EB">
      <w:pPr>
        <w:pStyle w:val="Paragrafi"/>
        <w:rPr>
          <w:spacing w:val="-4"/>
          <w:sz w:val="8"/>
          <w:lang w:val="sq-AL"/>
        </w:rPr>
      </w:pPr>
    </w:p>
    <w:p w:rsidR="001E20EB" w:rsidRPr="0010266A" w:rsidRDefault="001E20EB" w:rsidP="001E20EB">
      <w:pPr>
        <w:pStyle w:val="NeniNr"/>
        <w:rPr>
          <w:lang w:val="sq-AL"/>
        </w:rPr>
      </w:pPr>
      <w:r w:rsidRPr="0010266A">
        <w:rPr>
          <w:lang w:val="sq-AL"/>
        </w:rPr>
        <w:t>Neni 5</w:t>
      </w:r>
    </w:p>
    <w:p w:rsidR="001E20EB" w:rsidRPr="00E46745" w:rsidRDefault="001E20EB" w:rsidP="001E20EB">
      <w:pPr>
        <w:pStyle w:val="Paragrafi"/>
        <w:rPr>
          <w:spacing w:val="-4"/>
          <w:sz w:val="8"/>
          <w:lang w:val="sq-AL"/>
        </w:rPr>
      </w:pPr>
    </w:p>
    <w:p w:rsidR="001E20EB" w:rsidRPr="0010266A" w:rsidRDefault="001E20EB" w:rsidP="001E20EB">
      <w:pPr>
        <w:pStyle w:val="Paragrafi"/>
        <w:rPr>
          <w:spacing w:val="-4"/>
          <w:lang w:val="sq-AL"/>
        </w:rPr>
      </w:pPr>
      <w:r w:rsidRPr="0010266A">
        <w:rPr>
          <w:spacing w:val="-4"/>
          <w:lang w:val="sq-AL"/>
        </w:rPr>
        <w:t xml:space="preserve">Në nenin 278 bëhen këto ndryshime: </w:t>
      </w:r>
    </w:p>
    <w:p w:rsidR="001E20EB" w:rsidRPr="0010266A" w:rsidRDefault="001E20EB" w:rsidP="001E20EB">
      <w:pPr>
        <w:pStyle w:val="Paragrafi"/>
        <w:rPr>
          <w:spacing w:val="-4"/>
          <w:lang w:val="sq-AL"/>
        </w:rPr>
      </w:pPr>
      <w:r w:rsidRPr="0010266A">
        <w:rPr>
          <w:spacing w:val="-4"/>
          <w:lang w:val="sq-AL"/>
        </w:rPr>
        <w:t>1. Paragrafi i tretë ndryshohet si më poshtë:</w:t>
      </w:r>
    </w:p>
    <w:p w:rsidR="001E20EB" w:rsidRPr="0010266A" w:rsidRDefault="001E20EB" w:rsidP="001E20EB">
      <w:pPr>
        <w:pStyle w:val="Paragrafi"/>
        <w:rPr>
          <w:spacing w:val="-4"/>
          <w:lang w:val="sq-AL"/>
        </w:rPr>
      </w:pPr>
      <w:r>
        <w:rPr>
          <w:spacing w:val="-4"/>
          <w:lang w:val="sq-AL"/>
        </w:rPr>
        <w:t>“</w:t>
      </w:r>
      <w:r w:rsidRPr="0010266A">
        <w:rPr>
          <w:spacing w:val="-4"/>
          <w:lang w:val="sq-AL"/>
        </w:rPr>
        <w:t>Mbajtja e armëve në banesë, pa lejen e organeve kompetente shtetërore, dënohet me burgim nga një deri në pesë vjet.</w:t>
      </w:r>
      <w:r>
        <w:rPr>
          <w:spacing w:val="-4"/>
          <w:lang w:val="sq-AL"/>
        </w:rPr>
        <w:t>”</w:t>
      </w:r>
      <w:r w:rsidRPr="0010266A">
        <w:rPr>
          <w:spacing w:val="-4"/>
          <w:lang w:val="sq-AL"/>
        </w:rPr>
        <w:t>.</w:t>
      </w:r>
    </w:p>
    <w:p w:rsidR="001E20EB" w:rsidRPr="0010266A" w:rsidRDefault="001E20EB" w:rsidP="001E20EB">
      <w:pPr>
        <w:pStyle w:val="Paragrafi"/>
        <w:rPr>
          <w:spacing w:val="-4"/>
          <w:lang w:val="sq-AL"/>
        </w:rPr>
      </w:pPr>
      <w:r w:rsidRPr="0010266A">
        <w:rPr>
          <w:spacing w:val="-4"/>
          <w:lang w:val="sq-AL"/>
        </w:rPr>
        <w:t>2. Pas paragrafit të tretë shtohet paragrafi i katërt me këtë përmbajte:</w:t>
      </w:r>
    </w:p>
    <w:p w:rsidR="001E20EB" w:rsidRPr="0010266A" w:rsidRDefault="001E20EB" w:rsidP="001E20EB">
      <w:pPr>
        <w:pStyle w:val="Paragrafi"/>
        <w:rPr>
          <w:lang w:val="sq-AL"/>
        </w:rPr>
      </w:pPr>
      <w:r>
        <w:rPr>
          <w:spacing w:val="-4"/>
          <w:lang w:val="sq-AL"/>
        </w:rPr>
        <w:t>“</w:t>
      </w:r>
      <w:r w:rsidRPr="0010266A">
        <w:rPr>
          <w:spacing w:val="-4"/>
          <w:lang w:val="sq-AL"/>
        </w:rPr>
        <w:t xml:space="preserve">Mbajtja e bombave, minave ose lëndëve plasëse në banesë, pa lejen e organeve kompetente shtetërore, </w:t>
      </w:r>
      <w:r w:rsidRPr="0010266A">
        <w:rPr>
          <w:lang w:val="sq-AL"/>
        </w:rPr>
        <w:t>dënohet me burgim nga pesë deri në tetë vjet.</w:t>
      </w:r>
      <w:r>
        <w:rPr>
          <w:lang w:val="sq-AL"/>
        </w:rPr>
        <w:t>”</w:t>
      </w:r>
      <w:r w:rsidRPr="0010266A">
        <w:rPr>
          <w:lang w:val="sq-AL"/>
        </w:rPr>
        <w:t>.</w:t>
      </w:r>
    </w:p>
    <w:p w:rsidR="001E20EB" w:rsidRPr="0010266A" w:rsidRDefault="001E20EB" w:rsidP="001E20EB">
      <w:pPr>
        <w:pStyle w:val="Paragrafi"/>
        <w:rPr>
          <w:lang w:val="sq-AL"/>
        </w:rPr>
      </w:pPr>
      <w:r w:rsidRPr="0010266A">
        <w:rPr>
          <w:lang w:val="sq-AL"/>
        </w:rPr>
        <w:t>3. Paragrafi i katërt ekzistues bëhet paragrafi i pestë.</w:t>
      </w:r>
    </w:p>
    <w:p w:rsidR="001E20EB" w:rsidRPr="0010266A" w:rsidRDefault="001E20EB" w:rsidP="001E20EB">
      <w:pPr>
        <w:pStyle w:val="Paragrafi"/>
        <w:rPr>
          <w:lang w:val="sq-AL"/>
        </w:rPr>
      </w:pPr>
      <w:r w:rsidRPr="0010266A">
        <w:rPr>
          <w:lang w:val="sq-AL"/>
        </w:rPr>
        <w:t xml:space="preserve">4. Paragrafi i pestë ekzistues bëhet paragrafi i gjashtë dhe në këtë paragraf fjalët </w:t>
      </w:r>
      <w:r>
        <w:rPr>
          <w:lang w:val="sq-AL"/>
        </w:rPr>
        <w:t>“</w:t>
      </w:r>
      <w:r w:rsidRPr="0010266A">
        <w:rPr>
          <w:lang w:val="sq-AL"/>
        </w:rPr>
        <w:t>dënohet me burgim nga dhjetë deri në njëzet vjet</w:t>
      </w:r>
      <w:r>
        <w:rPr>
          <w:lang w:val="sq-AL"/>
        </w:rPr>
        <w:t>”</w:t>
      </w:r>
      <w:r w:rsidRPr="0010266A">
        <w:rPr>
          <w:lang w:val="sq-AL"/>
        </w:rPr>
        <w:t xml:space="preserve"> zëvendësohen me fjalët </w:t>
      </w:r>
      <w:r>
        <w:rPr>
          <w:lang w:val="sq-AL"/>
        </w:rPr>
        <w:t>“</w:t>
      </w:r>
      <w:r w:rsidRPr="0010266A">
        <w:rPr>
          <w:lang w:val="sq-AL"/>
        </w:rPr>
        <w:t>dënohet me burgim nga pesëmbëdhjetë deri në njëzet vjet</w:t>
      </w:r>
      <w:r>
        <w:rPr>
          <w:lang w:val="sq-AL"/>
        </w:rPr>
        <w:t>”</w:t>
      </w:r>
      <w:r w:rsidRPr="0010266A">
        <w:rPr>
          <w:lang w:val="sq-AL"/>
        </w:rPr>
        <w:t>.</w:t>
      </w:r>
    </w:p>
    <w:p w:rsidR="001E20EB" w:rsidRPr="0010266A" w:rsidRDefault="001E20EB" w:rsidP="001E20EB">
      <w:pPr>
        <w:pStyle w:val="NeniNr"/>
        <w:rPr>
          <w:lang w:val="sq-AL"/>
        </w:rPr>
      </w:pPr>
      <w:r w:rsidRPr="0010266A">
        <w:rPr>
          <w:lang w:val="sq-AL"/>
        </w:rPr>
        <w:t>Neni 6</w:t>
      </w:r>
    </w:p>
    <w:p w:rsidR="001E20EB" w:rsidRPr="00E46745" w:rsidRDefault="001E20EB" w:rsidP="001E20EB">
      <w:pPr>
        <w:pStyle w:val="Paragrafi"/>
        <w:rPr>
          <w:sz w:val="8"/>
          <w:lang w:val="sq-AL"/>
        </w:rPr>
      </w:pPr>
    </w:p>
    <w:p w:rsidR="001E20EB" w:rsidRPr="0010266A" w:rsidRDefault="001E20EB" w:rsidP="001E20EB">
      <w:pPr>
        <w:pStyle w:val="Paragrafi"/>
        <w:rPr>
          <w:lang w:val="sq-AL"/>
        </w:rPr>
      </w:pPr>
      <w:r w:rsidRPr="0010266A">
        <w:rPr>
          <w:lang w:val="sq-AL"/>
        </w:rPr>
        <w:t xml:space="preserve">Në nenin 282 bëhen këto ndryshime: </w:t>
      </w:r>
    </w:p>
    <w:p w:rsidR="001E20EB" w:rsidRPr="0010266A" w:rsidRDefault="001E20EB" w:rsidP="001E20EB">
      <w:pPr>
        <w:pStyle w:val="Paragrafi"/>
        <w:rPr>
          <w:lang w:val="sq-AL"/>
        </w:rPr>
      </w:pPr>
      <w:r w:rsidRPr="0010266A">
        <w:rPr>
          <w:lang w:val="sq-AL"/>
        </w:rPr>
        <w:t xml:space="preserve">1. Në paragrafin e parë, fjalët </w:t>
      </w:r>
      <w:r>
        <w:rPr>
          <w:lang w:val="sq-AL"/>
        </w:rPr>
        <w:t>“</w:t>
      </w:r>
      <w:r w:rsidRPr="0010266A">
        <w:rPr>
          <w:lang w:val="sq-AL"/>
        </w:rPr>
        <w:t>përbën kundërvajtje penale dhe dënohet me gjobë ose me burgim gjer në dy vjet</w:t>
      </w:r>
      <w:r>
        <w:rPr>
          <w:lang w:val="sq-AL"/>
        </w:rPr>
        <w:t>”</w:t>
      </w:r>
      <w:r w:rsidRPr="0010266A">
        <w:rPr>
          <w:lang w:val="sq-AL"/>
        </w:rPr>
        <w:t xml:space="preserve"> zëvendësohen me fjalët </w:t>
      </w:r>
      <w:r>
        <w:rPr>
          <w:lang w:val="sq-AL"/>
        </w:rPr>
        <w:t>“</w:t>
      </w:r>
      <w:r w:rsidRPr="0010266A">
        <w:rPr>
          <w:lang w:val="sq-AL"/>
        </w:rPr>
        <w:t>dënohet me burgim nga një deri në pesë vjet</w:t>
      </w:r>
      <w:r>
        <w:rPr>
          <w:lang w:val="sq-AL"/>
        </w:rPr>
        <w:t>”</w:t>
      </w:r>
      <w:r w:rsidRPr="0010266A">
        <w:rPr>
          <w:lang w:val="sq-AL"/>
        </w:rPr>
        <w:t xml:space="preserve">.  </w:t>
      </w:r>
    </w:p>
    <w:p w:rsidR="001E20EB" w:rsidRPr="0010266A" w:rsidRDefault="001E20EB" w:rsidP="001E20EB">
      <w:pPr>
        <w:pStyle w:val="Paragrafi"/>
        <w:rPr>
          <w:lang w:val="sq-AL"/>
        </w:rPr>
      </w:pPr>
      <w:r w:rsidRPr="0010266A">
        <w:rPr>
          <w:lang w:val="sq-AL"/>
        </w:rPr>
        <w:tab/>
        <w:t xml:space="preserve">2. Në paragrafin e dytë, fjalët </w:t>
      </w:r>
      <w:r>
        <w:rPr>
          <w:lang w:val="sq-AL"/>
        </w:rPr>
        <w:t>“</w:t>
      </w:r>
      <w:r w:rsidRPr="0010266A">
        <w:rPr>
          <w:lang w:val="sq-AL"/>
        </w:rPr>
        <w:t>dënohet me gjobë ose me burgim gjer në dhjetë vjet</w:t>
      </w:r>
      <w:r>
        <w:rPr>
          <w:lang w:val="sq-AL"/>
        </w:rPr>
        <w:t>”</w:t>
      </w:r>
      <w:r w:rsidRPr="0010266A">
        <w:rPr>
          <w:lang w:val="sq-AL"/>
        </w:rPr>
        <w:t xml:space="preserve"> zëvendësohen me fjalët </w:t>
      </w:r>
      <w:r>
        <w:rPr>
          <w:lang w:val="sq-AL"/>
        </w:rPr>
        <w:t>“</w:t>
      </w:r>
      <w:r w:rsidRPr="0010266A">
        <w:rPr>
          <w:lang w:val="sq-AL"/>
        </w:rPr>
        <w:t>dënohet me burgim nga dy deri në dhjetë vjet</w:t>
      </w:r>
      <w:r>
        <w:rPr>
          <w:lang w:val="sq-AL"/>
        </w:rPr>
        <w:t>”</w:t>
      </w:r>
      <w:r w:rsidRPr="0010266A">
        <w:rPr>
          <w:lang w:val="sq-AL"/>
        </w:rPr>
        <w:t>.</w:t>
      </w:r>
    </w:p>
    <w:p w:rsidR="001E20EB" w:rsidRPr="0010266A" w:rsidRDefault="001E20EB" w:rsidP="001E20EB">
      <w:pPr>
        <w:pStyle w:val="Paragrafi"/>
        <w:rPr>
          <w:sz w:val="14"/>
          <w:lang w:val="sq-AL"/>
        </w:rPr>
      </w:pPr>
    </w:p>
    <w:p w:rsidR="001E20EB" w:rsidRPr="0010266A" w:rsidRDefault="001E20EB" w:rsidP="001E20EB">
      <w:pPr>
        <w:pStyle w:val="NeniNr"/>
        <w:rPr>
          <w:lang w:val="sq-AL"/>
        </w:rPr>
      </w:pPr>
      <w:r w:rsidRPr="0010266A">
        <w:rPr>
          <w:lang w:val="sq-AL"/>
        </w:rPr>
        <w:t>Neni 7</w:t>
      </w:r>
    </w:p>
    <w:p w:rsidR="001E20EB" w:rsidRPr="0010266A" w:rsidRDefault="001E20EB" w:rsidP="001E20EB">
      <w:pPr>
        <w:pStyle w:val="Paragrafi"/>
        <w:rPr>
          <w:sz w:val="14"/>
          <w:lang w:val="sq-AL"/>
        </w:rPr>
      </w:pPr>
    </w:p>
    <w:p w:rsidR="001E20EB" w:rsidRPr="0010266A" w:rsidRDefault="001E20EB" w:rsidP="001E20EB">
      <w:pPr>
        <w:pStyle w:val="Paragrafi"/>
        <w:rPr>
          <w:lang w:val="sq-AL"/>
        </w:rPr>
      </w:pPr>
      <w:r w:rsidRPr="0010266A">
        <w:rPr>
          <w:lang w:val="sq-AL"/>
        </w:rPr>
        <w:t>Neni 291 ndryshohet si më poshtë:</w:t>
      </w:r>
    </w:p>
    <w:p w:rsidR="001E20EB" w:rsidRPr="0010266A" w:rsidRDefault="001E20EB" w:rsidP="001E20EB">
      <w:pPr>
        <w:pStyle w:val="Paragrafi"/>
        <w:rPr>
          <w:sz w:val="14"/>
          <w:lang w:val="sq-AL"/>
        </w:rPr>
      </w:pPr>
    </w:p>
    <w:p w:rsidR="001E20EB" w:rsidRPr="0010266A" w:rsidRDefault="001E20EB" w:rsidP="001E20EB">
      <w:pPr>
        <w:pStyle w:val="NeniNr"/>
        <w:rPr>
          <w:lang w:val="sq-AL"/>
        </w:rPr>
      </w:pPr>
      <w:r>
        <w:rPr>
          <w:lang w:val="sq-AL"/>
        </w:rPr>
        <w:t>“</w:t>
      </w:r>
      <w:r w:rsidRPr="0010266A">
        <w:rPr>
          <w:lang w:val="sq-AL"/>
        </w:rPr>
        <w:t>Neni 291</w:t>
      </w:r>
    </w:p>
    <w:p w:rsidR="001E20EB" w:rsidRPr="0010266A" w:rsidRDefault="001E20EB" w:rsidP="001E20EB">
      <w:pPr>
        <w:pStyle w:val="NeniTitull"/>
        <w:rPr>
          <w:lang w:val="sq-AL"/>
        </w:rPr>
      </w:pPr>
      <w:r w:rsidRPr="0010266A">
        <w:rPr>
          <w:lang w:val="sq-AL"/>
        </w:rPr>
        <w:t>Drejtimi i automjeteve në mënyrë të parregullt</w:t>
      </w:r>
    </w:p>
    <w:p w:rsidR="001E20EB" w:rsidRPr="0010266A" w:rsidRDefault="001E20EB" w:rsidP="001E20EB">
      <w:pPr>
        <w:pStyle w:val="Paragrafi"/>
        <w:rPr>
          <w:sz w:val="14"/>
          <w:lang w:val="sq-AL"/>
        </w:rPr>
      </w:pPr>
    </w:p>
    <w:p w:rsidR="001E20EB" w:rsidRPr="0010266A" w:rsidRDefault="001E20EB" w:rsidP="001E20EB">
      <w:pPr>
        <w:pStyle w:val="Paragrafi"/>
        <w:rPr>
          <w:lang w:val="sq-AL"/>
        </w:rPr>
      </w:pPr>
      <w:r w:rsidRPr="0010266A">
        <w:rPr>
          <w:lang w:val="sq-AL"/>
        </w:rPr>
        <w:t>Drejtimi i automjeteve apo mjeteve të tjera të motorizuara në gjendje të dehur, nën efektin e lëndëve narkotike apo pa dëshminë përkatëse të aftësisë dënohet me burgim nga dhjetë ditë deri në tre vjet.</w:t>
      </w:r>
    </w:p>
    <w:p w:rsidR="001E20EB" w:rsidRPr="0012096C" w:rsidRDefault="001E20EB" w:rsidP="001E20EB">
      <w:pPr>
        <w:pStyle w:val="Paragrafi"/>
        <w:rPr>
          <w:spacing w:val="-4"/>
          <w:lang w:val="sq-AL"/>
        </w:rPr>
      </w:pPr>
      <w:r w:rsidRPr="0012096C">
        <w:rPr>
          <w:spacing w:val="-4"/>
          <w:lang w:val="sq-AL"/>
        </w:rPr>
        <w:lastRenderedPageBreak/>
        <w:t>Gjykata mund të vendosë zëvendësimin e dënimit me burgim me pagimin e një shume të hollash në favor të shtetit.”.</w:t>
      </w:r>
    </w:p>
    <w:p w:rsidR="001E20EB" w:rsidRPr="0010266A" w:rsidRDefault="001E20EB" w:rsidP="001E20EB">
      <w:pPr>
        <w:pStyle w:val="NeniNr"/>
        <w:rPr>
          <w:lang w:val="sq-AL"/>
        </w:rPr>
      </w:pPr>
      <w:r w:rsidRPr="0010266A">
        <w:rPr>
          <w:lang w:val="sq-AL"/>
        </w:rPr>
        <w:t>Neni 8</w:t>
      </w:r>
    </w:p>
    <w:p w:rsidR="001E20EB" w:rsidRPr="0010266A" w:rsidRDefault="001E20EB" w:rsidP="001E20EB">
      <w:pPr>
        <w:pStyle w:val="Paragrafi"/>
        <w:rPr>
          <w:sz w:val="14"/>
          <w:lang w:val="sq-AL"/>
        </w:rPr>
      </w:pPr>
    </w:p>
    <w:p w:rsidR="001E20EB" w:rsidRPr="0010266A" w:rsidRDefault="001E20EB" w:rsidP="001E20EB">
      <w:pPr>
        <w:pStyle w:val="Paragrafi"/>
        <w:rPr>
          <w:lang w:val="sq-AL"/>
        </w:rPr>
      </w:pPr>
      <w:r w:rsidRPr="0010266A">
        <w:rPr>
          <w:lang w:val="sq-AL"/>
        </w:rPr>
        <w:t xml:space="preserve">Pas nenit 293/ç shtohet neni 293/d me këtë përmbajtje: </w:t>
      </w:r>
    </w:p>
    <w:p w:rsidR="001E20EB" w:rsidRPr="0010266A" w:rsidRDefault="001E20EB" w:rsidP="001E20EB">
      <w:pPr>
        <w:pStyle w:val="NeniNr"/>
        <w:rPr>
          <w:lang w:val="sq-AL"/>
        </w:rPr>
      </w:pPr>
      <w:r>
        <w:rPr>
          <w:lang w:val="sq-AL"/>
        </w:rPr>
        <w:t>“</w:t>
      </w:r>
      <w:r w:rsidRPr="0010266A">
        <w:rPr>
          <w:lang w:val="sq-AL"/>
        </w:rPr>
        <w:t>Neni 293/d</w:t>
      </w:r>
    </w:p>
    <w:p w:rsidR="001E20EB" w:rsidRPr="0010266A" w:rsidRDefault="001E20EB" w:rsidP="001E20EB">
      <w:pPr>
        <w:pStyle w:val="NeniTitull"/>
        <w:rPr>
          <w:lang w:val="sq-AL"/>
        </w:rPr>
      </w:pPr>
      <w:r w:rsidRPr="0010266A">
        <w:rPr>
          <w:lang w:val="sq-AL"/>
        </w:rPr>
        <w:t>Shitja e paautorizuar e kartave SIM</w:t>
      </w:r>
    </w:p>
    <w:p w:rsidR="001E20EB" w:rsidRPr="0010266A" w:rsidRDefault="001E20EB" w:rsidP="001E20EB">
      <w:pPr>
        <w:pStyle w:val="Paragrafi"/>
        <w:rPr>
          <w:sz w:val="14"/>
          <w:lang w:val="sq-AL"/>
        </w:rPr>
      </w:pPr>
    </w:p>
    <w:p w:rsidR="001E20EB" w:rsidRPr="0010266A" w:rsidRDefault="001E20EB" w:rsidP="001E20EB">
      <w:pPr>
        <w:pStyle w:val="Paragrafi"/>
        <w:rPr>
          <w:lang w:val="sq-AL"/>
        </w:rPr>
      </w:pPr>
      <w:r w:rsidRPr="0010266A">
        <w:rPr>
          <w:lang w:val="sq-AL"/>
        </w:rPr>
        <w:t xml:space="preserve">Shkelja e rregullave të caktuara për shpërndarjen, shitjen dhe pajisjen me produkte/karta SIM përbën kundërvajtje penale dhe dënohet me burgim nga tridhjetë ditë deri në gjashtë muaj. </w:t>
      </w:r>
    </w:p>
    <w:p w:rsidR="001E20EB" w:rsidRPr="0010266A" w:rsidRDefault="001E20EB" w:rsidP="001E20EB">
      <w:pPr>
        <w:pStyle w:val="Paragrafi"/>
        <w:rPr>
          <w:sz w:val="14"/>
          <w:lang w:val="sq-AL"/>
        </w:rPr>
      </w:pPr>
    </w:p>
    <w:p w:rsidR="001E20EB" w:rsidRPr="0010266A" w:rsidRDefault="001E20EB" w:rsidP="001E20EB">
      <w:pPr>
        <w:pStyle w:val="NeniNr"/>
        <w:rPr>
          <w:lang w:val="sq-AL"/>
        </w:rPr>
      </w:pPr>
      <w:r w:rsidRPr="0010266A">
        <w:rPr>
          <w:lang w:val="sq-AL"/>
        </w:rPr>
        <w:t>Neni 9</w:t>
      </w:r>
    </w:p>
    <w:p w:rsidR="001E20EB" w:rsidRPr="0010266A" w:rsidRDefault="001E20EB" w:rsidP="001E20EB">
      <w:pPr>
        <w:pStyle w:val="NeniTitull"/>
        <w:rPr>
          <w:lang w:val="sq-AL"/>
        </w:rPr>
      </w:pPr>
      <w:r w:rsidRPr="0010266A">
        <w:rPr>
          <w:lang w:val="sq-AL"/>
        </w:rPr>
        <w:t>Hyrja në fuqi</w:t>
      </w:r>
    </w:p>
    <w:p w:rsidR="001E20EB" w:rsidRPr="0010266A" w:rsidRDefault="001E20EB" w:rsidP="001E20EB">
      <w:pPr>
        <w:pStyle w:val="Paragrafi"/>
        <w:rPr>
          <w:sz w:val="14"/>
          <w:lang w:val="sq-AL"/>
        </w:rPr>
      </w:pPr>
    </w:p>
    <w:p w:rsidR="001E20EB" w:rsidRPr="0010266A" w:rsidRDefault="001E20EB" w:rsidP="001E20EB">
      <w:pPr>
        <w:pStyle w:val="Paragrafi"/>
        <w:rPr>
          <w:lang w:val="sq-AL"/>
        </w:rPr>
      </w:pPr>
      <w:r w:rsidRPr="0010266A">
        <w:rPr>
          <w:lang w:val="sq-AL"/>
        </w:rPr>
        <w:t xml:space="preserve">Ky ligj hyn në fuqi 15 ditë pas botimit në Fletoren Zyrtare. </w:t>
      </w:r>
    </w:p>
    <w:p w:rsidR="001E20EB" w:rsidRPr="0012096C" w:rsidRDefault="001E20EB" w:rsidP="001E20EB">
      <w:pPr>
        <w:pStyle w:val="Paragrafi"/>
        <w:rPr>
          <w:sz w:val="12"/>
          <w:lang w:val="sq-AL"/>
        </w:rPr>
      </w:pPr>
      <w:r w:rsidRPr="0010266A">
        <w:rPr>
          <w:sz w:val="14"/>
          <w:lang w:val="sq-AL"/>
        </w:rPr>
        <w:t xml:space="preserve"> </w:t>
      </w:r>
    </w:p>
    <w:p w:rsidR="001E20EB" w:rsidRPr="0010266A" w:rsidRDefault="001E20EB" w:rsidP="001E20EB">
      <w:pPr>
        <w:pStyle w:val="Paragrafi"/>
        <w:rPr>
          <w:lang w:val="sq-AL"/>
        </w:rPr>
      </w:pPr>
      <w:r w:rsidRPr="0010266A">
        <w:rPr>
          <w:lang w:val="sq-AL"/>
        </w:rPr>
        <w:t>Miratuar në datën 31.7.2014</w:t>
      </w:r>
    </w:p>
    <w:p w:rsidR="001E20EB" w:rsidRPr="0012096C" w:rsidRDefault="001E20EB" w:rsidP="001E20EB">
      <w:pPr>
        <w:pStyle w:val="Paragrafi"/>
        <w:rPr>
          <w:sz w:val="12"/>
          <w:lang w:val="sq-AL"/>
        </w:rPr>
      </w:pPr>
    </w:p>
    <w:p w:rsidR="001E20EB" w:rsidRPr="0010266A" w:rsidRDefault="001E20EB" w:rsidP="001E20EB">
      <w:pPr>
        <w:widowControl w:val="0"/>
        <w:spacing w:after="0" w:line="240" w:lineRule="auto"/>
        <w:rPr>
          <w:rFonts w:ascii="CG Times" w:hAnsi="CG Times"/>
          <w:b/>
          <w:spacing w:val="-4"/>
          <w:sz w:val="21"/>
          <w:szCs w:val="21"/>
          <w:lang w:val="sq-AL"/>
        </w:rPr>
      </w:pPr>
      <w:r w:rsidRPr="0010266A">
        <w:rPr>
          <w:rFonts w:ascii="CG Times" w:hAnsi="CG Times"/>
          <w:b/>
          <w:spacing w:val="-4"/>
          <w:sz w:val="21"/>
          <w:szCs w:val="21"/>
          <w:lang w:val="sq-AL"/>
        </w:rPr>
        <w:t>Shpallur me dekretin nr. 8676, datë 15.8.2014 të Presidentit të Republikës së Shqipërisë, Bujar Nishani</w:t>
      </w:r>
    </w:p>
    <w:p w:rsidR="001E20EB" w:rsidRPr="0010266A" w:rsidRDefault="001E20EB" w:rsidP="001E20EB">
      <w:pPr>
        <w:pStyle w:val="Paragrafi"/>
        <w:rPr>
          <w:lang w:val="sq-AL"/>
        </w:rPr>
      </w:pPr>
    </w:p>
    <w:p w:rsidR="00000000" w:rsidRDefault="001E20EB"/>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1E20EB"/>
    <w:rsid w:val="001E20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E20EB"/>
    <w:pPr>
      <w:keepNext/>
      <w:widowControl w:val="0"/>
      <w:spacing w:after="0" w:line="240" w:lineRule="auto"/>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1E20EB"/>
    <w:pPr>
      <w:keepNext/>
      <w:widowControl w:val="0"/>
      <w:spacing w:after="0" w:line="240" w:lineRule="auto"/>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1E20EB"/>
    <w:rPr>
      <w:rFonts w:ascii="CG Times" w:eastAsia="MS Mincho" w:hAnsi="CG Times" w:cs="CG Times"/>
      <w:b/>
      <w:bCs/>
      <w:sz w:val="21"/>
      <w:lang w:val="en-GB"/>
    </w:rPr>
  </w:style>
  <w:style w:type="paragraph" w:customStyle="1" w:styleId="Paragrafi">
    <w:name w:val="Paragrafi"/>
    <w:link w:val="ParagrafiChar"/>
    <w:rsid w:val="001E20EB"/>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1E20EB"/>
    <w:rPr>
      <w:rFonts w:ascii="CG Times" w:eastAsia="MS Mincho" w:hAnsi="CG Times" w:cs="CG Times"/>
      <w:sz w:val="21"/>
    </w:rPr>
  </w:style>
  <w:style w:type="paragraph" w:customStyle="1" w:styleId="Titulli">
    <w:name w:val="Titulli"/>
    <w:next w:val="Normal"/>
    <w:link w:val="TitulliChar"/>
    <w:rsid w:val="001E20EB"/>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1E20EB"/>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1E20EB"/>
    <w:rPr>
      <w:rFonts w:ascii="CG Times" w:eastAsia="MS Mincho" w:hAnsi="CG Times" w:cs="CG Times"/>
      <w:caps/>
      <w:sz w:val="21"/>
      <w:lang w:val="en-GB"/>
    </w:rPr>
  </w:style>
  <w:style w:type="character" w:customStyle="1" w:styleId="TitulliChar">
    <w:name w:val="Titulli Char"/>
    <w:basedOn w:val="DefaultParagraphFont"/>
    <w:link w:val="Titulli"/>
    <w:rsid w:val="001E20EB"/>
    <w:rPr>
      <w:rFonts w:ascii="CG Times" w:eastAsia="MS Mincho" w:hAnsi="CG Times" w:cs="CG Times"/>
      <w:b/>
      <w:bCs/>
      <w:caps/>
      <w:sz w:val="21"/>
      <w:lang w:val="en-GB"/>
    </w:rPr>
  </w:style>
  <w:style w:type="character" w:customStyle="1" w:styleId="AktiChar">
    <w:name w:val="Akti Char"/>
    <w:basedOn w:val="DefaultParagraphFont"/>
    <w:link w:val="Akti"/>
    <w:rsid w:val="001E20EB"/>
    <w:rPr>
      <w:rFonts w:ascii="CG Times" w:eastAsia="MS Mincho" w:hAnsi="CG Times" w:cs="CG Times"/>
      <w:b/>
      <w:bCs/>
      <w:caps/>
      <w:color w:val="000000"/>
      <w:sz w:val="21"/>
      <w:lang w:val="en-GB"/>
    </w:rPr>
  </w:style>
  <w:style w:type="paragraph" w:customStyle="1" w:styleId="NeniNr">
    <w:name w:val="Neni_Nr"/>
    <w:next w:val="Normal"/>
    <w:link w:val="NeniNrChar"/>
    <w:rsid w:val="001E20EB"/>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1E20EB"/>
    <w:pPr>
      <w:keepNext/>
      <w:widowControl w:val="0"/>
      <w:spacing w:after="0" w:line="240" w:lineRule="auto"/>
      <w:jc w:val="center"/>
      <w:outlineLvl w:val="2"/>
    </w:pPr>
    <w:rPr>
      <w:rFonts w:ascii="CG Times" w:eastAsia="MS Mincho" w:hAnsi="CG Times" w:cs="CG Times"/>
      <w:b/>
      <w:bCs/>
      <w:sz w:val="21"/>
      <w:lang w:val="en-GB"/>
    </w:rPr>
  </w:style>
  <w:style w:type="character" w:customStyle="1" w:styleId="NeniNrChar">
    <w:name w:val="Neni_Nr Char"/>
    <w:basedOn w:val="DefaultParagraphFont"/>
    <w:link w:val="NeniNr"/>
    <w:rsid w:val="001E20EB"/>
    <w:rPr>
      <w:rFonts w:ascii="CG Times" w:eastAsia="MS Mincho" w:hAnsi="CG Times" w:cs="CG Time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913</Words>
  <Characters>5210</Characters>
  <Application>Microsoft Office Word</Application>
  <DocSecurity>0</DocSecurity>
  <Lines>43</Lines>
  <Paragraphs>12</Paragraphs>
  <ScaleCrop>false</ScaleCrop>
  <Company>Grizli777</Company>
  <LinksUpToDate>false</LinksUpToDate>
  <CharactersWithSpaces>6111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2014-10-02T13:23:00Z</dcterms:created>
  <dcterms:modified xsi:type="dcterms:W3CDTF">2014-10-02T13:24:00Z</dcterms:modified>
</cp:coreProperties>
</file>