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E6F" w:rsidRPr="00BA624C" w:rsidRDefault="00E96E6F" w:rsidP="00E96E6F">
      <w:pPr>
        <w:pStyle w:val="Paragrafi"/>
        <w:jc w:val="center"/>
        <w:rPr>
          <w:b/>
          <w:lang w:val="sq-AL"/>
        </w:rPr>
      </w:pPr>
      <w:r w:rsidRPr="00BA624C">
        <w:rPr>
          <w:b/>
          <w:lang w:val="sq-AL"/>
        </w:rPr>
        <w:t>LIGJ</w:t>
      </w:r>
    </w:p>
    <w:p w:rsidR="00E96E6F" w:rsidRPr="00BA624C" w:rsidRDefault="00E96E6F" w:rsidP="00E96E6F">
      <w:pPr>
        <w:pStyle w:val="Paragrafi"/>
        <w:jc w:val="center"/>
        <w:rPr>
          <w:b/>
          <w:lang w:val="sq-AL"/>
        </w:rPr>
      </w:pPr>
      <w:r w:rsidRPr="00BA624C">
        <w:rPr>
          <w:b/>
          <w:lang w:val="sq-AL"/>
        </w:rPr>
        <w:t>Nr. 8/2015</w:t>
      </w:r>
    </w:p>
    <w:p w:rsidR="00E96E6F" w:rsidRPr="00BA624C" w:rsidRDefault="00E96E6F" w:rsidP="00E96E6F">
      <w:pPr>
        <w:pStyle w:val="Paragrafi"/>
        <w:jc w:val="center"/>
        <w:rPr>
          <w:b/>
          <w:sz w:val="12"/>
          <w:lang w:val="sq-AL"/>
        </w:rPr>
      </w:pPr>
    </w:p>
    <w:p w:rsidR="00E96E6F" w:rsidRPr="00BA624C" w:rsidRDefault="00E96E6F" w:rsidP="00E96E6F">
      <w:pPr>
        <w:widowControl w:val="0"/>
        <w:spacing w:after="0" w:line="240" w:lineRule="auto"/>
        <w:jc w:val="center"/>
        <w:rPr>
          <w:b/>
          <w:lang w:val="sq-AL"/>
        </w:rPr>
      </w:pPr>
      <w:r w:rsidRPr="00BA624C">
        <w:rPr>
          <w:rFonts w:ascii="Garamond" w:hAnsi="Garamond"/>
          <w:b/>
          <w:sz w:val="24"/>
          <w:szCs w:val="24"/>
          <w:lang w:val="sq-AL"/>
        </w:rPr>
        <w:t>PËR DISA NDRYSHIME DHE SHTESA NË LIGJIN NR.</w:t>
      </w:r>
      <w:r>
        <w:rPr>
          <w:rFonts w:ascii="Garamond" w:hAnsi="Garamond"/>
          <w:b/>
          <w:sz w:val="24"/>
          <w:szCs w:val="24"/>
          <w:lang w:val="sq-AL"/>
        </w:rPr>
        <w:t xml:space="preserve"> </w:t>
      </w:r>
      <w:r w:rsidRPr="00BA624C">
        <w:rPr>
          <w:rFonts w:ascii="Garamond" w:hAnsi="Garamond"/>
          <w:b/>
          <w:sz w:val="24"/>
          <w:szCs w:val="24"/>
          <w:lang w:val="sq-AL"/>
        </w:rPr>
        <w:t>9723, DATË 3.5.2007, “PËR QENDRËN KOMBËTARE TË REGJISTRIMIT”, TË NDRYSHUAR</w:t>
      </w:r>
      <w:r w:rsidRPr="00BA624C">
        <w:rPr>
          <w:rStyle w:val="FootnoteReference"/>
          <w:rFonts w:ascii="Garamond" w:hAnsi="Garamond"/>
          <w:b/>
          <w:sz w:val="24"/>
          <w:szCs w:val="24"/>
          <w:lang w:val="sq-AL"/>
        </w:rPr>
        <w:footnoteReference w:id="2"/>
      </w:r>
    </w:p>
    <w:p w:rsidR="00E96E6F" w:rsidRPr="00BA624C" w:rsidRDefault="00E96E6F" w:rsidP="00E96E6F">
      <w:pPr>
        <w:pStyle w:val="Paragrafi"/>
        <w:rPr>
          <w:sz w:val="12"/>
          <w:lang w:val="sq-AL"/>
        </w:rPr>
      </w:pPr>
    </w:p>
    <w:p w:rsidR="00E96E6F" w:rsidRPr="00BA624C" w:rsidRDefault="00E96E6F" w:rsidP="00E96E6F">
      <w:pPr>
        <w:pStyle w:val="Paragrafi"/>
        <w:rPr>
          <w:lang w:val="sq-AL"/>
        </w:rPr>
      </w:pPr>
      <w:r w:rsidRPr="00BA624C">
        <w:rPr>
          <w:lang w:val="sq-AL"/>
        </w:rPr>
        <w:tab/>
        <w:t>Në mbështetje të neneve 78 dhe 83, pika 1, të Kushtetutës, me propozimin e Këshillit të Ministrave,</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KUVENDI</w:t>
      </w:r>
    </w:p>
    <w:p w:rsidR="00E96E6F" w:rsidRPr="00BA624C" w:rsidRDefault="00E96E6F" w:rsidP="00E96E6F">
      <w:pPr>
        <w:pStyle w:val="Paragrafi"/>
        <w:jc w:val="center"/>
        <w:rPr>
          <w:lang w:val="sq-AL"/>
        </w:rPr>
      </w:pPr>
      <w:r w:rsidRPr="00BA624C">
        <w:rPr>
          <w:lang w:val="sq-AL"/>
        </w:rPr>
        <w:t>I REPUBLIKËS SË SHQIPËRISË</w:t>
      </w:r>
    </w:p>
    <w:p w:rsidR="00E96E6F" w:rsidRPr="00BA624C" w:rsidRDefault="00E96E6F" w:rsidP="00E96E6F">
      <w:pPr>
        <w:pStyle w:val="Paragrafi"/>
        <w:jc w:val="center"/>
        <w:rPr>
          <w:sz w:val="14"/>
          <w:lang w:val="sq-AL"/>
        </w:rPr>
      </w:pPr>
    </w:p>
    <w:p w:rsidR="00E96E6F" w:rsidRPr="00BA624C" w:rsidRDefault="00E96E6F" w:rsidP="00E96E6F">
      <w:pPr>
        <w:pStyle w:val="Paragrafi"/>
        <w:jc w:val="center"/>
        <w:rPr>
          <w:lang w:val="sq-AL"/>
        </w:rPr>
      </w:pPr>
      <w:r w:rsidRPr="00BA624C">
        <w:rPr>
          <w:lang w:val="sq-AL"/>
        </w:rPr>
        <w:t>VENDOSI:</w:t>
      </w:r>
    </w:p>
    <w:p w:rsidR="00E96E6F" w:rsidRPr="00BA624C" w:rsidRDefault="00E96E6F" w:rsidP="00E96E6F">
      <w:pPr>
        <w:pStyle w:val="Paragrafi"/>
        <w:jc w:val="center"/>
        <w:rPr>
          <w:sz w:val="14"/>
          <w:lang w:val="sq-AL"/>
        </w:rPr>
      </w:pPr>
    </w:p>
    <w:p w:rsidR="00E96E6F" w:rsidRPr="00BA624C" w:rsidRDefault="00E96E6F" w:rsidP="00E96E6F">
      <w:pPr>
        <w:pStyle w:val="Paragrafi"/>
        <w:jc w:val="left"/>
        <w:rPr>
          <w:lang w:val="sq-AL"/>
        </w:rPr>
      </w:pPr>
      <w:r w:rsidRPr="00BA624C">
        <w:rPr>
          <w:lang w:val="sq-AL"/>
        </w:rPr>
        <w:t>Në ligjin nr.</w:t>
      </w:r>
      <w:r>
        <w:rPr>
          <w:lang w:val="sq-AL"/>
        </w:rPr>
        <w:t xml:space="preserve">9723, datë 3.5.2007,“Për </w:t>
      </w:r>
      <w:r w:rsidRPr="00BA624C">
        <w:rPr>
          <w:lang w:val="sq-AL"/>
        </w:rPr>
        <w:t>Qendrën Kombëtare të Regjistrimit”, të ndryshuar, bëhen këto ndryshime dhe shtesa:</w:t>
      </w:r>
    </w:p>
    <w:p w:rsidR="00E96E6F" w:rsidRPr="00BA624C" w:rsidRDefault="00E96E6F" w:rsidP="00E96E6F">
      <w:pPr>
        <w:pStyle w:val="Paragrafi"/>
        <w:jc w:val="center"/>
        <w:rPr>
          <w:lang w:val="sq-AL"/>
        </w:rPr>
      </w:pPr>
      <w:r w:rsidRPr="00BA624C">
        <w:rPr>
          <w:lang w:val="sq-AL"/>
        </w:rPr>
        <w:t>Neni 1</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Kudo në ligj termat e mëposhtëm ndryshohen si më poshtë:</w:t>
      </w:r>
    </w:p>
    <w:p w:rsidR="00E96E6F" w:rsidRPr="00BA624C" w:rsidRDefault="00E96E6F" w:rsidP="00E96E6F">
      <w:pPr>
        <w:pStyle w:val="Paragrafi"/>
        <w:rPr>
          <w:spacing w:val="-4"/>
          <w:lang w:val="sq-AL"/>
        </w:rPr>
      </w:pPr>
      <w:r w:rsidRPr="00BA624C">
        <w:rPr>
          <w:lang w:val="sq-AL"/>
        </w:rPr>
        <w:tab/>
      </w:r>
      <w:r w:rsidRPr="00BA624C">
        <w:rPr>
          <w:spacing w:val="-4"/>
          <w:lang w:val="sq-AL"/>
        </w:rPr>
        <w:t>a) “Subjekti tregtar” zëvendësohet me fjalën “subjekti”.</w:t>
      </w:r>
    </w:p>
    <w:p w:rsidR="00E96E6F" w:rsidRPr="00BA624C" w:rsidRDefault="00E96E6F" w:rsidP="00E96E6F">
      <w:pPr>
        <w:pStyle w:val="Paragrafi"/>
        <w:rPr>
          <w:spacing w:val="-4"/>
          <w:lang w:val="sq-AL"/>
        </w:rPr>
      </w:pPr>
      <w:r w:rsidRPr="00BA624C">
        <w:rPr>
          <w:spacing w:val="-4"/>
          <w:lang w:val="sq-AL"/>
        </w:rPr>
        <w:tab/>
        <w:t>b) “Bashki e komuna” zëvendësohet me fjalët “njësi të qeverisjes vendore”.</w:t>
      </w:r>
    </w:p>
    <w:p w:rsidR="00E96E6F" w:rsidRPr="00BA624C" w:rsidRDefault="00E96E6F" w:rsidP="00E96E6F">
      <w:pPr>
        <w:pStyle w:val="Paragrafi"/>
        <w:rPr>
          <w:spacing w:val="-4"/>
          <w:lang w:val="sq-AL"/>
        </w:rPr>
      </w:pPr>
      <w:r w:rsidRPr="00BA624C">
        <w:rPr>
          <w:spacing w:val="-4"/>
          <w:lang w:val="sq-AL"/>
        </w:rPr>
        <w:tab/>
        <w:t>c) “Shoqëri anonime” zëvendësohet me fjalët “shoqëri aksionare”.</w:t>
      </w:r>
    </w:p>
    <w:p w:rsidR="00E96E6F" w:rsidRPr="00BA624C" w:rsidRDefault="00E96E6F" w:rsidP="00E96E6F">
      <w:pPr>
        <w:pStyle w:val="Paragrafi"/>
        <w:rPr>
          <w:spacing w:val="-4"/>
          <w:lang w:val="sq-AL"/>
        </w:rPr>
      </w:pPr>
      <w:r>
        <w:rPr>
          <w:spacing w:val="-4"/>
          <w:lang w:val="sq-AL"/>
        </w:rPr>
        <w:t xml:space="preserve">ç) </w:t>
      </w:r>
      <w:r w:rsidRPr="00BA624C">
        <w:rPr>
          <w:spacing w:val="-4"/>
          <w:lang w:val="sq-AL"/>
        </w:rPr>
        <w:t>“Veprimtari ekonomike tregtare” zëvendësohet me fjalën “veprimtari”.</w:t>
      </w:r>
    </w:p>
    <w:p w:rsidR="00E96E6F" w:rsidRPr="00BA624C" w:rsidRDefault="00E96E6F" w:rsidP="00E96E6F">
      <w:pPr>
        <w:pStyle w:val="Paragrafi"/>
        <w:rPr>
          <w:spacing w:val="-4"/>
          <w:sz w:val="14"/>
          <w:lang w:val="sq-AL"/>
        </w:rPr>
      </w:pPr>
    </w:p>
    <w:p w:rsidR="00E96E6F" w:rsidRPr="00BA624C" w:rsidRDefault="00E96E6F" w:rsidP="00E96E6F">
      <w:pPr>
        <w:pStyle w:val="Paragrafi"/>
        <w:jc w:val="center"/>
        <w:rPr>
          <w:spacing w:val="-4"/>
          <w:lang w:val="sq-AL"/>
        </w:rPr>
      </w:pPr>
      <w:r w:rsidRPr="00BA624C">
        <w:rPr>
          <w:spacing w:val="-4"/>
          <w:lang w:val="sq-AL"/>
        </w:rPr>
        <w:t>Neni 2</w:t>
      </w:r>
    </w:p>
    <w:p w:rsidR="00E96E6F" w:rsidRPr="00BA624C" w:rsidRDefault="00E96E6F" w:rsidP="00E96E6F">
      <w:pPr>
        <w:pStyle w:val="Paragrafi"/>
        <w:rPr>
          <w:spacing w:val="-4"/>
          <w:sz w:val="14"/>
          <w:lang w:val="sq-AL"/>
        </w:rPr>
      </w:pPr>
    </w:p>
    <w:p w:rsidR="00E96E6F" w:rsidRPr="00BA624C" w:rsidRDefault="00E96E6F" w:rsidP="00E96E6F">
      <w:pPr>
        <w:pStyle w:val="Paragrafi"/>
        <w:rPr>
          <w:spacing w:val="-4"/>
          <w:lang w:val="sq-AL"/>
        </w:rPr>
      </w:pPr>
      <w:r w:rsidRPr="00BA624C">
        <w:rPr>
          <w:spacing w:val="-4"/>
          <w:lang w:val="sq-AL"/>
        </w:rPr>
        <w:tab/>
        <w:t>Në nenin 2 bëhen ndryshimi dhe shtesa e mëposhtme:</w:t>
      </w:r>
    </w:p>
    <w:p w:rsidR="00E96E6F" w:rsidRPr="00BA624C" w:rsidRDefault="00E96E6F" w:rsidP="00E96E6F">
      <w:pPr>
        <w:pStyle w:val="Paragrafi"/>
        <w:rPr>
          <w:spacing w:val="-4"/>
          <w:lang w:val="sq-AL"/>
        </w:rPr>
      </w:pPr>
      <w:r w:rsidRPr="00BA624C">
        <w:rPr>
          <w:spacing w:val="-4"/>
          <w:lang w:val="sq-AL"/>
        </w:rPr>
        <w:tab/>
        <w:t>1. Pika 3 ndryshohet si më poshtë:</w:t>
      </w:r>
    </w:p>
    <w:p w:rsidR="00E96E6F" w:rsidRPr="00BA624C" w:rsidRDefault="00E96E6F" w:rsidP="00E96E6F">
      <w:pPr>
        <w:pStyle w:val="Paragrafi"/>
        <w:rPr>
          <w:spacing w:val="-4"/>
          <w:lang w:val="sq-AL"/>
        </w:rPr>
      </w:pPr>
      <w:r w:rsidRPr="00BA624C">
        <w:rPr>
          <w:spacing w:val="-4"/>
          <w:lang w:val="sq-AL"/>
        </w:rPr>
        <w:tab/>
        <w:t>“3. “Regjistri” është regjistri tregtar, në të cilin regjistrohen subjektet, sipas këtij ligji.”.</w:t>
      </w:r>
    </w:p>
    <w:p w:rsidR="00E96E6F" w:rsidRPr="00BA624C" w:rsidRDefault="00E96E6F" w:rsidP="00E96E6F">
      <w:pPr>
        <w:pStyle w:val="Paragrafi"/>
        <w:rPr>
          <w:spacing w:val="-4"/>
          <w:lang w:val="sq-AL"/>
        </w:rPr>
      </w:pPr>
      <w:r w:rsidRPr="00BA624C">
        <w:rPr>
          <w:spacing w:val="-4"/>
          <w:lang w:val="sq-AL"/>
        </w:rPr>
        <w:tab/>
        <w:t>2. Pas pikës 11 shtohen pikat 12, 13, 14, 15 dhe 16 me këtë përmbajtje:</w:t>
      </w:r>
    </w:p>
    <w:p w:rsidR="00E96E6F" w:rsidRPr="00BA624C" w:rsidRDefault="00E96E6F" w:rsidP="00E96E6F">
      <w:pPr>
        <w:pStyle w:val="Paragrafi"/>
        <w:rPr>
          <w:spacing w:val="-4"/>
          <w:lang w:val="sq-AL"/>
        </w:rPr>
      </w:pPr>
      <w:r w:rsidRPr="00BA624C">
        <w:rPr>
          <w:spacing w:val="-4"/>
          <w:lang w:val="sq-AL"/>
        </w:rPr>
        <w:tab/>
        <w:t>“12. “Subjekt” janë subjektet tregtare dhe subjektet e tjera, të cilat, pa pasur cilësinë e tregtarit, kanë detyrimin e regjistrimit, sipas këtij ligji.</w:t>
      </w:r>
    </w:p>
    <w:p w:rsidR="00E96E6F" w:rsidRPr="00BA624C" w:rsidRDefault="00E96E6F" w:rsidP="00E96E6F">
      <w:pPr>
        <w:pStyle w:val="Paragrafi"/>
        <w:rPr>
          <w:spacing w:val="-4"/>
          <w:lang w:val="sq-AL"/>
        </w:rPr>
      </w:pPr>
      <w:r w:rsidRPr="00BA624C">
        <w:rPr>
          <w:spacing w:val="-4"/>
          <w:lang w:val="sq-AL"/>
        </w:rPr>
        <w:tab/>
        <w:t>13. “Subjekt tregtar” është personi fizik, sipas kuptimit të Kodit Civil, që ka cilësinë e tregtarit,</w:t>
      </w:r>
      <w:r>
        <w:rPr>
          <w:spacing w:val="-4"/>
          <w:lang w:val="sq-AL"/>
        </w:rPr>
        <w:t xml:space="preserve"> </w:t>
      </w:r>
      <w:r w:rsidRPr="00BA624C">
        <w:rPr>
          <w:spacing w:val="-4"/>
          <w:lang w:val="sq-AL"/>
        </w:rPr>
        <w:t>në përputhje me parashikimet e legjislacionit në fuqi, shoqëritë tregtare dhe degët e shoqërive të huaja.</w:t>
      </w:r>
    </w:p>
    <w:p w:rsidR="00E96E6F" w:rsidRPr="00BA624C" w:rsidRDefault="00E96E6F" w:rsidP="00E96E6F">
      <w:pPr>
        <w:pStyle w:val="Paragrafi"/>
        <w:rPr>
          <w:spacing w:val="-4"/>
          <w:lang w:val="sq-AL"/>
        </w:rPr>
      </w:pPr>
      <w:r w:rsidRPr="00BA624C">
        <w:rPr>
          <w:spacing w:val="-4"/>
          <w:lang w:val="sq-AL"/>
        </w:rPr>
        <w:tab/>
        <w:t>14. “Mjet elektronik” është çdo mjet, me anë të të cilit mundësohen dërgimi fillestar i informacionit e marrja e tij nga marrësi i përcaktuar me anë të pajisjeve elektronike për përpunimin (duke përfshirë ngjeshjen shifrore) dhe ruajtja e të dhënave, tërësisht të transmetuara, të përcjella apo të marra përmes kabllove, valëve radio, mjeteve optike ose mjeteve të tjera elektromagnetike.</w:t>
      </w:r>
    </w:p>
    <w:p w:rsidR="00E96E6F" w:rsidRPr="00BA624C" w:rsidRDefault="00E96E6F" w:rsidP="00E96E6F">
      <w:pPr>
        <w:pStyle w:val="Paragrafi"/>
        <w:rPr>
          <w:spacing w:val="-4"/>
          <w:lang w:val="sq-AL"/>
        </w:rPr>
      </w:pPr>
      <w:r w:rsidRPr="00BA624C">
        <w:rPr>
          <w:spacing w:val="-4"/>
          <w:lang w:val="sq-AL"/>
        </w:rPr>
        <w:tab/>
        <w:t>15.“Sporteli elektronik” është portali elektronik i QKR-së, i aksesueshëm nëpërmjet faqes zyrtare në internet,</w:t>
      </w:r>
      <w:r>
        <w:rPr>
          <w:spacing w:val="-4"/>
          <w:lang w:val="sq-AL"/>
        </w:rPr>
        <w:t xml:space="preserve"> </w:t>
      </w:r>
      <w:r w:rsidRPr="00BA624C">
        <w:rPr>
          <w:spacing w:val="-4"/>
          <w:lang w:val="sq-AL"/>
        </w:rPr>
        <w:t>e hapur nga QKR-ja, ku</w:t>
      </w:r>
      <w:r>
        <w:rPr>
          <w:spacing w:val="-4"/>
          <w:lang w:val="sq-AL"/>
        </w:rPr>
        <w:t xml:space="preserve"> </w:t>
      </w:r>
      <w:r w:rsidRPr="00BA624C">
        <w:rPr>
          <w:spacing w:val="-4"/>
          <w:lang w:val="sq-AL"/>
        </w:rPr>
        <w:t>mundësohet ofrimi i shërbimit për publikun në distancë, duke komunikuar drejtpërdrejt me sistemin qendror të QKR-së, nëpërmjet mjeteve elektronike.</w:t>
      </w:r>
      <w:r w:rsidRPr="00BA624C">
        <w:rPr>
          <w:spacing w:val="-4"/>
          <w:lang w:val="sq-AL"/>
        </w:rPr>
        <w:tab/>
      </w:r>
    </w:p>
    <w:p w:rsidR="00E96E6F" w:rsidRPr="00BA624C" w:rsidRDefault="00E96E6F" w:rsidP="00E96E6F">
      <w:pPr>
        <w:pStyle w:val="Paragrafi"/>
        <w:rPr>
          <w:spacing w:val="-4"/>
          <w:lang w:val="sq-AL"/>
        </w:rPr>
      </w:pPr>
      <w:r w:rsidRPr="00BA624C">
        <w:rPr>
          <w:spacing w:val="-4"/>
          <w:lang w:val="sq-AL"/>
        </w:rPr>
        <w:tab/>
        <w:t>16. “Veprimtari” është veprimtaria e pavarur ekonomike, profesionale apo tregtare, e ushtruar në mënyrë të vazhdueshme nga subjektet.”.</w:t>
      </w:r>
    </w:p>
    <w:p w:rsidR="00E96E6F" w:rsidRPr="00BA624C" w:rsidRDefault="00E96E6F" w:rsidP="00E96E6F">
      <w:pPr>
        <w:pStyle w:val="Paragrafi"/>
        <w:rPr>
          <w:spacing w:val="-4"/>
          <w:sz w:val="14"/>
          <w:lang w:val="sq-AL"/>
        </w:rPr>
      </w:pPr>
    </w:p>
    <w:p w:rsidR="00E96E6F" w:rsidRPr="00BA624C" w:rsidRDefault="00E96E6F" w:rsidP="00E96E6F">
      <w:pPr>
        <w:pStyle w:val="Paragrafi"/>
        <w:jc w:val="center"/>
        <w:rPr>
          <w:spacing w:val="-4"/>
          <w:lang w:val="sq-AL"/>
        </w:rPr>
      </w:pPr>
      <w:r w:rsidRPr="00BA624C">
        <w:rPr>
          <w:spacing w:val="-4"/>
          <w:lang w:val="sq-AL"/>
        </w:rPr>
        <w:t>Neni 3</w:t>
      </w:r>
    </w:p>
    <w:p w:rsidR="00E96E6F" w:rsidRPr="00BA624C" w:rsidRDefault="00E96E6F" w:rsidP="00E96E6F">
      <w:pPr>
        <w:pStyle w:val="Paragrafi"/>
        <w:rPr>
          <w:spacing w:val="-4"/>
          <w:sz w:val="14"/>
          <w:lang w:val="sq-AL"/>
        </w:rPr>
      </w:pPr>
    </w:p>
    <w:p w:rsidR="00E96E6F" w:rsidRPr="00BA624C" w:rsidRDefault="00E96E6F" w:rsidP="00E96E6F">
      <w:pPr>
        <w:pStyle w:val="Paragrafi"/>
        <w:rPr>
          <w:spacing w:val="-4"/>
          <w:lang w:val="sq-AL"/>
        </w:rPr>
      </w:pPr>
      <w:r w:rsidRPr="00BA624C">
        <w:rPr>
          <w:spacing w:val="-4"/>
          <w:lang w:val="sq-AL"/>
        </w:rPr>
        <w:tab/>
        <w:t>Në nenin 4 bëhen këto ndryshime:</w:t>
      </w:r>
    </w:p>
    <w:p w:rsidR="00E96E6F" w:rsidRPr="00BA624C" w:rsidRDefault="00E96E6F" w:rsidP="00E96E6F">
      <w:pPr>
        <w:pStyle w:val="Paragrafi"/>
        <w:rPr>
          <w:spacing w:val="-4"/>
          <w:lang w:val="sq-AL"/>
        </w:rPr>
      </w:pPr>
      <w:r w:rsidRPr="00BA624C">
        <w:rPr>
          <w:spacing w:val="-4"/>
          <w:lang w:val="sq-AL"/>
        </w:rPr>
        <w:lastRenderedPageBreak/>
        <w:tab/>
        <w:t>1. Shkronja “dh” ndryshohet si më poshtë:</w:t>
      </w:r>
    </w:p>
    <w:p w:rsidR="00E96E6F" w:rsidRPr="00BA624C" w:rsidRDefault="00E96E6F" w:rsidP="00E96E6F">
      <w:pPr>
        <w:pStyle w:val="Paragrafi"/>
        <w:rPr>
          <w:spacing w:val="-4"/>
          <w:lang w:val="sq-AL"/>
        </w:rPr>
      </w:pPr>
      <w:r w:rsidRPr="00BA624C">
        <w:rPr>
          <w:spacing w:val="-4"/>
          <w:lang w:val="sq-AL"/>
        </w:rPr>
        <w:tab/>
        <w:t>“dh) informon dhe këshillon për procedurat e regjistrimit.”.</w:t>
      </w:r>
    </w:p>
    <w:p w:rsidR="00E96E6F" w:rsidRPr="00BA624C" w:rsidRDefault="00E96E6F" w:rsidP="00E96E6F">
      <w:pPr>
        <w:pStyle w:val="Paragrafi"/>
        <w:rPr>
          <w:spacing w:val="-4"/>
          <w:lang w:val="sq-AL"/>
        </w:rPr>
      </w:pPr>
      <w:r w:rsidRPr="00BA624C">
        <w:rPr>
          <w:spacing w:val="-4"/>
          <w:lang w:val="sq-AL"/>
        </w:rPr>
        <w:tab/>
        <w:t>2. Shkronja “e” shfuqizohet.</w:t>
      </w:r>
    </w:p>
    <w:p w:rsidR="00E96E6F" w:rsidRPr="00BA624C" w:rsidRDefault="00E96E6F" w:rsidP="00E96E6F">
      <w:pPr>
        <w:pStyle w:val="Paragrafi"/>
        <w:rPr>
          <w:spacing w:val="-4"/>
          <w:sz w:val="14"/>
          <w:lang w:val="sq-AL"/>
        </w:rPr>
      </w:pPr>
    </w:p>
    <w:p w:rsidR="00E96E6F" w:rsidRPr="00BA624C" w:rsidRDefault="00E96E6F" w:rsidP="00E96E6F">
      <w:pPr>
        <w:pStyle w:val="Paragrafi"/>
        <w:jc w:val="center"/>
        <w:rPr>
          <w:spacing w:val="-4"/>
          <w:lang w:val="sq-AL"/>
        </w:rPr>
      </w:pPr>
      <w:r w:rsidRPr="00BA624C">
        <w:rPr>
          <w:spacing w:val="-4"/>
          <w:lang w:val="sq-AL"/>
        </w:rPr>
        <w:t>Neni 4</w:t>
      </w:r>
    </w:p>
    <w:p w:rsidR="00E96E6F" w:rsidRPr="00BA624C" w:rsidRDefault="00E96E6F" w:rsidP="00E96E6F">
      <w:pPr>
        <w:pStyle w:val="Paragrafi"/>
        <w:rPr>
          <w:spacing w:val="-4"/>
          <w:sz w:val="14"/>
          <w:lang w:val="sq-AL"/>
        </w:rPr>
      </w:pPr>
    </w:p>
    <w:p w:rsidR="00E96E6F" w:rsidRPr="00BA624C" w:rsidRDefault="00E96E6F" w:rsidP="00E96E6F">
      <w:pPr>
        <w:pStyle w:val="Paragrafi"/>
        <w:rPr>
          <w:spacing w:val="-4"/>
          <w:lang w:val="sq-AL"/>
        </w:rPr>
      </w:pPr>
      <w:r w:rsidRPr="00BA624C">
        <w:rPr>
          <w:spacing w:val="-4"/>
          <w:lang w:val="sq-AL"/>
        </w:rPr>
        <w:tab/>
        <w:t>Neni 5 ndryshohet si më poshtë:</w:t>
      </w:r>
    </w:p>
    <w:p w:rsidR="00E96E6F" w:rsidRPr="00BA624C" w:rsidRDefault="00E96E6F" w:rsidP="00E96E6F">
      <w:pPr>
        <w:pStyle w:val="Paragrafi"/>
        <w:rPr>
          <w:spacing w:val="-4"/>
          <w:sz w:val="14"/>
          <w:lang w:val="sq-AL"/>
        </w:rPr>
      </w:pPr>
    </w:p>
    <w:p w:rsidR="00E96E6F" w:rsidRPr="00BA624C" w:rsidRDefault="00E96E6F" w:rsidP="00E96E6F">
      <w:pPr>
        <w:pStyle w:val="Paragrafi"/>
        <w:jc w:val="center"/>
        <w:rPr>
          <w:spacing w:val="-4"/>
          <w:lang w:val="sq-AL"/>
        </w:rPr>
      </w:pPr>
      <w:r w:rsidRPr="00BA624C">
        <w:rPr>
          <w:spacing w:val="-4"/>
          <w:lang w:val="sq-AL"/>
        </w:rPr>
        <w:t>“Neni 5</w:t>
      </w:r>
    </w:p>
    <w:p w:rsidR="00E96E6F" w:rsidRPr="00BA624C" w:rsidRDefault="00E96E6F" w:rsidP="00E96E6F">
      <w:pPr>
        <w:pStyle w:val="Paragrafi"/>
        <w:jc w:val="center"/>
        <w:rPr>
          <w:b/>
          <w:spacing w:val="-4"/>
          <w:lang w:val="sq-AL"/>
        </w:rPr>
      </w:pPr>
      <w:r w:rsidRPr="00BA624C">
        <w:rPr>
          <w:b/>
          <w:spacing w:val="-4"/>
          <w:lang w:val="sq-AL"/>
        </w:rPr>
        <w:t>Organizimi dhe sportelet</w:t>
      </w:r>
    </w:p>
    <w:p w:rsidR="00E96E6F" w:rsidRPr="00BA624C" w:rsidRDefault="00E96E6F" w:rsidP="00E96E6F">
      <w:pPr>
        <w:pStyle w:val="Paragrafi"/>
        <w:rPr>
          <w:spacing w:val="-4"/>
          <w:sz w:val="14"/>
          <w:lang w:val="sq-AL"/>
        </w:rPr>
      </w:pPr>
    </w:p>
    <w:p w:rsidR="00E96E6F" w:rsidRPr="00BA624C" w:rsidRDefault="00E96E6F" w:rsidP="00E96E6F">
      <w:pPr>
        <w:pStyle w:val="Paragrafi"/>
        <w:rPr>
          <w:spacing w:val="-4"/>
          <w:lang w:val="sq-AL"/>
        </w:rPr>
      </w:pPr>
      <w:r w:rsidRPr="00BA624C">
        <w:rPr>
          <w:spacing w:val="-4"/>
          <w:lang w:val="sq-AL"/>
        </w:rPr>
        <w:tab/>
        <w:t xml:space="preserve">1. QKR-ja ka juridiksion në të gjithë territorin e Republikës së Shqipërisë dhe është institucioni i vetëm që ofron shërbim ndaj publikut, sipas parashikimeve të këtij ligji, nëpërmjet sportelit të saj qendror, sporteleve të shërbimit pranë njësive të qeverisjes vendore apo organizatave të tjera, me të cilat lidh marrëveshje bashkëpunimi, si dhe sporteleve të shërbimit në territor, në kuadër të strukturës së saj. </w:t>
      </w:r>
    </w:p>
    <w:p w:rsidR="00E96E6F" w:rsidRPr="00BA624C" w:rsidRDefault="00E96E6F" w:rsidP="00E96E6F">
      <w:pPr>
        <w:pStyle w:val="Paragrafi"/>
        <w:rPr>
          <w:spacing w:val="-4"/>
          <w:lang w:val="sq-AL"/>
        </w:rPr>
      </w:pPr>
      <w:r w:rsidRPr="00BA624C">
        <w:rPr>
          <w:spacing w:val="-4"/>
          <w:lang w:val="sq-AL"/>
        </w:rPr>
        <w:t xml:space="preserve">2. QKR-ja ofron shërbim në territor, nëpërmjet sporteleve të shërbimit pranë njësive të qeverisjes vendore, si funksion i deleguar, në përputhje me dispozitat e këtij ligji dhe të ligjit për organizimin dhe funksionimin e qeverisjes vendore. QKR-ja lidh marrëveshje bashkëpunimi me njësinë e qeverisjes vendore, ku përcaktohen kushtet e ofrimit të shërbimit dhe treguesit kryesorë të performancës, kualifikimet dhe kriteret e posaçme profesionale të nëpunësve të sportelit, si dhe trajnimet e detyrueshme për nëpunësit.  </w:t>
      </w:r>
    </w:p>
    <w:p w:rsidR="00E96E6F" w:rsidRPr="00BA624C" w:rsidRDefault="00E96E6F" w:rsidP="00E96E6F">
      <w:pPr>
        <w:pStyle w:val="Paragrafi"/>
        <w:rPr>
          <w:spacing w:val="-4"/>
          <w:lang w:val="sq-AL"/>
        </w:rPr>
      </w:pPr>
      <w:r w:rsidRPr="00BA624C">
        <w:rPr>
          <w:spacing w:val="-4"/>
          <w:lang w:val="sq-AL"/>
        </w:rPr>
        <w:t>3. QKR-ja mund të kryejë funksionet e saj, sipas këtij ligji, edhe nëpërmjet hapjes së sporteleve të shërbimit, në bashkëpunim dhe pranë Bashkimit të Dhomave të Tregtisë dhe Industrisë dhe/ose dhomave të tregtisë, rregulluar sipas legjislacionit përkatës. Hapja e këtyre sporteleve bëhet në marrëveshje me këto organizata, të cilave u delegohen funksionet e sportelit të QKR-së, në përputhje me kushtet e këtij ligji dhe të marrëveshjes së bashkëpunimit.</w:t>
      </w:r>
    </w:p>
    <w:p w:rsidR="00E96E6F" w:rsidRPr="00BA624C" w:rsidRDefault="00E96E6F" w:rsidP="00E96E6F">
      <w:pPr>
        <w:pStyle w:val="Paragrafi"/>
        <w:rPr>
          <w:lang w:val="sq-AL"/>
        </w:rPr>
      </w:pPr>
      <w:r w:rsidRPr="00BA624C">
        <w:rPr>
          <w:spacing w:val="-4"/>
          <w:lang w:val="sq-AL"/>
        </w:rPr>
        <w:t>4. Numri dhe vendndodhja e sporteleve të shërbimit pranë njësive të qeverisjes vendore apo organizatave të tjera të përcaktuara në pikën 3, të këtij neni, miratohet nga ministri me propozim të titullarit të QKR-së, në bazë të planifikimit të nevojës për hapjen e sporteleve të shërbimit në territor dhe ngarkesës së mjaftueshme të</w:t>
      </w:r>
      <w:r w:rsidRPr="00BA624C">
        <w:rPr>
          <w:lang w:val="sq-AL"/>
        </w:rPr>
        <w:t xml:space="preserve"> veprimeve në sportele.</w:t>
      </w:r>
    </w:p>
    <w:p w:rsidR="00E96E6F" w:rsidRPr="00BA624C" w:rsidRDefault="00E96E6F" w:rsidP="00E96E6F">
      <w:pPr>
        <w:pStyle w:val="Paragrafi"/>
        <w:rPr>
          <w:lang w:val="sq-AL"/>
        </w:rPr>
      </w:pPr>
    </w:p>
    <w:p w:rsidR="00E96E6F" w:rsidRPr="00BA624C" w:rsidRDefault="00E96E6F" w:rsidP="00E96E6F">
      <w:pPr>
        <w:pStyle w:val="Paragrafi"/>
        <w:rPr>
          <w:lang w:val="sq-AL"/>
        </w:rPr>
      </w:pPr>
      <w:r w:rsidRPr="00BA624C">
        <w:rPr>
          <w:lang w:val="sq-AL"/>
        </w:rPr>
        <w:t>5. Në rast se njësia përkatëse e qeverisjes vendore apo organizata, me të cilat QKR-ja ka lidhur marrëveshje bashkëpunimi, sipas këtij neni, nuk ofrojnë shërbimin e sportelit në përputhje me parashikimet e këtij ligji apo me parashikimet e marrëveshjes së lidhur me QKR, titullari i QKR-së ka të drejtë t’i propozojë ministrit mbylljen e sportelit përkatës.</w:t>
      </w:r>
    </w:p>
    <w:p w:rsidR="00E96E6F" w:rsidRPr="00BA624C" w:rsidRDefault="00E96E6F" w:rsidP="00E96E6F">
      <w:pPr>
        <w:pStyle w:val="Paragrafi"/>
        <w:rPr>
          <w:lang w:val="sq-AL"/>
        </w:rPr>
      </w:pPr>
      <w:r w:rsidRPr="00BA624C">
        <w:rPr>
          <w:lang w:val="sq-AL"/>
        </w:rPr>
        <w:t>6. Në rastet e parashikuara nga pika 5 e këtij neni, QKR-ja, në bazë të vlerësimit paraprak të nevojës së hapjes së sporteleve në territor dhe të ngarkesës së mjaftueshme të veprimeve në sportelin përkatës, mund të zëvendësojë sportelin e mbyllur, duke hapur një sportel shërbimi, në kuadër të strukturës së saj, në përputhje me parashikimet e nenit 7 të këtij ligji.</w:t>
      </w:r>
    </w:p>
    <w:p w:rsidR="00E96E6F" w:rsidRPr="00BA624C" w:rsidRDefault="00E96E6F" w:rsidP="00E96E6F">
      <w:pPr>
        <w:pStyle w:val="Paragrafi"/>
        <w:rPr>
          <w:lang w:val="sq-AL"/>
        </w:rPr>
      </w:pPr>
      <w:r w:rsidRPr="00BA624C">
        <w:rPr>
          <w:lang w:val="sq-AL"/>
        </w:rPr>
        <w:t>7. QKR-ja mund të kryejë funksionet e saj, sipas këtij ligji, edhe nëpërmjet hapjes së një sporteli elektronik. Kryerja e veprimeve, sipas këtij ligji, nëpërmjet sportelit elektronik të QKR-së dhe lëshimi i njoftimeve dhe akteve të QKR-së bëhet në përputhje me parashikimet e kreut VI të këtij ligji.</w:t>
      </w:r>
    </w:p>
    <w:p w:rsidR="00E96E6F" w:rsidRPr="00BA624C" w:rsidRDefault="00E96E6F" w:rsidP="00E96E6F">
      <w:pPr>
        <w:pStyle w:val="Paragrafi"/>
        <w:rPr>
          <w:lang w:val="sq-AL"/>
        </w:rPr>
      </w:pPr>
      <w:r w:rsidRPr="00BA624C">
        <w:rPr>
          <w:lang w:val="sq-AL"/>
        </w:rPr>
        <w:t>8. Të gjitha sportelet e shërbimit lidhen on-line me sistemin qendror të QKR-së.”.</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5</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Neni 5/1 shfuqizohet.</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6</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lastRenderedPageBreak/>
        <w:tab/>
        <w:t>Në nenin 6, pika 4 ndryshohet si më poshtë:</w:t>
      </w:r>
    </w:p>
    <w:p w:rsidR="00E96E6F" w:rsidRPr="00BA624C" w:rsidRDefault="00E96E6F" w:rsidP="00E96E6F">
      <w:pPr>
        <w:pStyle w:val="Paragrafi"/>
        <w:rPr>
          <w:lang w:val="sq-AL"/>
        </w:rPr>
      </w:pPr>
      <w:r w:rsidRPr="00BA624C">
        <w:rPr>
          <w:lang w:val="sq-AL"/>
        </w:rPr>
        <w:tab/>
        <w:t>“4. Titullari i QKR-së ushtron kompetencat drejtuese metodologjike dhe nxjerr, në lidhje me zbatimin e procedurave që ndiqen, sipas këtij ligji, urdhra e udhëzime të detyrueshme për të gjitha sportelet e shërbimit.”.</w:t>
      </w:r>
    </w:p>
    <w:p w:rsidR="00E96E6F" w:rsidRPr="00BA624C" w:rsidRDefault="00E96E6F" w:rsidP="00E96E6F">
      <w:pPr>
        <w:pStyle w:val="Paragrafi"/>
        <w:rPr>
          <w:lang w:val="sq-AL"/>
        </w:rPr>
      </w:pPr>
    </w:p>
    <w:p w:rsidR="00E96E6F" w:rsidRPr="00BA624C" w:rsidRDefault="00E96E6F" w:rsidP="00E96E6F">
      <w:pPr>
        <w:pStyle w:val="Paragrafi"/>
        <w:jc w:val="center"/>
        <w:rPr>
          <w:lang w:val="sq-AL"/>
        </w:rPr>
      </w:pPr>
      <w:r w:rsidRPr="00BA624C">
        <w:rPr>
          <w:lang w:val="sq-AL"/>
        </w:rPr>
        <w:t>Neni 7</w:t>
      </w:r>
    </w:p>
    <w:p w:rsidR="00E96E6F" w:rsidRPr="00BA624C" w:rsidRDefault="00E96E6F" w:rsidP="00E96E6F">
      <w:pPr>
        <w:pStyle w:val="Paragrafi"/>
        <w:rPr>
          <w:lang w:val="sq-AL"/>
        </w:rPr>
      </w:pPr>
      <w:r w:rsidRPr="00BA624C">
        <w:rPr>
          <w:lang w:val="sq-AL"/>
        </w:rPr>
        <w:tab/>
        <w:t>Neni 8 ndryshohet si më poshtë:</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8</w:t>
      </w:r>
    </w:p>
    <w:p w:rsidR="00E96E6F" w:rsidRPr="00BA624C" w:rsidRDefault="00E96E6F" w:rsidP="00E96E6F">
      <w:pPr>
        <w:pStyle w:val="Paragrafi"/>
        <w:jc w:val="center"/>
        <w:rPr>
          <w:b/>
          <w:lang w:val="sq-AL"/>
        </w:rPr>
      </w:pPr>
      <w:r w:rsidRPr="00BA624C">
        <w:rPr>
          <w:b/>
          <w:lang w:val="sq-AL"/>
        </w:rPr>
        <w:t>Statusi i titullarit</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Titullari i QKR-së është nëpunës civil, i cili duhet të plotësojë kërkesat e përgjithshme dhe të posaçme që parashikon legjislacioni për nëpunësin civil dhe të ketë arsim të lartë në shkencat juridike apo ekonomike.”.</w:t>
      </w:r>
    </w:p>
    <w:p w:rsidR="00E96E6F" w:rsidRPr="00BA624C" w:rsidRDefault="00E96E6F" w:rsidP="00E96E6F">
      <w:pPr>
        <w:pStyle w:val="Paragrafi"/>
        <w:jc w:val="center"/>
        <w:rPr>
          <w:sz w:val="14"/>
          <w:lang w:val="sq-AL"/>
        </w:rPr>
      </w:pPr>
    </w:p>
    <w:p w:rsidR="00E96E6F" w:rsidRPr="00BA624C" w:rsidRDefault="00E96E6F" w:rsidP="00E96E6F">
      <w:pPr>
        <w:pStyle w:val="Paragrafi"/>
        <w:jc w:val="center"/>
        <w:rPr>
          <w:lang w:val="sq-AL"/>
        </w:rPr>
      </w:pPr>
      <w:r w:rsidRPr="00BA624C">
        <w:rPr>
          <w:lang w:val="sq-AL"/>
        </w:rPr>
        <w:t>Neni 8</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Neni 9 ndryshohet si më poshtë:</w:t>
      </w:r>
    </w:p>
    <w:p w:rsidR="00E96E6F" w:rsidRPr="00F47964"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9</w:t>
      </w:r>
    </w:p>
    <w:p w:rsidR="00E96E6F" w:rsidRPr="00BA624C" w:rsidRDefault="00E96E6F" w:rsidP="00E96E6F">
      <w:pPr>
        <w:pStyle w:val="Paragrafi"/>
        <w:jc w:val="center"/>
        <w:rPr>
          <w:b/>
          <w:lang w:val="sq-AL"/>
        </w:rPr>
      </w:pPr>
      <w:r w:rsidRPr="00BA624C">
        <w:rPr>
          <w:b/>
          <w:lang w:val="sq-AL"/>
        </w:rPr>
        <w:t>Nëpunësit dhe punonjësit administrativë</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1. Nëpunësit e QKR-së janë nëpunës civilë dhe për ta zbatohen dispozitat e legjislacionit për nëpunësin civil.</w:t>
      </w:r>
    </w:p>
    <w:p w:rsidR="00E96E6F" w:rsidRPr="00BA624C" w:rsidRDefault="00E96E6F" w:rsidP="00E96E6F">
      <w:pPr>
        <w:pStyle w:val="Paragrafi"/>
        <w:rPr>
          <w:lang w:val="sq-AL"/>
        </w:rPr>
      </w:pPr>
      <w:r w:rsidRPr="00BA624C">
        <w:rPr>
          <w:lang w:val="sq-AL"/>
        </w:rPr>
        <w:tab/>
        <w:t>2. Marrëdhëniet e punës të</w:t>
      </w:r>
      <w:r>
        <w:rPr>
          <w:lang w:val="sq-AL"/>
        </w:rPr>
        <w:t xml:space="preserve"> </w:t>
      </w:r>
      <w:r w:rsidRPr="00BA624C">
        <w:rPr>
          <w:lang w:val="sq-AL"/>
        </w:rPr>
        <w:t>punonjësve administrativë të QKR-së rregullohen sipas Kodit të Punës.”.</w:t>
      </w:r>
    </w:p>
    <w:p w:rsidR="00E96E6F" w:rsidRPr="00BA624C" w:rsidRDefault="00E96E6F" w:rsidP="00E96E6F">
      <w:pPr>
        <w:pStyle w:val="Paragrafi"/>
        <w:jc w:val="center"/>
        <w:rPr>
          <w:lang w:val="sq-AL"/>
        </w:rPr>
      </w:pPr>
      <w:r w:rsidRPr="00BA624C">
        <w:rPr>
          <w:lang w:val="sq-AL"/>
        </w:rPr>
        <w:t>Neni 9</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Neni 10 ndryshohet si më poshtë:</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10</w:t>
      </w:r>
    </w:p>
    <w:p w:rsidR="00E96E6F" w:rsidRPr="00BA624C" w:rsidRDefault="00E96E6F" w:rsidP="00E96E6F">
      <w:pPr>
        <w:pStyle w:val="Paragrafi"/>
        <w:jc w:val="center"/>
        <w:rPr>
          <w:b/>
          <w:lang w:val="sq-AL"/>
        </w:rPr>
      </w:pPr>
      <w:r w:rsidRPr="00BA624C">
        <w:rPr>
          <w:b/>
          <w:lang w:val="sq-AL"/>
        </w:rPr>
        <w:t>Nëpunësit e sporteleve të shërbimit</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“1. Nëpunësit e sporteleve të shërbimit, të hapura nga QKR-ja, sipas pikës 2, të nenit 5, të këtij ligji, janë nëpunës të njësisë përkatëse të qeverisjes vendore.</w:t>
      </w:r>
    </w:p>
    <w:p w:rsidR="00E96E6F" w:rsidRPr="00BA624C" w:rsidRDefault="00E96E6F" w:rsidP="00E96E6F">
      <w:pPr>
        <w:pStyle w:val="Paragrafi"/>
        <w:rPr>
          <w:lang w:val="sq-AL"/>
        </w:rPr>
      </w:pPr>
      <w:r w:rsidRPr="00BA624C">
        <w:rPr>
          <w:lang w:val="sq-AL"/>
        </w:rPr>
        <w:t>2. Nëpunësit e sporteleve të shërbimit, të hapura nga QKR-ja, sipas pikës 3, të nenit 5, të këtij ligji, janë punonjës të organizatës përkatëse, me të cilën QKR-ja ka lidhur marrëveshje bashkëpunimi.</w:t>
      </w:r>
    </w:p>
    <w:p w:rsidR="00E96E6F" w:rsidRPr="00BA624C" w:rsidRDefault="00E96E6F" w:rsidP="00E96E6F">
      <w:pPr>
        <w:pStyle w:val="Paragrafi"/>
        <w:rPr>
          <w:lang w:val="sq-AL"/>
        </w:rPr>
      </w:pPr>
      <w:r w:rsidRPr="00BA624C">
        <w:rPr>
          <w:lang w:val="sq-AL"/>
        </w:rPr>
        <w:t>3. Në rastet kur QKR-ja hap sportele shërbimi sipas pikës 6, të nenit 5, të këtij ligji, nëpunësit e sportelit janë nëpunës të QKR-së, dhe trajtohen në përputhje me parashikimet e nenit 9 të këtij ligji.</w:t>
      </w:r>
    </w:p>
    <w:p w:rsidR="00E96E6F" w:rsidRPr="00BA624C" w:rsidRDefault="00E96E6F" w:rsidP="00E96E6F">
      <w:pPr>
        <w:pStyle w:val="Paragrafi"/>
        <w:rPr>
          <w:lang w:val="sq-AL"/>
        </w:rPr>
      </w:pPr>
      <w:r w:rsidRPr="00BA624C">
        <w:rPr>
          <w:lang w:val="sq-AL"/>
        </w:rPr>
        <w:t>4. Me qëllim njësimin e shërbimit që i ofrohet publikut në të gjitha sportelet, nëpunësit e sporteleve të shërbimit duhet të plotësojnë të njëjtat kritere të posaçme profesionale që i zbatohen nëpunësve të sportelit qendror të QKR-së. QKR-ja siguron për nëpunësit e sporteleve të shërbimit të njëjtin trajnim që zbatohet nga QKR-ja për nëpunësit e sportelit qendror të QKR-së.”.</w:t>
      </w:r>
    </w:p>
    <w:p w:rsidR="00E96E6F" w:rsidRPr="00BA624C" w:rsidRDefault="00E96E6F" w:rsidP="00E96E6F">
      <w:pPr>
        <w:pStyle w:val="Paragrafi"/>
        <w:jc w:val="center"/>
        <w:rPr>
          <w:lang w:val="sq-AL"/>
        </w:rPr>
      </w:pPr>
      <w:r w:rsidRPr="00BA624C">
        <w:rPr>
          <w:lang w:val="sq-AL"/>
        </w:rPr>
        <w:t>Neni 10</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Në nenin 11, pika 2 ndryshohet si më poshtë:</w:t>
      </w:r>
    </w:p>
    <w:p w:rsidR="00E96E6F" w:rsidRPr="00BA624C" w:rsidRDefault="00E96E6F" w:rsidP="00E96E6F">
      <w:pPr>
        <w:pStyle w:val="Paragrafi"/>
        <w:rPr>
          <w:lang w:val="sq-AL"/>
        </w:rPr>
      </w:pPr>
      <w:r w:rsidRPr="00BA624C">
        <w:rPr>
          <w:lang w:val="sq-AL"/>
        </w:rPr>
        <w:tab/>
        <w:t>“2. Niveli i pagave dhe i shpërblimit, si dhe numri i nëpunësve në sportelet, sipas pikave 1 dhe 2, të nenit 10, përcaktohet në përputhje me legjislacionin në fuqi nga organet kompetente të njësive të qeverisjes vendore apo të organizatave, me të cilat QKR-ja ka lidhur marrëveshje bashkëpunimi, në cilësinë e punëdhënësit.”.</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lastRenderedPageBreak/>
        <w:t>Neni 11</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Në nenin 12, pikat 3, 4, 5 dhe 6 ndryshohen si më poshtë:</w:t>
      </w:r>
    </w:p>
    <w:p w:rsidR="00E96E6F" w:rsidRPr="00BA624C" w:rsidRDefault="00E96E6F" w:rsidP="00E96E6F">
      <w:pPr>
        <w:pStyle w:val="Paragrafi"/>
        <w:rPr>
          <w:lang w:val="sq-AL"/>
        </w:rPr>
      </w:pPr>
      <w:r w:rsidRPr="00BA624C">
        <w:rPr>
          <w:lang w:val="sq-AL"/>
        </w:rPr>
        <w:tab/>
        <w:t>“3. Buxheti i QKR-së përbëhet nga të ardhurat, që realizohen sipas këtij ligji nga të gjitha sportelet e shërbimit dhe nga të gjitha shpenzimet eQKR-së, përfshirë fondet për shpenzime operative dhe kapitale për sportelet e shërbimit që hapen pranë dhe në bashkëpunim me njësitë e qeverisjes vendore.</w:t>
      </w:r>
    </w:p>
    <w:p w:rsidR="00E96E6F" w:rsidRPr="00BA624C" w:rsidRDefault="00E96E6F" w:rsidP="00E96E6F">
      <w:pPr>
        <w:pStyle w:val="Paragrafi"/>
        <w:rPr>
          <w:lang w:val="sq-AL"/>
        </w:rPr>
      </w:pPr>
      <w:r w:rsidRPr="00BA624C">
        <w:rPr>
          <w:lang w:val="sq-AL"/>
        </w:rPr>
        <w:tab/>
        <w:t>4.</w:t>
      </w:r>
      <w:r w:rsidRPr="00BA624C">
        <w:rPr>
          <w:lang w:val="sq-AL"/>
        </w:rPr>
        <w:tab/>
        <w:t xml:space="preserve"> Fondet për shpenzime operative për çdo sportel të hapur pranë dhe në bashkëpunim me njësitë e qeverisjes vendore janë fonde të kushtëzuara dhe përcaktohen në buxhetin e QKR-së, bazuar në kritere të drejta e objektive, në përputhje me vlerësimin paraprak të ngarkesës operative të çdo sporteli dhe të treguesve të cilësisë së shërbimit. Këto fonde u jepen njësive të qeverisjes vendore përkatëse në formën e një shume totale.</w:t>
      </w:r>
    </w:p>
    <w:p w:rsidR="00E96E6F" w:rsidRPr="00BA624C" w:rsidRDefault="00E96E6F" w:rsidP="00E96E6F">
      <w:pPr>
        <w:pStyle w:val="Paragrafi"/>
        <w:rPr>
          <w:lang w:val="sq-AL"/>
        </w:rPr>
      </w:pPr>
      <w:r w:rsidRPr="00BA624C">
        <w:rPr>
          <w:lang w:val="sq-AL"/>
        </w:rPr>
        <w:tab/>
        <w:t>5.</w:t>
      </w:r>
      <w:r w:rsidRPr="00BA624C">
        <w:rPr>
          <w:lang w:val="sq-AL"/>
        </w:rPr>
        <w:tab/>
        <w:t xml:space="preserve"> Shpenzimet për hapjen, funksionimin dhe mirëmbajtjen e sporteleve të hapura pranë dhe në bashkëpunim me organizatat, sipas pikës 3, të nenit 5, me përjashtim të fondeve për kryerjen e trajnimeve për nëpunësit e sportelit, që përballohen nga QKR-ja, mbulohen nga organizata përkatëse, me të cilat QKR-ja lidh marrëveshje bashkëpunimi, dhe nuk janë pjesë e buxhetit të QKR-së.</w:t>
      </w:r>
    </w:p>
    <w:p w:rsidR="00E96E6F" w:rsidRPr="00BA624C" w:rsidRDefault="00E96E6F" w:rsidP="00E96E6F">
      <w:pPr>
        <w:pStyle w:val="Paragrafi"/>
        <w:rPr>
          <w:lang w:val="sq-AL"/>
        </w:rPr>
      </w:pPr>
      <w:r w:rsidRPr="00BA624C">
        <w:rPr>
          <w:lang w:val="sq-AL"/>
        </w:rPr>
        <w:tab/>
        <w:t>6.</w:t>
      </w:r>
      <w:r w:rsidRPr="00BA624C">
        <w:rPr>
          <w:lang w:val="sq-AL"/>
        </w:rPr>
        <w:tab/>
        <w:t xml:space="preserve"> Njësia e qeverisjes vendore apo organizata tjetër, me të cilën QKR-ja lidh marrëveshje bashkëpunimi, në përputhje me objektivat e vet, mund të parashikojë dhe të kryejë shpenzime operative ose kapitale shtesë për përmirësimin e shërbimeve në sportelin dytësor përkatës.”.</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12</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Në nenin 18, pikat 1 dhe 2ndryshohen si më poshtë:</w:t>
      </w:r>
    </w:p>
    <w:p w:rsidR="00E96E6F" w:rsidRPr="00BA624C" w:rsidRDefault="00E96E6F" w:rsidP="00E96E6F">
      <w:pPr>
        <w:pStyle w:val="Paragrafi"/>
        <w:rPr>
          <w:lang w:val="sq-AL"/>
        </w:rPr>
      </w:pPr>
      <w:r w:rsidRPr="00BA624C">
        <w:rPr>
          <w:lang w:val="sq-AL"/>
        </w:rPr>
        <w:tab/>
        <w:t>“1. Regjistri është një bazë të dhënash unike, e ndarë në dosje të veçanta elektronike për secilin subjekt që ka detyrimin e regjistrimit, sipas parashikimeve të këtij ligji.</w:t>
      </w:r>
    </w:p>
    <w:p w:rsidR="00E96E6F" w:rsidRPr="00BA624C" w:rsidRDefault="00E96E6F" w:rsidP="00E96E6F">
      <w:pPr>
        <w:pStyle w:val="Paragrafi"/>
        <w:rPr>
          <w:lang w:val="sq-AL"/>
        </w:rPr>
      </w:pPr>
      <w:r w:rsidRPr="00BA624C">
        <w:rPr>
          <w:lang w:val="sq-AL"/>
        </w:rPr>
        <w:tab/>
        <w:t>2. Regjistri mbahet në format elektronik. Të gjitha të dhënat, aplikimet dhe dokumentet shoqëruese, të paraqitura në format shkresor apo në format elektronik, sipas këtij ligji do të regjistrohen nga QKR-ja në format elektronik në dosjen e subjektit në regjistër. Të gjitha të</w:t>
      </w:r>
      <w:r>
        <w:rPr>
          <w:lang w:val="sq-AL"/>
        </w:rPr>
        <w:t xml:space="preserve"> </w:t>
      </w:r>
      <w:r w:rsidRPr="00BA624C">
        <w:rPr>
          <w:lang w:val="sq-AL"/>
        </w:rPr>
        <w:t>dhënat, aplikimet dhe dokumentet shoqëruese:</w:t>
      </w:r>
    </w:p>
    <w:p w:rsidR="00E96E6F" w:rsidRPr="00BA624C" w:rsidRDefault="00E96E6F" w:rsidP="00E96E6F">
      <w:pPr>
        <w:pStyle w:val="Paragrafi"/>
        <w:rPr>
          <w:lang w:val="sq-AL"/>
        </w:rPr>
      </w:pPr>
      <w:r w:rsidRPr="00BA624C">
        <w:rPr>
          <w:lang w:val="sq-AL"/>
        </w:rPr>
        <w:tab/>
        <w:t>a) të paraqitura nga aplikantët në format elektronik, sipas këtij ligji, ruhen dhe arkivohen nga QKR-ja vetëm në format elektronik;</w:t>
      </w:r>
    </w:p>
    <w:p w:rsidR="00E96E6F" w:rsidRPr="00BA624C" w:rsidRDefault="00E96E6F" w:rsidP="00E96E6F">
      <w:pPr>
        <w:pStyle w:val="Paragrafi"/>
        <w:rPr>
          <w:lang w:val="sq-AL"/>
        </w:rPr>
      </w:pPr>
      <w:r w:rsidRPr="00BA624C">
        <w:rPr>
          <w:lang w:val="sq-AL"/>
        </w:rPr>
        <w:tab/>
        <w:t>b) të paraqitura në format shkresor, sipas këtij ligji, konvertohen dhe ruhen nga QKR-ja në format elektronik. QKR-ja nuk ka detyrim të mbajë e të</w:t>
      </w:r>
      <w:r>
        <w:rPr>
          <w:lang w:val="sq-AL"/>
        </w:rPr>
        <w:t xml:space="preserve"> </w:t>
      </w:r>
      <w:r w:rsidRPr="00BA624C">
        <w:rPr>
          <w:lang w:val="sq-AL"/>
        </w:rPr>
        <w:t>arkivojë aplikimet dhe dokumentet shoqëruese të paraqitura në format shkresor.”.</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13</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Në nenin 20 bëhen këto ndryshime:</w:t>
      </w:r>
    </w:p>
    <w:p w:rsidR="00E96E6F" w:rsidRPr="00BA624C" w:rsidRDefault="00E96E6F" w:rsidP="00E96E6F">
      <w:pPr>
        <w:pStyle w:val="Paragrafi"/>
        <w:rPr>
          <w:lang w:val="sq-AL"/>
        </w:rPr>
      </w:pPr>
      <w:r w:rsidRPr="00BA624C">
        <w:rPr>
          <w:lang w:val="sq-AL"/>
        </w:rPr>
        <w:tab/>
        <w:t>1. Pika 2 ndryshohet si më poshtë:</w:t>
      </w:r>
    </w:p>
    <w:p w:rsidR="00E96E6F" w:rsidRPr="00BA624C" w:rsidRDefault="00E96E6F" w:rsidP="00E96E6F">
      <w:pPr>
        <w:pStyle w:val="Paragrafi"/>
        <w:rPr>
          <w:lang w:val="sq-AL"/>
        </w:rPr>
      </w:pPr>
      <w:r w:rsidRPr="00BA624C">
        <w:rPr>
          <w:lang w:val="sq-AL"/>
        </w:rPr>
        <w:tab/>
        <w:t>“2. Ministri, me propozimin e titullarit të QKR-së, miraton formularët e aplikimit, përmbajtjen e rubrikave të tyre dhe listën e dokumenteve shoqëruese për çdo regjistrim, sipas kërkesave të legjislacionit në fuqi.”.</w:t>
      </w:r>
    </w:p>
    <w:p w:rsidR="00E96E6F" w:rsidRPr="00BA624C" w:rsidRDefault="00E96E6F" w:rsidP="00E96E6F">
      <w:pPr>
        <w:pStyle w:val="Paragrafi"/>
        <w:rPr>
          <w:lang w:val="sq-AL"/>
        </w:rPr>
      </w:pPr>
      <w:r w:rsidRPr="00BA624C">
        <w:rPr>
          <w:lang w:val="sq-AL"/>
        </w:rPr>
        <w:tab/>
        <w:t>2. Pika 3 shfuqizohet.</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14</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Neni 22 ndryshohet si më poshtë:</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22</w:t>
      </w:r>
    </w:p>
    <w:p w:rsidR="00E96E6F" w:rsidRPr="00BA624C" w:rsidRDefault="00E96E6F" w:rsidP="00E96E6F">
      <w:pPr>
        <w:pStyle w:val="Paragrafi"/>
        <w:jc w:val="center"/>
        <w:rPr>
          <w:b/>
          <w:lang w:val="sq-AL"/>
        </w:rPr>
      </w:pPr>
      <w:r w:rsidRPr="00BA624C">
        <w:rPr>
          <w:b/>
          <w:lang w:val="sq-AL"/>
        </w:rPr>
        <w:lastRenderedPageBreak/>
        <w:t>Detyrimi për regjistrim</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1. Subjektet që detyrohen të regjistrohen janë:</w:t>
      </w:r>
    </w:p>
    <w:p w:rsidR="00E96E6F" w:rsidRPr="00BA624C" w:rsidRDefault="00E96E6F" w:rsidP="00E96E6F">
      <w:pPr>
        <w:pStyle w:val="Paragrafi"/>
        <w:rPr>
          <w:lang w:val="sq-AL"/>
        </w:rPr>
      </w:pPr>
      <w:r w:rsidRPr="00BA624C">
        <w:rPr>
          <w:lang w:val="sq-AL"/>
        </w:rPr>
        <w:tab/>
        <w:t>a) subjektet tregtare;</w:t>
      </w:r>
    </w:p>
    <w:p w:rsidR="00E96E6F" w:rsidRPr="00BA624C" w:rsidRDefault="00E96E6F" w:rsidP="00E96E6F">
      <w:pPr>
        <w:pStyle w:val="Paragrafi"/>
        <w:rPr>
          <w:lang w:val="sq-AL"/>
        </w:rPr>
      </w:pPr>
      <w:r w:rsidRPr="00BA624C">
        <w:rPr>
          <w:lang w:val="sq-AL"/>
        </w:rPr>
        <w:tab/>
        <w:t>b) shoqëritë e thjeshta, sipas dispozitave të Kodit Civil;</w:t>
      </w:r>
    </w:p>
    <w:p w:rsidR="00E96E6F" w:rsidRPr="00BA624C" w:rsidRDefault="00E96E6F" w:rsidP="00E96E6F">
      <w:pPr>
        <w:pStyle w:val="Paragrafi"/>
        <w:rPr>
          <w:lang w:val="sq-AL"/>
        </w:rPr>
      </w:pPr>
      <w:r w:rsidRPr="00BA624C">
        <w:rPr>
          <w:lang w:val="sq-AL"/>
        </w:rPr>
        <w:tab/>
        <w:t>c) personat fizikë, sipas kuptimit të Kodit Civil, që nuk kanë cilësinë e tregtarit, që ushtrojnë veprimtari ekonomike apo një profesion të pavarur;</w:t>
      </w:r>
    </w:p>
    <w:p w:rsidR="00E96E6F" w:rsidRPr="00BA624C" w:rsidRDefault="00E96E6F" w:rsidP="00E96E6F">
      <w:pPr>
        <w:pStyle w:val="Paragrafi"/>
        <w:rPr>
          <w:lang w:val="sq-AL"/>
        </w:rPr>
      </w:pPr>
      <w:r w:rsidRPr="00BA624C">
        <w:rPr>
          <w:lang w:val="sq-AL"/>
        </w:rPr>
        <w:tab/>
        <w:t>ç) zyrat e përfaqësimit të shoqërive shqiptare dhe të shoqërive të huaja;</w:t>
      </w:r>
    </w:p>
    <w:p w:rsidR="00E96E6F" w:rsidRPr="00BA624C" w:rsidRDefault="00E96E6F" w:rsidP="00E96E6F">
      <w:pPr>
        <w:pStyle w:val="Paragrafi"/>
        <w:rPr>
          <w:lang w:val="sq-AL"/>
        </w:rPr>
      </w:pPr>
      <w:r w:rsidRPr="00BA624C">
        <w:rPr>
          <w:lang w:val="sq-AL"/>
        </w:rPr>
        <w:tab/>
        <w:t>d) shoqëritë dhe unionet e kursim-kreditit;</w:t>
      </w:r>
    </w:p>
    <w:p w:rsidR="00E96E6F" w:rsidRPr="00BA624C" w:rsidRDefault="00E96E6F" w:rsidP="00E96E6F">
      <w:pPr>
        <w:pStyle w:val="Paragrafi"/>
        <w:rPr>
          <w:lang w:val="sq-AL"/>
        </w:rPr>
      </w:pPr>
      <w:r w:rsidRPr="00BA624C">
        <w:rPr>
          <w:lang w:val="sq-AL"/>
        </w:rPr>
        <w:tab/>
        <w:t>dh) shoqëritë e bashkëpunimit të ndërsjellë;</w:t>
      </w:r>
    </w:p>
    <w:p w:rsidR="00E96E6F" w:rsidRPr="00BA624C" w:rsidRDefault="00E96E6F" w:rsidP="00E96E6F">
      <w:pPr>
        <w:pStyle w:val="Paragrafi"/>
        <w:rPr>
          <w:lang w:val="sq-AL"/>
        </w:rPr>
      </w:pPr>
      <w:r w:rsidRPr="00BA624C">
        <w:rPr>
          <w:lang w:val="sq-AL"/>
        </w:rPr>
        <w:tab/>
        <w:t xml:space="preserve">e) </w:t>
      </w:r>
      <w:r w:rsidRPr="00BA624C">
        <w:rPr>
          <w:lang w:val="sq-AL"/>
        </w:rPr>
        <w:tab/>
        <w:t>çdo subjekt tjetër, i cili me ligj detyrohet të regjistrohet pranë QKR-së.</w:t>
      </w:r>
    </w:p>
    <w:p w:rsidR="00E96E6F" w:rsidRPr="00BA624C" w:rsidRDefault="00E96E6F" w:rsidP="00E96E6F">
      <w:pPr>
        <w:pStyle w:val="Paragrafi"/>
        <w:rPr>
          <w:lang w:val="sq-AL"/>
        </w:rPr>
      </w:pPr>
      <w:r w:rsidRPr="00BA624C">
        <w:rPr>
          <w:lang w:val="sq-AL"/>
        </w:rPr>
        <w:tab/>
        <w:t>2. Përveçse kur një ligj i posaçëm parashikon ndryshe, nuk detyrohen të regjistrohen në regjistër personat fizikë, në kuptimin e Kodit Civil, të përcaktuar me urdhër të përbashkët të ministrit dhe të Ministrit të Financave, që veprojnë si punëdhënës apo të vetëpunësuar në fusha të posaçme apo që ushtrojnë një veprimtari me vëllim të vogël qarkullimi.</w:t>
      </w:r>
    </w:p>
    <w:p w:rsidR="00E96E6F" w:rsidRPr="00BA624C" w:rsidRDefault="00E96E6F" w:rsidP="00E96E6F">
      <w:pPr>
        <w:pStyle w:val="Paragrafi"/>
        <w:rPr>
          <w:lang w:val="sq-AL"/>
        </w:rPr>
      </w:pPr>
      <w:r w:rsidRPr="00BA624C">
        <w:rPr>
          <w:lang w:val="sq-AL"/>
        </w:rPr>
        <w:tab/>
        <w:t>3. Subjektet, përveç kur parashikohet ndryshe nga ligje të posaçme, aplikojnë për regjistrim fillestar si më poshtë:</w:t>
      </w:r>
    </w:p>
    <w:p w:rsidR="00E96E6F" w:rsidRPr="00BA624C" w:rsidRDefault="00E96E6F" w:rsidP="00E96E6F">
      <w:pPr>
        <w:pStyle w:val="Paragrafi"/>
        <w:rPr>
          <w:lang w:val="sq-AL"/>
        </w:rPr>
      </w:pPr>
      <w:r w:rsidRPr="00BA624C">
        <w:rPr>
          <w:lang w:val="sq-AL"/>
        </w:rPr>
        <w:tab/>
        <w:t>a) personat fizikë, shoqëritë e thjeshta dhe degët apo zyrat e përfaqësimit, përpara datës së nisjes efektive të veprimtarisë;</w:t>
      </w:r>
    </w:p>
    <w:p w:rsidR="00E96E6F" w:rsidRPr="00BA624C" w:rsidRDefault="00E96E6F" w:rsidP="00E96E6F">
      <w:pPr>
        <w:pStyle w:val="Paragrafi"/>
        <w:rPr>
          <w:lang w:val="sq-AL"/>
        </w:rPr>
      </w:pPr>
      <w:r w:rsidRPr="00BA624C">
        <w:rPr>
          <w:lang w:val="sq-AL"/>
        </w:rPr>
        <w:tab/>
        <w:t xml:space="preserve">b) </w:t>
      </w:r>
      <w:r w:rsidRPr="00BA624C">
        <w:rPr>
          <w:lang w:val="sq-AL"/>
        </w:rPr>
        <w:tab/>
        <w:t>personat juridikë, brenda 30 ditëve kalendarike nga data e themelimit, por, në çdo rast, përpara datës së nisjes efektive të veprimtarisë.</w:t>
      </w:r>
    </w:p>
    <w:p w:rsidR="00E96E6F" w:rsidRPr="00BA624C" w:rsidRDefault="00E96E6F" w:rsidP="00E96E6F">
      <w:pPr>
        <w:pStyle w:val="Paragrafi"/>
        <w:rPr>
          <w:lang w:val="sq-AL"/>
        </w:rPr>
      </w:pPr>
      <w:r w:rsidRPr="00BA624C">
        <w:rPr>
          <w:lang w:val="sq-AL"/>
        </w:rPr>
        <w:tab/>
        <w:t>4. Aplikimi për ndryshimin e selisë dhe hapja e vendeve të tjera të ushtrimit të veprimtarisë bëhen brenda 30 ditëve kalendarike nga data e vendimit përkatës, por, në çdo rast, përpara nisjes efektive të veprimtarisë në atë vend.</w:t>
      </w:r>
    </w:p>
    <w:p w:rsidR="00E96E6F" w:rsidRPr="00BA624C" w:rsidRDefault="00E96E6F" w:rsidP="00E96E6F">
      <w:pPr>
        <w:pStyle w:val="Paragrafi"/>
        <w:rPr>
          <w:lang w:val="sq-AL"/>
        </w:rPr>
      </w:pPr>
      <w:r w:rsidRPr="00BA624C">
        <w:rPr>
          <w:lang w:val="sq-AL"/>
        </w:rPr>
        <w:tab/>
        <w:t>5. Për regjistrimet e tjera të detyrueshme, përveç rasteve kur ky ligj përcakton ndryshe, aplikimi bëhet brenda 30ditëve kalendarike nga data e ngjarjes së rrethanës faktike dhe/ose e hartimit të aktit të detyrueshëm për t’u regjistruar.”.</w:t>
      </w:r>
    </w:p>
    <w:p w:rsidR="00E96E6F" w:rsidRPr="00BA624C" w:rsidRDefault="00E96E6F" w:rsidP="00E96E6F">
      <w:pPr>
        <w:pStyle w:val="Paragrafi"/>
        <w:jc w:val="center"/>
        <w:rPr>
          <w:lang w:val="sq-AL"/>
        </w:rPr>
      </w:pPr>
      <w:r w:rsidRPr="00BA624C">
        <w:rPr>
          <w:lang w:val="sq-AL"/>
        </w:rPr>
        <w:t>Neni 15</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Në nenin 23, pas pikës 3shtohet pika 4 me këtë përmbajtje:</w:t>
      </w:r>
    </w:p>
    <w:p w:rsidR="00E96E6F" w:rsidRPr="00BA624C" w:rsidRDefault="00E96E6F" w:rsidP="00E96E6F">
      <w:pPr>
        <w:pStyle w:val="Paragrafi"/>
        <w:rPr>
          <w:lang w:val="sq-AL"/>
        </w:rPr>
      </w:pPr>
      <w:r w:rsidRPr="00BA624C">
        <w:rPr>
          <w:lang w:val="sq-AL"/>
        </w:rPr>
        <w:tab/>
        <w:t>“4. Emri i subjekteve tregtare regjistrohet së bashku me shtojcat që kërkohen, sipas legjislacionit në fuqi për tregtarët dhe shoqëritë tregtare.”.</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16</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Në nenin 24, pas pikës 5 shtohet pika 6 me këtë përmbajtje:</w:t>
      </w:r>
    </w:p>
    <w:p w:rsidR="00E96E6F" w:rsidRPr="00BA624C" w:rsidRDefault="00E96E6F" w:rsidP="00E96E6F">
      <w:pPr>
        <w:pStyle w:val="Paragrafi"/>
        <w:rPr>
          <w:lang w:val="sq-AL"/>
        </w:rPr>
      </w:pPr>
      <w:r w:rsidRPr="00BA624C">
        <w:rPr>
          <w:lang w:val="sq-AL"/>
        </w:rPr>
        <w:tab/>
        <w:t>“6. Verifikimi paraprak nëse një emër mund të regjistrohet ose jo, si dhe rezervimi paraprak i emrit nuk përbën kusht për regjistrimin fillestar apo për ndryshimin e emrit të regjistruar.”.</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17</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Në nenin 26 bëhen këto ndryshime:</w:t>
      </w:r>
    </w:p>
    <w:p w:rsidR="00E96E6F" w:rsidRPr="00BA624C" w:rsidRDefault="00E96E6F" w:rsidP="00E96E6F">
      <w:pPr>
        <w:pStyle w:val="Paragrafi"/>
        <w:rPr>
          <w:lang w:val="sq-AL"/>
        </w:rPr>
      </w:pPr>
      <w:r w:rsidRPr="00BA624C">
        <w:rPr>
          <w:lang w:val="sq-AL"/>
        </w:rPr>
        <w:tab/>
        <w:t>1. Në pikën 3, fjalia e parë ndryshohet si më poshtë:</w:t>
      </w:r>
    </w:p>
    <w:p w:rsidR="00E96E6F" w:rsidRPr="00BA624C" w:rsidRDefault="00E96E6F" w:rsidP="00E96E6F">
      <w:pPr>
        <w:pStyle w:val="Paragrafi"/>
        <w:rPr>
          <w:lang w:val="sq-AL"/>
        </w:rPr>
      </w:pPr>
      <w:r w:rsidRPr="00BA624C">
        <w:rPr>
          <w:lang w:val="sq-AL"/>
        </w:rPr>
        <w:tab/>
        <w:t>“3. Aplikimi për regjistrimin fillestar të shoqërive tregtare bëhet bashkërisht nga të gjithë themeluesit apo nga çdo person i autorizuar prej tyre.”.</w:t>
      </w:r>
    </w:p>
    <w:p w:rsidR="00E96E6F" w:rsidRPr="00BA624C" w:rsidRDefault="00E96E6F" w:rsidP="00E96E6F">
      <w:pPr>
        <w:pStyle w:val="Paragrafi"/>
        <w:rPr>
          <w:lang w:val="sq-AL"/>
        </w:rPr>
      </w:pPr>
      <w:r w:rsidRPr="00BA624C">
        <w:rPr>
          <w:lang w:val="sq-AL"/>
        </w:rPr>
        <w:tab/>
        <w:t>2. Pika 7 ndryshohet si më poshtë:</w:t>
      </w:r>
    </w:p>
    <w:p w:rsidR="00E96E6F" w:rsidRPr="00BA624C" w:rsidRDefault="00E96E6F" w:rsidP="00E96E6F">
      <w:pPr>
        <w:pStyle w:val="Paragrafi"/>
        <w:rPr>
          <w:lang w:val="sq-AL"/>
        </w:rPr>
      </w:pPr>
      <w:r w:rsidRPr="00BA624C">
        <w:rPr>
          <w:lang w:val="sq-AL"/>
        </w:rPr>
        <w:tab/>
        <w:t>“7. Për subjektet e tjera që kanë detyrimin e regjistrimit, sipas shkronjës “e”, të pikës 1, të nenit 22, të këtij ligji, aplikimi për regjistrim fillestar bëhet nga personat e përcaktuar,në përputhje me  ligjet përkatëse, ose nga çdo person i autorizuar prej tyre.”.</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lastRenderedPageBreak/>
        <w:t>Neni 18</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Në nenin 27, pika 2 ndryshohet si më poshtë:</w:t>
      </w:r>
    </w:p>
    <w:p w:rsidR="00E96E6F" w:rsidRPr="00BA624C" w:rsidRDefault="00E96E6F" w:rsidP="00E96E6F">
      <w:pPr>
        <w:pStyle w:val="Paragrafi"/>
        <w:rPr>
          <w:lang w:val="sq-AL"/>
        </w:rPr>
      </w:pPr>
      <w:r w:rsidRPr="00BA624C">
        <w:rPr>
          <w:lang w:val="sq-AL"/>
        </w:rPr>
        <w:tab/>
        <w:t>“2. Dokumentet shoqëruese duhet të dorëzohen në origjinal ose në kopje të panjësuara me origjinalin dhe të jenë hartuar sipas formaliteteve të përcaktuara nga legjislacioni përkatës apo nga dispozitat e këtij ligji. Dokumentet shoqëruese mund të dorëzohen edhe në format elektronik, sipas parashikimeve të kreut VI. Dorëzimi i dokumentit shoqërues pranë sporteleve të shërbimit në kopje të panjësuar apo në format elektronik bëhet nën përgjegjësinë e plotë të personit që e paraqet atë, i cili, nëpërmjet aktit të dorëzimit, konfirmon njësinë e kopjes apo të dokumentit në format elektronik me origjinalin.”.</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19</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Neni 35 ndryshohet si më poshtë:</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35</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Për regjistrimin fillestar të shoqërisë me përgjegjësi të kufizuar, përveç sa parashikohet në nenin 32, të këtij ligji, është i detyrueshëm edhe njoftimi i vlerës së përgjithshme të kapitalit të nënshkruar, ndarja e kapitalit në një numër kuotash të barabartë me numrin e ortakëve, vlera dhe lloji i kontributit të secilit ortak, pjesa që kuota e secilit ortak zë në kapital, si dhe informacioni nëse kontributet e nënshkruara të kapitalit janë paguar ose jo.”.</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20</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Neni 40 ndryshohet si më poshtë:</w:t>
      </w:r>
    </w:p>
    <w:p w:rsidR="00E96E6F" w:rsidRPr="00BA624C" w:rsidRDefault="00E96E6F" w:rsidP="00E96E6F">
      <w:pPr>
        <w:pStyle w:val="Paragrafi"/>
        <w:rPr>
          <w:sz w:val="14"/>
          <w:lang w:val="sq-AL"/>
        </w:rPr>
      </w:pPr>
    </w:p>
    <w:p w:rsidR="00E96E6F" w:rsidRPr="00BA624C" w:rsidRDefault="00E96E6F" w:rsidP="00E96E6F">
      <w:pPr>
        <w:pStyle w:val="Paragrafi"/>
        <w:jc w:val="center"/>
        <w:rPr>
          <w:lang w:val="sq-AL"/>
        </w:rPr>
      </w:pPr>
      <w:r w:rsidRPr="00BA624C">
        <w:rPr>
          <w:lang w:val="sq-AL"/>
        </w:rPr>
        <w:t>“Neni 40</w:t>
      </w:r>
    </w:p>
    <w:p w:rsidR="00E96E6F" w:rsidRPr="00BA624C" w:rsidRDefault="00E96E6F" w:rsidP="00E96E6F">
      <w:pPr>
        <w:pStyle w:val="Paragrafi"/>
        <w:jc w:val="center"/>
        <w:rPr>
          <w:b/>
          <w:lang w:val="sq-AL"/>
        </w:rPr>
      </w:pPr>
      <w:r w:rsidRPr="00BA624C">
        <w:rPr>
          <w:b/>
          <w:lang w:val="sq-AL"/>
        </w:rPr>
        <w:t>Subjektet e tjera</w:t>
      </w:r>
    </w:p>
    <w:p w:rsidR="00E96E6F" w:rsidRPr="00BA624C" w:rsidRDefault="00E96E6F" w:rsidP="00E96E6F">
      <w:pPr>
        <w:pStyle w:val="Paragrafi"/>
        <w:rPr>
          <w:sz w:val="14"/>
          <w:lang w:val="sq-AL"/>
        </w:rPr>
      </w:pPr>
    </w:p>
    <w:p w:rsidR="00E96E6F" w:rsidRPr="00BA624C" w:rsidRDefault="00E96E6F" w:rsidP="00E96E6F">
      <w:pPr>
        <w:pStyle w:val="Paragrafi"/>
        <w:rPr>
          <w:lang w:val="sq-AL"/>
        </w:rPr>
      </w:pPr>
      <w:r w:rsidRPr="00BA624C">
        <w:rPr>
          <w:lang w:val="sq-AL"/>
        </w:rPr>
        <w:tab/>
        <w:t>Nëse një subjekt ka detyrimin e regjistrimit, sipas shkronjës “e”, të</w:t>
      </w:r>
      <w:r>
        <w:rPr>
          <w:lang w:val="sq-AL"/>
        </w:rPr>
        <w:t xml:space="preserve"> </w:t>
      </w:r>
      <w:r w:rsidRPr="00BA624C">
        <w:rPr>
          <w:lang w:val="sq-AL"/>
        </w:rPr>
        <w:t>pikës 1, të nenit 22, të këtij ligji, atëherë mënyra e aplikimit për regjistrimin fillestar dhe të dhënat e detyrueshme për t’u regjistruar nga këto subjekte, sipas seksionit IV, të këtij ligji, përcaktohen nga ligji i posaçëm.”.</w:t>
      </w:r>
    </w:p>
    <w:p w:rsidR="00E96E6F" w:rsidRPr="00BA624C" w:rsidRDefault="00E96E6F" w:rsidP="00E96E6F">
      <w:pPr>
        <w:pStyle w:val="Paragrafi"/>
        <w:jc w:val="center"/>
        <w:rPr>
          <w:spacing w:val="-4"/>
          <w:lang w:val="sq-AL"/>
        </w:rPr>
      </w:pPr>
      <w:r w:rsidRPr="00BA624C">
        <w:rPr>
          <w:spacing w:val="-4"/>
          <w:lang w:val="sq-AL"/>
        </w:rPr>
        <w:t>Neni 21</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Në nenin 43, pika 3, bëhen këto ndryshime:</w:t>
      </w:r>
    </w:p>
    <w:p w:rsidR="00E96E6F" w:rsidRPr="00BA624C" w:rsidRDefault="00E96E6F" w:rsidP="00E96E6F">
      <w:pPr>
        <w:pStyle w:val="Paragrafi"/>
        <w:rPr>
          <w:spacing w:val="-4"/>
          <w:lang w:val="sq-AL"/>
        </w:rPr>
      </w:pPr>
      <w:r w:rsidRPr="00BA624C">
        <w:rPr>
          <w:spacing w:val="-4"/>
          <w:lang w:val="sq-AL"/>
        </w:rPr>
        <w:tab/>
        <w:t xml:space="preserve">1. Shkronja “a” ndryshohet si më poshtë: </w:t>
      </w:r>
    </w:p>
    <w:p w:rsidR="00E96E6F" w:rsidRPr="00BA624C" w:rsidRDefault="00E96E6F" w:rsidP="00E96E6F">
      <w:pPr>
        <w:pStyle w:val="Paragrafi"/>
        <w:rPr>
          <w:spacing w:val="-4"/>
          <w:lang w:val="sq-AL"/>
        </w:rPr>
      </w:pPr>
      <w:r w:rsidRPr="00BA624C">
        <w:rPr>
          <w:spacing w:val="-4"/>
          <w:lang w:val="sq-AL"/>
        </w:rPr>
        <w:tab/>
        <w:t>“a) pasqyrat financiare vjetore, raportin e ecurisë së veprimtarisë dhe raportin e auditimit, të mbajtur sipas kërkesave ligjore, në rastet kur mbajtja e këtyre dokumenteve është e detyrueshme;”.</w:t>
      </w:r>
    </w:p>
    <w:p w:rsidR="00E96E6F" w:rsidRPr="00BA624C" w:rsidRDefault="00E96E6F" w:rsidP="00E96E6F">
      <w:pPr>
        <w:pStyle w:val="Paragrafi"/>
        <w:rPr>
          <w:spacing w:val="-4"/>
          <w:lang w:val="sq-AL"/>
        </w:rPr>
      </w:pPr>
      <w:r w:rsidRPr="00BA624C">
        <w:rPr>
          <w:spacing w:val="-4"/>
          <w:lang w:val="sq-AL"/>
        </w:rPr>
        <w:tab/>
        <w:t>2. Në shkronjën “ç”, fjalët “pushimin e veprimtarisë ekonomike</w:t>
      </w:r>
      <w:r>
        <w:rPr>
          <w:spacing w:val="-4"/>
          <w:lang w:val="sq-AL"/>
        </w:rPr>
        <w:t xml:space="preserve"> </w:t>
      </w:r>
      <w:r w:rsidRPr="00BA624C">
        <w:rPr>
          <w:spacing w:val="-4"/>
          <w:lang w:val="sq-AL"/>
        </w:rPr>
        <w:t>tregtare” hiqen.</w:t>
      </w:r>
    </w:p>
    <w:p w:rsidR="00E96E6F" w:rsidRPr="00BA624C" w:rsidRDefault="00E96E6F" w:rsidP="00E96E6F">
      <w:pPr>
        <w:pStyle w:val="Hapesira7"/>
        <w:rPr>
          <w:spacing w:val="-4"/>
          <w:lang w:val="sq-AL"/>
        </w:rPr>
      </w:pPr>
    </w:p>
    <w:p w:rsidR="00E96E6F" w:rsidRPr="00BA624C" w:rsidRDefault="00E96E6F" w:rsidP="00E96E6F">
      <w:pPr>
        <w:pStyle w:val="Paragrafi"/>
        <w:jc w:val="center"/>
        <w:rPr>
          <w:spacing w:val="-4"/>
          <w:lang w:val="sq-AL"/>
        </w:rPr>
      </w:pPr>
      <w:r w:rsidRPr="00BA624C">
        <w:rPr>
          <w:spacing w:val="-4"/>
          <w:lang w:val="sq-AL"/>
        </w:rPr>
        <w:t>Neni 22</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Në nenin 44, shkronja “ç” ndryshohet si më poshtë:</w:t>
      </w:r>
    </w:p>
    <w:p w:rsidR="00E96E6F" w:rsidRPr="00BA624C" w:rsidRDefault="00E96E6F" w:rsidP="00E96E6F">
      <w:pPr>
        <w:pStyle w:val="Paragrafi"/>
        <w:rPr>
          <w:spacing w:val="-4"/>
          <w:lang w:val="sq-AL"/>
        </w:rPr>
      </w:pPr>
      <w:r w:rsidRPr="00BA624C">
        <w:rPr>
          <w:spacing w:val="-4"/>
          <w:lang w:val="sq-AL"/>
        </w:rPr>
        <w:tab/>
        <w:t>“ç) vendimet e organeve drejtuese të subjektit, si vendimet e pezullimit të veprimtarisë apo vendimet e tjera të ndryshme nga vendimet e detyrueshme për regjistrim;”.</w:t>
      </w:r>
    </w:p>
    <w:p w:rsidR="00E96E6F" w:rsidRPr="00BA624C" w:rsidRDefault="00E96E6F" w:rsidP="00E96E6F">
      <w:pPr>
        <w:pStyle w:val="Paragrafi"/>
        <w:jc w:val="center"/>
        <w:rPr>
          <w:spacing w:val="-4"/>
          <w:lang w:val="sq-AL"/>
        </w:rPr>
      </w:pPr>
      <w:r w:rsidRPr="00BA624C">
        <w:rPr>
          <w:spacing w:val="-4"/>
          <w:lang w:val="sq-AL"/>
        </w:rPr>
        <w:t>Neni 23</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Neni 45 ndryshohet</w:t>
      </w:r>
      <w:r>
        <w:rPr>
          <w:spacing w:val="-4"/>
          <w:lang w:val="sq-AL"/>
        </w:rPr>
        <w:t xml:space="preserve"> </w:t>
      </w:r>
      <w:r w:rsidRPr="00BA624C">
        <w:rPr>
          <w:spacing w:val="-4"/>
          <w:lang w:val="sq-AL"/>
        </w:rPr>
        <w:t>si më poshtë:</w:t>
      </w:r>
    </w:p>
    <w:p w:rsidR="00E96E6F" w:rsidRPr="00BA624C" w:rsidRDefault="00E96E6F" w:rsidP="00E96E6F">
      <w:pPr>
        <w:pStyle w:val="Hapesira7"/>
        <w:rPr>
          <w:spacing w:val="-4"/>
          <w:lang w:val="sq-AL"/>
        </w:rPr>
      </w:pPr>
    </w:p>
    <w:p w:rsidR="00E96E6F" w:rsidRPr="00BA624C" w:rsidRDefault="00E96E6F" w:rsidP="00E96E6F">
      <w:pPr>
        <w:pStyle w:val="Paragrafi"/>
        <w:jc w:val="center"/>
        <w:rPr>
          <w:spacing w:val="-4"/>
          <w:lang w:val="sq-AL"/>
        </w:rPr>
      </w:pPr>
      <w:r w:rsidRPr="00BA624C">
        <w:rPr>
          <w:spacing w:val="-4"/>
          <w:lang w:val="sq-AL"/>
        </w:rPr>
        <w:t>“Neni 45</w:t>
      </w:r>
    </w:p>
    <w:p w:rsidR="00E96E6F" w:rsidRPr="00BA624C" w:rsidRDefault="00E96E6F" w:rsidP="00E96E6F">
      <w:pPr>
        <w:pStyle w:val="Paragrafi"/>
        <w:jc w:val="center"/>
        <w:rPr>
          <w:b/>
          <w:spacing w:val="-4"/>
          <w:lang w:val="sq-AL"/>
        </w:rPr>
      </w:pPr>
      <w:r w:rsidRPr="00BA624C">
        <w:rPr>
          <w:b/>
          <w:spacing w:val="-4"/>
          <w:lang w:val="sq-AL"/>
        </w:rPr>
        <w:t>Regjistrimet me vendim gjyqësor</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 xml:space="preserve">1. QKR-ja regjistron në regjistër dhe publikon, kryesisht ose me kërkesë nga çdo person i </w:t>
      </w:r>
      <w:r w:rsidRPr="00BA624C">
        <w:rPr>
          <w:spacing w:val="-4"/>
          <w:lang w:val="sq-AL"/>
        </w:rPr>
        <w:lastRenderedPageBreak/>
        <w:t>interesuar, vendimet gjyqësore për të dhënat e regjistruara ose veprimtarinë e subjektit.</w:t>
      </w:r>
    </w:p>
    <w:p w:rsidR="00E96E6F" w:rsidRPr="00BA624C" w:rsidRDefault="00E96E6F" w:rsidP="00E96E6F">
      <w:pPr>
        <w:pStyle w:val="Paragrafi"/>
        <w:rPr>
          <w:spacing w:val="-4"/>
          <w:lang w:val="sq-AL"/>
        </w:rPr>
      </w:pPr>
      <w:r w:rsidRPr="00BA624C">
        <w:rPr>
          <w:spacing w:val="-4"/>
          <w:lang w:val="sq-AL"/>
        </w:rPr>
        <w:tab/>
        <w:t>2. Kërkesës për regjistrime nga personat e interesuar i bashkëlidhet vendimi përkatës. Regjistrimi kryhet brenda afatit njëditor nga dita kur QKR-së i njoftohet vendimi përkatës ose nga data e paraqitjes së kërkesës së palës së interesuar.”.</w:t>
      </w:r>
    </w:p>
    <w:p w:rsidR="00E96E6F" w:rsidRPr="00BA624C" w:rsidRDefault="00E96E6F" w:rsidP="00E96E6F">
      <w:pPr>
        <w:pStyle w:val="Paragrafi"/>
        <w:jc w:val="center"/>
        <w:rPr>
          <w:spacing w:val="-4"/>
          <w:sz w:val="14"/>
          <w:lang w:val="sq-AL"/>
        </w:rPr>
      </w:pPr>
    </w:p>
    <w:p w:rsidR="00E96E6F" w:rsidRPr="00BA624C" w:rsidRDefault="00E96E6F" w:rsidP="00E96E6F">
      <w:pPr>
        <w:pStyle w:val="Paragrafi"/>
        <w:jc w:val="center"/>
        <w:rPr>
          <w:spacing w:val="-4"/>
          <w:lang w:val="sq-AL"/>
        </w:rPr>
      </w:pPr>
      <w:r w:rsidRPr="00BA624C">
        <w:rPr>
          <w:spacing w:val="-4"/>
          <w:lang w:val="sq-AL"/>
        </w:rPr>
        <w:t>Neni 24</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Neni 46 ndryshohet si më poshtë:</w:t>
      </w:r>
    </w:p>
    <w:p w:rsidR="00E96E6F" w:rsidRPr="00BA624C" w:rsidRDefault="00E96E6F" w:rsidP="00E96E6F">
      <w:pPr>
        <w:pStyle w:val="Hapesira7"/>
        <w:rPr>
          <w:spacing w:val="-4"/>
          <w:lang w:val="sq-AL"/>
        </w:rPr>
      </w:pPr>
    </w:p>
    <w:p w:rsidR="00E96E6F" w:rsidRPr="00BA624C" w:rsidRDefault="00E96E6F" w:rsidP="00E96E6F">
      <w:pPr>
        <w:pStyle w:val="Paragrafi"/>
        <w:jc w:val="center"/>
        <w:rPr>
          <w:spacing w:val="-4"/>
          <w:lang w:val="sq-AL"/>
        </w:rPr>
      </w:pPr>
      <w:r w:rsidRPr="00BA624C">
        <w:rPr>
          <w:spacing w:val="-4"/>
          <w:lang w:val="sq-AL"/>
        </w:rPr>
        <w:t>“Neni 46</w:t>
      </w:r>
    </w:p>
    <w:p w:rsidR="00E96E6F" w:rsidRPr="00BA624C" w:rsidRDefault="00E96E6F" w:rsidP="00E96E6F">
      <w:pPr>
        <w:pStyle w:val="Paragrafi"/>
        <w:jc w:val="center"/>
        <w:rPr>
          <w:b/>
          <w:spacing w:val="-4"/>
          <w:lang w:val="sq-AL"/>
        </w:rPr>
      </w:pPr>
      <w:r w:rsidRPr="00BA624C">
        <w:rPr>
          <w:b/>
          <w:spacing w:val="-4"/>
          <w:lang w:val="sq-AL"/>
        </w:rPr>
        <w:t>Regjistrimi i pasqyrave financiare</w:t>
      </w:r>
    </w:p>
    <w:p w:rsidR="00E96E6F" w:rsidRPr="00BA624C" w:rsidRDefault="00E96E6F" w:rsidP="00E96E6F">
      <w:pPr>
        <w:pStyle w:val="Paragrafi"/>
        <w:rPr>
          <w:spacing w:val="-4"/>
          <w:lang w:val="sq-AL"/>
        </w:rPr>
      </w:pPr>
    </w:p>
    <w:p w:rsidR="00E96E6F" w:rsidRPr="00BA624C" w:rsidRDefault="00E96E6F" w:rsidP="00E96E6F">
      <w:pPr>
        <w:pStyle w:val="Paragrafi"/>
        <w:rPr>
          <w:spacing w:val="-4"/>
          <w:lang w:val="sq-AL"/>
        </w:rPr>
      </w:pPr>
      <w:r w:rsidRPr="00BA624C">
        <w:rPr>
          <w:spacing w:val="-4"/>
          <w:lang w:val="sq-AL"/>
        </w:rPr>
        <w:tab/>
        <w:t>1. Subjektet, që kanë detyrimin e hartimit të dokumenteve, sipas shkronjës “a”, të pikës 3, të nenit 43, të këtij ligji, dhe që nuk i kanë depozituar më parë,në përputhje me afatin e parashikuar në pikën 5, të nenit 22, të këtij ligji, detyrohen në çdo rast t’i depozitojnë këto dokumente jo më vonë se 7 muaj nga data e mbylljes së çdo viti financiar.</w:t>
      </w:r>
    </w:p>
    <w:p w:rsidR="00E96E6F" w:rsidRPr="00BA624C" w:rsidRDefault="00E96E6F" w:rsidP="00E96E6F">
      <w:pPr>
        <w:pStyle w:val="Paragrafi"/>
        <w:rPr>
          <w:spacing w:val="-4"/>
          <w:lang w:val="sq-AL"/>
        </w:rPr>
      </w:pPr>
      <w:r w:rsidRPr="00BA624C">
        <w:rPr>
          <w:spacing w:val="-4"/>
          <w:lang w:val="sq-AL"/>
        </w:rPr>
        <w:tab/>
        <w:t>2. Nëse një subjekt nuk përmbush detyrimin, sipas këtij neni, atëherë QKR-ja, së bashku me zbatimin e sanksionit të parashikuar në pikën 3, të nenit 74, të këtij ligji, vepron në përputhje me parashikimet e shkronjës “ë”, të nenit 54, të këtij ligji.”.</w:t>
      </w:r>
    </w:p>
    <w:p w:rsidR="00E96E6F" w:rsidRPr="00BA624C" w:rsidRDefault="00E96E6F" w:rsidP="00E96E6F">
      <w:pPr>
        <w:pStyle w:val="Paragrafi"/>
        <w:jc w:val="center"/>
        <w:rPr>
          <w:spacing w:val="-4"/>
          <w:lang w:val="sq-AL"/>
        </w:rPr>
      </w:pPr>
      <w:r w:rsidRPr="00BA624C">
        <w:rPr>
          <w:spacing w:val="-4"/>
          <w:lang w:val="sq-AL"/>
        </w:rPr>
        <w:t>Neni 25</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Neni 47 shfuqizohet.</w:t>
      </w:r>
    </w:p>
    <w:p w:rsidR="00E96E6F" w:rsidRPr="00BA624C" w:rsidRDefault="00E96E6F" w:rsidP="00E96E6F">
      <w:pPr>
        <w:pStyle w:val="Paragrafi"/>
        <w:jc w:val="center"/>
        <w:rPr>
          <w:spacing w:val="-4"/>
          <w:sz w:val="8"/>
          <w:lang w:val="sq-AL"/>
        </w:rPr>
      </w:pPr>
    </w:p>
    <w:p w:rsidR="00E96E6F" w:rsidRPr="00BA624C" w:rsidRDefault="00E96E6F" w:rsidP="00E96E6F">
      <w:pPr>
        <w:pStyle w:val="Paragrafi"/>
        <w:jc w:val="center"/>
        <w:rPr>
          <w:spacing w:val="-4"/>
          <w:lang w:val="sq-AL"/>
        </w:rPr>
      </w:pPr>
      <w:r w:rsidRPr="00BA624C">
        <w:rPr>
          <w:spacing w:val="-4"/>
          <w:lang w:val="sq-AL"/>
        </w:rPr>
        <w:t>Neni 26</w:t>
      </w:r>
    </w:p>
    <w:p w:rsidR="00E96E6F" w:rsidRPr="00BA624C" w:rsidRDefault="00E96E6F" w:rsidP="00E96E6F">
      <w:pPr>
        <w:pStyle w:val="Hapesira7"/>
        <w:rPr>
          <w:spacing w:val="-4"/>
          <w:sz w:val="10"/>
          <w:lang w:val="sq-AL"/>
        </w:rPr>
      </w:pPr>
    </w:p>
    <w:p w:rsidR="00E96E6F" w:rsidRPr="00BA624C" w:rsidRDefault="00E96E6F" w:rsidP="00E96E6F">
      <w:pPr>
        <w:pStyle w:val="Paragrafi"/>
        <w:rPr>
          <w:spacing w:val="-4"/>
          <w:lang w:val="sq-AL"/>
        </w:rPr>
      </w:pPr>
      <w:r w:rsidRPr="00BA624C">
        <w:rPr>
          <w:spacing w:val="-4"/>
          <w:lang w:val="sq-AL"/>
        </w:rPr>
        <w:tab/>
        <w:t>Në nenin 49 bëhen këto ndryshime:</w:t>
      </w:r>
    </w:p>
    <w:p w:rsidR="00E96E6F" w:rsidRPr="00BA624C" w:rsidRDefault="00E96E6F" w:rsidP="00E96E6F">
      <w:pPr>
        <w:pStyle w:val="Paragrafi"/>
        <w:rPr>
          <w:spacing w:val="-4"/>
          <w:lang w:val="sq-AL"/>
        </w:rPr>
      </w:pPr>
      <w:r w:rsidRPr="00BA624C">
        <w:rPr>
          <w:spacing w:val="-4"/>
          <w:lang w:val="sq-AL"/>
        </w:rPr>
        <w:tab/>
        <w:t>1. Paragrafi</w:t>
      </w:r>
      <w:r>
        <w:rPr>
          <w:spacing w:val="-4"/>
          <w:lang w:val="sq-AL"/>
        </w:rPr>
        <w:t xml:space="preserve"> </w:t>
      </w:r>
      <w:r w:rsidRPr="00BA624C">
        <w:rPr>
          <w:spacing w:val="-4"/>
          <w:lang w:val="sq-AL"/>
        </w:rPr>
        <w:t>i parë</w:t>
      </w:r>
      <w:r>
        <w:rPr>
          <w:spacing w:val="-4"/>
          <w:lang w:val="sq-AL"/>
        </w:rPr>
        <w:t xml:space="preserve"> </w:t>
      </w:r>
      <w:r w:rsidRPr="00BA624C">
        <w:rPr>
          <w:spacing w:val="-4"/>
          <w:lang w:val="sq-AL"/>
        </w:rPr>
        <w:t xml:space="preserve">ndryshohet si më poshtë: </w:t>
      </w:r>
    </w:p>
    <w:p w:rsidR="00E96E6F" w:rsidRPr="00BA624C" w:rsidRDefault="00E96E6F" w:rsidP="00E96E6F">
      <w:pPr>
        <w:pStyle w:val="Paragrafi"/>
        <w:rPr>
          <w:spacing w:val="-4"/>
          <w:lang w:val="sq-AL"/>
        </w:rPr>
      </w:pPr>
      <w:r w:rsidRPr="00BA624C">
        <w:rPr>
          <w:spacing w:val="-4"/>
          <w:lang w:val="sq-AL"/>
        </w:rPr>
        <w:tab/>
        <w:t>“Për personat fizikë dhe për subjektet e tjera, në rastet kur ligji nuk parashikon procedura likuidimi në lidhje me to, çregjistrimi në mënyrë vullnetare kryhet nëpërmjet aplikimit për çregjistrim.”.</w:t>
      </w:r>
    </w:p>
    <w:p w:rsidR="00E96E6F" w:rsidRPr="00BA624C" w:rsidRDefault="00E96E6F" w:rsidP="00E96E6F">
      <w:pPr>
        <w:pStyle w:val="Paragrafi"/>
        <w:rPr>
          <w:spacing w:val="-4"/>
          <w:lang w:val="sq-AL"/>
        </w:rPr>
      </w:pPr>
      <w:r w:rsidRPr="00BA624C">
        <w:rPr>
          <w:spacing w:val="-4"/>
          <w:lang w:val="sq-AL"/>
        </w:rPr>
        <w:tab/>
        <w:t>2. Në paragrafin e dytë, fjalët  “për shoqëritë e thjeshta” zëvendësohen me fjalët “për shoqëritë e thjeshta dhe për subjektet e tjera, për të cilat ligji parashikon procedura likuidimi”.</w:t>
      </w:r>
    </w:p>
    <w:p w:rsidR="00E96E6F" w:rsidRPr="00BA624C" w:rsidRDefault="00E96E6F" w:rsidP="00E96E6F">
      <w:pPr>
        <w:pStyle w:val="Hapesira7"/>
        <w:rPr>
          <w:spacing w:val="-4"/>
          <w:sz w:val="10"/>
          <w:lang w:val="sq-AL"/>
        </w:rPr>
      </w:pPr>
    </w:p>
    <w:p w:rsidR="00E96E6F" w:rsidRPr="00BA624C" w:rsidRDefault="00E96E6F" w:rsidP="00E96E6F">
      <w:pPr>
        <w:pStyle w:val="Paragrafi"/>
        <w:jc w:val="center"/>
        <w:rPr>
          <w:spacing w:val="-4"/>
          <w:lang w:val="sq-AL"/>
        </w:rPr>
      </w:pPr>
      <w:r w:rsidRPr="00BA624C">
        <w:rPr>
          <w:spacing w:val="-4"/>
          <w:lang w:val="sq-AL"/>
        </w:rPr>
        <w:t>Neni 27</w:t>
      </w:r>
    </w:p>
    <w:p w:rsidR="00E96E6F" w:rsidRPr="00BA624C" w:rsidRDefault="00E96E6F" w:rsidP="00E96E6F">
      <w:pPr>
        <w:pStyle w:val="Hapesira7"/>
        <w:rPr>
          <w:spacing w:val="-4"/>
          <w:sz w:val="10"/>
          <w:lang w:val="sq-AL"/>
        </w:rPr>
      </w:pPr>
    </w:p>
    <w:p w:rsidR="00E96E6F" w:rsidRPr="00BA624C" w:rsidRDefault="00E96E6F" w:rsidP="00E96E6F">
      <w:pPr>
        <w:pStyle w:val="Paragrafi"/>
        <w:rPr>
          <w:spacing w:val="-4"/>
          <w:lang w:val="sq-AL"/>
        </w:rPr>
      </w:pPr>
      <w:r w:rsidRPr="00BA624C">
        <w:rPr>
          <w:spacing w:val="-4"/>
          <w:lang w:val="sq-AL"/>
        </w:rPr>
        <w:tab/>
        <w:t>Neni 51 ndryshohet si më poshtë:</w:t>
      </w:r>
    </w:p>
    <w:p w:rsidR="00E96E6F" w:rsidRPr="00BA624C" w:rsidRDefault="00E96E6F" w:rsidP="00E96E6F">
      <w:pPr>
        <w:pStyle w:val="Hapesira7"/>
        <w:rPr>
          <w:spacing w:val="-4"/>
          <w:lang w:val="sq-AL"/>
        </w:rPr>
      </w:pPr>
    </w:p>
    <w:p w:rsidR="00E96E6F" w:rsidRPr="00BA624C" w:rsidRDefault="00E96E6F" w:rsidP="00E96E6F">
      <w:pPr>
        <w:pStyle w:val="Paragrafi"/>
        <w:jc w:val="center"/>
        <w:rPr>
          <w:spacing w:val="-4"/>
          <w:lang w:val="sq-AL"/>
        </w:rPr>
      </w:pPr>
      <w:r w:rsidRPr="00BA624C">
        <w:rPr>
          <w:spacing w:val="-4"/>
          <w:lang w:val="sq-AL"/>
        </w:rPr>
        <w:t>“Neni 51</w:t>
      </w:r>
    </w:p>
    <w:p w:rsidR="00E96E6F" w:rsidRPr="00BA624C" w:rsidRDefault="00E96E6F" w:rsidP="00E96E6F">
      <w:pPr>
        <w:pStyle w:val="Paragrafi"/>
        <w:jc w:val="center"/>
        <w:rPr>
          <w:b/>
          <w:spacing w:val="-4"/>
          <w:lang w:val="sq-AL"/>
        </w:rPr>
      </w:pPr>
      <w:r w:rsidRPr="00BA624C">
        <w:rPr>
          <w:b/>
          <w:spacing w:val="-4"/>
          <w:lang w:val="sq-AL"/>
        </w:rPr>
        <w:t>Çregjistrimi me vendim gjyqësor</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Subjekti mund të çregjistrohet në bazë të një vendimi gjyqësor të formës së prerë që vendos se subjekti prishet, mbaron apo nuk mund të ushtrojë më veprimtari.</w:t>
      </w:r>
    </w:p>
    <w:p w:rsidR="00E96E6F" w:rsidRPr="00BA624C" w:rsidRDefault="00E96E6F" w:rsidP="00E96E6F">
      <w:pPr>
        <w:pStyle w:val="Paragrafi"/>
        <w:rPr>
          <w:spacing w:val="-4"/>
          <w:lang w:val="sq-AL"/>
        </w:rPr>
      </w:pPr>
      <w:r w:rsidRPr="00BA624C">
        <w:rPr>
          <w:spacing w:val="-4"/>
          <w:lang w:val="sq-AL"/>
        </w:rPr>
        <w:tab/>
        <w:t>QKR-ja çregjistron kryesisht subjektin në bazë të vendimit gjyqësor përkatës, me anë të të cilit vendoset çregjistrimi i subjektit në vijim të ndjekjes së procedurave të likuidimit në rrugë gjyqësore, në rastet kur ligji parashikon procedura likuidimi për këto subjekte, ose në vijim të ndjekjes së procedurave të falimentimit apo të procedurave të tjera që mund të kërkohen sipas ligjit.”.</w:t>
      </w:r>
    </w:p>
    <w:p w:rsidR="00E96E6F" w:rsidRPr="00BA624C" w:rsidRDefault="00E96E6F" w:rsidP="00E96E6F">
      <w:pPr>
        <w:pStyle w:val="Hapesira7"/>
        <w:rPr>
          <w:spacing w:val="-4"/>
          <w:lang w:val="sq-AL"/>
        </w:rPr>
      </w:pPr>
    </w:p>
    <w:p w:rsidR="00E96E6F" w:rsidRPr="00BA624C" w:rsidRDefault="00E96E6F" w:rsidP="00E96E6F">
      <w:pPr>
        <w:pStyle w:val="Paragrafi"/>
        <w:jc w:val="center"/>
        <w:rPr>
          <w:spacing w:val="-4"/>
          <w:lang w:val="sq-AL"/>
        </w:rPr>
      </w:pPr>
      <w:r w:rsidRPr="00BA624C">
        <w:rPr>
          <w:spacing w:val="-4"/>
          <w:lang w:val="sq-AL"/>
        </w:rPr>
        <w:t>Neni 28</w:t>
      </w:r>
    </w:p>
    <w:p w:rsidR="00E96E6F" w:rsidRPr="00BA624C" w:rsidRDefault="00E96E6F" w:rsidP="00E96E6F">
      <w:pPr>
        <w:pStyle w:val="Paragrafi"/>
        <w:jc w:val="center"/>
        <w:rPr>
          <w:b/>
          <w:spacing w:val="-4"/>
          <w:sz w:val="10"/>
          <w:lang w:val="sq-AL"/>
        </w:rPr>
      </w:pPr>
    </w:p>
    <w:p w:rsidR="00E96E6F" w:rsidRPr="00BA624C" w:rsidRDefault="00E96E6F" w:rsidP="00E96E6F">
      <w:pPr>
        <w:pStyle w:val="Paragrafi"/>
        <w:jc w:val="left"/>
        <w:rPr>
          <w:spacing w:val="-4"/>
          <w:lang w:val="sq-AL"/>
        </w:rPr>
      </w:pPr>
      <w:r w:rsidRPr="00BA624C">
        <w:rPr>
          <w:spacing w:val="-4"/>
          <w:lang w:val="sq-AL"/>
        </w:rPr>
        <w:t>Në nenin 54 bëhen këto ndryshime:</w:t>
      </w:r>
    </w:p>
    <w:p w:rsidR="00E96E6F" w:rsidRPr="00BA624C" w:rsidRDefault="00E96E6F" w:rsidP="00E96E6F">
      <w:pPr>
        <w:pStyle w:val="Paragrafi"/>
        <w:rPr>
          <w:spacing w:val="-4"/>
          <w:lang w:val="sq-AL"/>
        </w:rPr>
      </w:pPr>
      <w:r w:rsidRPr="00BA624C">
        <w:rPr>
          <w:spacing w:val="-4"/>
          <w:lang w:val="sq-AL"/>
        </w:rPr>
        <w:tab/>
        <w:t>1. Në pikën 1, shkronja “ë” ndryshohet si më poshtë:</w:t>
      </w:r>
    </w:p>
    <w:p w:rsidR="00E96E6F" w:rsidRPr="00BA624C" w:rsidRDefault="00E96E6F" w:rsidP="00E96E6F">
      <w:pPr>
        <w:pStyle w:val="Paragrafi"/>
        <w:rPr>
          <w:lang w:val="sq-AL"/>
        </w:rPr>
      </w:pPr>
      <w:r w:rsidRPr="00BA624C">
        <w:rPr>
          <w:spacing w:val="-4"/>
          <w:lang w:val="sq-AL"/>
        </w:rPr>
        <w:tab/>
        <w:t xml:space="preserve">“ë) faktin nëse aplikuesi ka shlyer sanksionet </w:t>
      </w:r>
      <w:r w:rsidRPr="00BA624C">
        <w:rPr>
          <w:lang w:val="sq-AL"/>
        </w:rPr>
        <w:t>administrative të dhëna dhe ka kryer regjistrimet e kërkuara sipas nenit 46.”.</w:t>
      </w:r>
    </w:p>
    <w:p w:rsidR="00E96E6F" w:rsidRPr="00BA624C" w:rsidRDefault="00E96E6F" w:rsidP="00E96E6F">
      <w:pPr>
        <w:pStyle w:val="Paragrafi"/>
        <w:rPr>
          <w:lang w:val="sq-AL"/>
        </w:rPr>
      </w:pPr>
      <w:r w:rsidRPr="00BA624C">
        <w:rPr>
          <w:lang w:val="sq-AL"/>
        </w:rPr>
        <w:tab/>
        <w:t xml:space="preserve">2. Në pikën 2, pas fjalëve “që i bashkëlidhen aplikimit për regjistrim” shtohen fjalët “apo </w:t>
      </w:r>
      <w:r w:rsidRPr="00BA624C">
        <w:rPr>
          <w:lang w:val="sq-AL"/>
        </w:rPr>
        <w:lastRenderedPageBreak/>
        <w:t>përputhshmërinë e përmbajtjes së tyre me kërkesat e ligjit në fuqi”.</w:t>
      </w:r>
    </w:p>
    <w:p w:rsidR="00E96E6F" w:rsidRPr="00BA624C" w:rsidRDefault="00E96E6F" w:rsidP="00E96E6F">
      <w:pPr>
        <w:pStyle w:val="Hapesira7"/>
        <w:rPr>
          <w:lang w:val="sq-AL"/>
        </w:rPr>
      </w:pPr>
    </w:p>
    <w:p w:rsidR="00E96E6F" w:rsidRPr="00BA624C" w:rsidRDefault="00E96E6F" w:rsidP="00E96E6F">
      <w:pPr>
        <w:pStyle w:val="Paragrafi"/>
        <w:jc w:val="center"/>
        <w:rPr>
          <w:lang w:val="sq-AL"/>
        </w:rPr>
      </w:pPr>
      <w:r w:rsidRPr="00BA624C">
        <w:rPr>
          <w:lang w:val="sq-AL"/>
        </w:rPr>
        <w:t>Neni 29</w:t>
      </w:r>
    </w:p>
    <w:p w:rsidR="00E96E6F" w:rsidRPr="00BA624C" w:rsidRDefault="00E96E6F" w:rsidP="00E96E6F">
      <w:pPr>
        <w:pStyle w:val="Hapesira7"/>
        <w:rPr>
          <w:lang w:val="sq-AL"/>
        </w:rPr>
      </w:pPr>
    </w:p>
    <w:p w:rsidR="00E96E6F" w:rsidRPr="00BA624C" w:rsidRDefault="00E96E6F" w:rsidP="00E96E6F">
      <w:pPr>
        <w:pStyle w:val="Paragrafi"/>
        <w:jc w:val="left"/>
        <w:rPr>
          <w:lang w:val="sq-AL"/>
        </w:rPr>
      </w:pPr>
      <w:r w:rsidRPr="00BA624C">
        <w:rPr>
          <w:lang w:val="sq-AL"/>
        </w:rPr>
        <w:t>Në nenin 56, paragrafi i parë, ndryshohet si më poshtë:</w:t>
      </w:r>
    </w:p>
    <w:p w:rsidR="00E96E6F" w:rsidRPr="00BA624C" w:rsidRDefault="00E96E6F" w:rsidP="00E96E6F">
      <w:pPr>
        <w:pStyle w:val="Paragrafi"/>
        <w:rPr>
          <w:lang w:val="sq-AL"/>
        </w:rPr>
      </w:pPr>
      <w:r w:rsidRPr="00BA624C">
        <w:rPr>
          <w:lang w:val="sq-AL"/>
        </w:rPr>
        <w:tab/>
        <w:t>“Në rastet kur pas verifikimeve të parashikuara në nenin 54, të këtij ligji, rezulton se nuk janë përmbushur kushtet për regjistrim, nuk janë paguar tarifat përkatëse të regjistrimit, ka sanksione administrative të papaguara apo nuk janë kryer regjistrimet e kërkuara, sipas nenit 46, QKR-ja pezullon aplikimin dhe e njofton aplikuesin me shkrim për shkakun e saktë të pezullimit, duke i dhënë një afat prej 21ditësh kalendarike për plotësimin ose ndreqjen e elementeve që pengojnë regjistrimin. Njoftimi i shkakut të pezullimit bëhet nëpërmjet një formulari standard të QKR-së.”.</w:t>
      </w:r>
    </w:p>
    <w:p w:rsidR="00E96E6F" w:rsidRPr="00BA624C" w:rsidRDefault="00E96E6F" w:rsidP="00E96E6F">
      <w:pPr>
        <w:pStyle w:val="Paragrafi"/>
        <w:jc w:val="center"/>
        <w:rPr>
          <w:sz w:val="14"/>
          <w:lang w:val="sq-AL"/>
        </w:rPr>
      </w:pPr>
    </w:p>
    <w:p w:rsidR="00E96E6F" w:rsidRPr="00BA624C" w:rsidRDefault="00E96E6F" w:rsidP="00E96E6F">
      <w:pPr>
        <w:pStyle w:val="Paragrafi"/>
        <w:jc w:val="center"/>
        <w:rPr>
          <w:lang w:val="sq-AL"/>
        </w:rPr>
      </w:pPr>
      <w:r w:rsidRPr="00BA624C">
        <w:rPr>
          <w:lang w:val="sq-AL"/>
        </w:rPr>
        <w:t>Neni 30</w:t>
      </w:r>
    </w:p>
    <w:p w:rsidR="00E96E6F" w:rsidRPr="00BA624C" w:rsidRDefault="00E96E6F" w:rsidP="00E96E6F">
      <w:pPr>
        <w:pStyle w:val="Hapesira7"/>
        <w:rPr>
          <w:lang w:val="sq-AL"/>
        </w:rPr>
      </w:pPr>
    </w:p>
    <w:p w:rsidR="00E96E6F" w:rsidRPr="00BA624C" w:rsidRDefault="00E96E6F" w:rsidP="00E96E6F">
      <w:pPr>
        <w:pStyle w:val="Paragrafi"/>
        <w:rPr>
          <w:lang w:val="sq-AL"/>
        </w:rPr>
      </w:pPr>
      <w:r w:rsidRPr="00BA624C">
        <w:rPr>
          <w:lang w:val="sq-AL"/>
        </w:rPr>
        <w:tab/>
        <w:t>Në nenin 59 bëhen ndryshimi dhe shtesat e mëposhtme:</w:t>
      </w:r>
    </w:p>
    <w:p w:rsidR="00E96E6F" w:rsidRPr="00BA624C" w:rsidRDefault="00E96E6F" w:rsidP="00E96E6F">
      <w:pPr>
        <w:pStyle w:val="Paragrafi"/>
        <w:rPr>
          <w:lang w:val="sq-AL"/>
        </w:rPr>
      </w:pPr>
      <w:r w:rsidRPr="00BA624C">
        <w:rPr>
          <w:lang w:val="sq-AL"/>
        </w:rPr>
        <w:tab/>
        <w:t>1. Në pikën 1, fjalët“autoriteteve tatimore” zëvendësohen me fjalët “administratës tatimore, qendrore dhe vendore,”.</w:t>
      </w:r>
    </w:p>
    <w:p w:rsidR="00E96E6F" w:rsidRPr="00BA624C" w:rsidRDefault="00E96E6F" w:rsidP="00E96E6F">
      <w:pPr>
        <w:pStyle w:val="Paragrafi"/>
        <w:rPr>
          <w:lang w:val="sq-AL"/>
        </w:rPr>
      </w:pPr>
      <w:r w:rsidRPr="00BA624C">
        <w:rPr>
          <w:lang w:val="sq-AL"/>
        </w:rPr>
        <w:tab/>
        <w:t>2. Pas pikës 2 shtohen pikat 3 dhe 4 me këtë përmbajtje:</w:t>
      </w:r>
    </w:p>
    <w:p w:rsidR="00E96E6F" w:rsidRPr="00BA624C" w:rsidRDefault="00E96E6F" w:rsidP="00E96E6F">
      <w:pPr>
        <w:pStyle w:val="Paragrafi"/>
        <w:rPr>
          <w:lang w:val="sq-AL"/>
        </w:rPr>
      </w:pPr>
      <w:r w:rsidRPr="00BA624C">
        <w:rPr>
          <w:lang w:val="sq-AL"/>
        </w:rPr>
        <w:tab/>
        <w:t>3. Me përjashtim të rasteve kur ligji shprehimisht kushtëzon nisjen e veprimtarisë përkatëse me marrjen e një lejeje, licence apo autorizimi, subjekti i pajisur nga QKR-ja me certifikatën e regjistrimit fillestar ka të drejtë të nisë menjëherë veprimtarinë e tij.</w:t>
      </w:r>
    </w:p>
    <w:p w:rsidR="00E96E6F" w:rsidRPr="00BA624C" w:rsidRDefault="00E96E6F" w:rsidP="00E96E6F">
      <w:pPr>
        <w:pStyle w:val="Paragrafi"/>
        <w:rPr>
          <w:lang w:val="sq-AL"/>
        </w:rPr>
      </w:pPr>
      <w:r w:rsidRPr="00BA624C">
        <w:rPr>
          <w:lang w:val="sq-AL"/>
        </w:rPr>
        <w:tab/>
        <w:t>4. Me përjashtim të rasteve kur ligji shprehimisht kushtëzon nisjen e veprimtarisë përkatëse me marrjen e një lejeje, licence apo autorizimi, asnjë autoritet publik nuk mund ta pengojë subjektin të nisë veprimtarinë, menjëherë pasi është pajisur nga QKR-ja me certifikatën e regjistrimit fillestar dhe as ta penalizojë atë, në asnjë formë, për shkak të kërkesave për kryerjen paraprakisht të deklarimeve, regjistrimeve, certifikimeve apo të ndonjë veprimi tjetër, që mund të kërkohen, sipas praktikës administrative apo kuadrit ligjor. Autoriteti publik, që pengon nisjen e veprimtarisë së subjektit, sipas këtij neni, përgjigjet sipas ligjit për dëmin jashtë</w:t>
      </w:r>
      <w:r>
        <w:rPr>
          <w:lang w:val="sq-AL"/>
        </w:rPr>
        <w:t xml:space="preserve"> </w:t>
      </w:r>
      <w:r w:rsidRPr="00BA624C">
        <w:rPr>
          <w:lang w:val="sq-AL"/>
        </w:rPr>
        <w:t>kontraktor të administratës publike.”.</w:t>
      </w:r>
    </w:p>
    <w:p w:rsidR="00E96E6F" w:rsidRPr="00BA624C" w:rsidRDefault="00E96E6F" w:rsidP="00E96E6F">
      <w:pPr>
        <w:pStyle w:val="Hapesira7"/>
        <w:rPr>
          <w:lang w:val="sq-AL"/>
        </w:rPr>
      </w:pPr>
    </w:p>
    <w:p w:rsidR="00E96E6F" w:rsidRPr="00BA624C" w:rsidRDefault="00E96E6F" w:rsidP="00E96E6F">
      <w:pPr>
        <w:pStyle w:val="Paragrafi"/>
        <w:jc w:val="center"/>
        <w:rPr>
          <w:lang w:val="sq-AL"/>
        </w:rPr>
      </w:pPr>
      <w:r w:rsidRPr="00BA624C">
        <w:rPr>
          <w:lang w:val="sq-AL"/>
        </w:rPr>
        <w:t>Neni 31</w:t>
      </w:r>
    </w:p>
    <w:p w:rsidR="00E96E6F" w:rsidRPr="00BA624C" w:rsidRDefault="00E96E6F" w:rsidP="00E96E6F">
      <w:pPr>
        <w:pStyle w:val="Paragrafi"/>
        <w:jc w:val="left"/>
        <w:rPr>
          <w:lang w:val="sq-AL"/>
        </w:rPr>
      </w:pPr>
      <w:r w:rsidRPr="00BA624C">
        <w:rPr>
          <w:lang w:val="sq-AL"/>
        </w:rPr>
        <w:t>Neni 66 ndryshohet si më poshtë:</w:t>
      </w:r>
    </w:p>
    <w:p w:rsidR="00E96E6F" w:rsidRPr="00BA624C" w:rsidRDefault="00E96E6F" w:rsidP="00E96E6F">
      <w:pPr>
        <w:pStyle w:val="Hapesira7"/>
        <w:rPr>
          <w:lang w:val="sq-AL"/>
        </w:rPr>
      </w:pPr>
    </w:p>
    <w:p w:rsidR="00E96E6F" w:rsidRPr="00BA624C" w:rsidRDefault="00E96E6F" w:rsidP="00E96E6F">
      <w:pPr>
        <w:pStyle w:val="Paragrafi"/>
        <w:jc w:val="center"/>
        <w:rPr>
          <w:lang w:val="sq-AL"/>
        </w:rPr>
      </w:pPr>
      <w:r w:rsidRPr="00BA624C">
        <w:rPr>
          <w:lang w:val="sq-AL"/>
        </w:rPr>
        <w:t>“Neni 66</w:t>
      </w:r>
    </w:p>
    <w:p w:rsidR="00E96E6F" w:rsidRPr="00BA624C" w:rsidRDefault="00E96E6F" w:rsidP="00E96E6F">
      <w:pPr>
        <w:pStyle w:val="Paragrafi"/>
        <w:jc w:val="center"/>
        <w:rPr>
          <w:b/>
          <w:lang w:val="sq-AL"/>
        </w:rPr>
      </w:pPr>
      <w:r w:rsidRPr="00BA624C">
        <w:rPr>
          <w:b/>
          <w:lang w:val="sq-AL"/>
        </w:rPr>
        <w:t>Kërkimet në bazën e të dhënave</w:t>
      </w:r>
    </w:p>
    <w:p w:rsidR="00E96E6F" w:rsidRPr="00BA624C" w:rsidRDefault="00E96E6F" w:rsidP="00E96E6F">
      <w:pPr>
        <w:pStyle w:val="Hapesira7"/>
        <w:rPr>
          <w:lang w:val="sq-AL"/>
        </w:rPr>
      </w:pPr>
    </w:p>
    <w:p w:rsidR="00E96E6F" w:rsidRPr="00BA624C" w:rsidRDefault="00E96E6F" w:rsidP="00E96E6F">
      <w:pPr>
        <w:pStyle w:val="Paragrafi"/>
        <w:rPr>
          <w:lang w:val="sq-AL"/>
        </w:rPr>
      </w:pPr>
      <w:r w:rsidRPr="00BA624C">
        <w:rPr>
          <w:lang w:val="sq-AL"/>
        </w:rPr>
        <w:tab/>
        <w:t>Çdo person i interesuar mund të kryejë, sipas këtij ligji, pa pagesë, pranë çdo sporteli shërbimi, kërkime në bazën e të dhënave elektronike për çdo të dhënë të regjistruar, me përjashtim të adresës së banimit të individëve.”.</w:t>
      </w:r>
    </w:p>
    <w:p w:rsidR="00E96E6F" w:rsidRPr="00BA624C" w:rsidRDefault="00E96E6F" w:rsidP="00E96E6F">
      <w:pPr>
        <w:pStyle w:val="Hapesira7"/>
        <w:rPr>
          <w:lang w:val="sq-AL"/>
        </w:rPr>
      </w:pPr>
    </w:p>
    <w:p w:rsidR="00E96E6F" w:rsidRPr="00BA624C" w:rsidRDefault="00E96E6F" w:rsidP="00E96E6F">
      <w:pPr>
        <w:pStyle w:val="Paragrafi"/>
        <w:jc w:val="center"/>
        <w:rPr>
          <w:lang w:val="sq-AL"/>
        </w:rPr>
      </w:pPr>
      <w:r w:rsidRPr="00BA624C">
        <w:rPr>
          <w:lang w:val="sq-AL"/>
        </w:rPr>
        <w:t>Neni 32</w:t>
      </w:r>
    </w:p>
    <w:p w:rsidR="00E96E6F" w:rsidRPr="00BA624C" w:rsidRDefault="00E96E6F" w:rsidP="00E96E6F">
      <w:pPr>
        <w:pStyle w:val="Hapesira7"/>
        <w:rPr>
          <w:lang w:val="sq-AL"/>
        </w:rPr>
      </w:pPr>
    </w:p>
    <w:p w:rsidR="00E96E6F" w:rsidRPr="00BA624C" w:rsidRDefault="00E96E6F" w:rsidP="00E96E6F">
      <w:pPr>
        <w:pStyle w:val="Paragrafi"/>
        <w:rPr>
          <w:lang w:val="sq-AL"/>
        </w:rPr>
      </w:pPr>
      <w:r w:rsidRPr="00BA624C">
        <w:rPr>
          <w:lang w:val="sq-AL"/>
        </w:rPr>
        <w:tab/>
        <w:t>Në nenin 67, pika 1 ndryshohet si më poshtë:</w:t>
      </w:r>
    </w:p>
    <w:p w:rsidR="00E96E6F" w:rsidRPr="00BA624C" w:rsidRDefault="00E96E6F" w:rsidP="00E96E6F">
      <w:pPr>
        <w:pStyle w:val="Paragrafi"/>
        <w:rPr>
          <w:lang w:val="sq-AL"/>
        </w:rPr>
      </w:pPr>
      <w:r w:rsidRPr="00BA624C">
        <w:rPr>
          <w:lang w:val="sq-AL"/>
        </w:rPr>
        <w:tab/>
        <w:t>“1. QKR-ja konfirmon të dhënat e regjistruara nga subjektet, sipas këtij ligji, nëpërmjet lëshimit të ekstrakteve në format shkresor apo elektronik, sipas këtij ligji. Çdo person, kundrejt pagesës së tarifës përkatëse, ka të drejtë të marrë pa pengesa, në format shkresor apo elektronik, sipas dëshirës, ekstrakte për të dhënat e regjistruara të çdo subjekti, si dhe kopje të dokumenteve shoqëruese, të depozituara në regjistër.”.</w:t>
      </w:r>
    </w:p>
    <w:p w:rsidR="00E96E6F" w:rsidRPr="00BA624C" w:rsidRDefault="00E96E6F" w:rsidP="00E96E6F">
      <w:pPr>
        <w:pStyle w:val="Paragrafi"/>
        <w:jc w:val="center"/>
        <w:rPr>
          <w:sz w:val="14"/>
          <w:lang w:val="sq-AL"/>
        </w:rPr>
      </w:pPr>
    </w:p>
    <w:p w:rsidR="00E96E6F" w:rsidRPr="00BA624C" w:rsidRDefault="00E96E6F" w:rsidP="00E96E6F">
      <w:pPr>
        <w:pStyle w:val="Paragrafi"/>
        <w:jc w:val="center"/>
        <w:rPr>
          <w:lang w:val="sq-AL"/>
        </w:rPr>
      </w:pPr>
      <w:r w:rsidRPr="00BA624C">
        <w:rPr>
          <w:lang w:val="sq-AL"/>
        </w:rPr>
        <w:t>Neni 33</w:t>
      </w:r>
    </w:p>
    <w:p w:rsidR="00E96E6F" w:rsidRPr="00BA624C" w:rsidRDefault="00E96E6F" w:rsidP="00E96E6F">
      <w:pPr>
        <w:pStyle w:val="Hapesira7"/>
        <w:rPr>
          <w:lang w:val="sq-AL"/>
        </w:rPr>
      </w:pPr>
    </w:p>
    <w:p w:rsidR="00E96E6F" w:rsidRPr="00BA624C" w:rsidRDefault="00E96E6F" w:rsidP="00E96E6F">
      <w:pPr>
        <w:pStyle w:val="Paragrafi"/>
        <w:jc w:val="left"/>
        <w:rPr>
          <w:lang w:val="sq-AL"/>
        </w:rPr>
      </w:pPr>
      <w:r w:rsidRPr="00BA624C">
        <w:rPr>
          <w:lang w:val="sq-AL"/>
        </w:rPr>
        <w:t>Neni 68 ndryshohet si më poshtë:</w:t>
      </w:r>
    </w:p>
    <w:p w:rsidR="00E96E6F" w:rsidRPr="00BA624C" w:rsidRDefault="00E96E6F" w:rsidP="00E96E6F">
      <w:pPr>
        <w:pStyle w:val="Hapesira7"/>
        <w:rPr>
          <w:lang w:val="sq-AL"/>
        </w:rPr>
      </w:pPr>
    </w:p>
    <w:p w:rsidR="00E96E6F" w:rsidRPr="00BA624C" w:rsidRDefault="00E96E6F" w:rsidP="00E96E6F">
      <w:pPr>
        <w:pStyle w:val="Paragrafi"/>
        <w:jc w:val="center"/>
        <w:rPr>
          <w:lang w:val="sq-AL"/>
        </w:rPr>
      </w:pPr>
      <w:r w:rsidRPr="00BA624C">
        <w:rPr>
          <w:lang w:val="sq-AL"/>
        </w:rPr>
        <w:t>“Neni 68</w:t>
      </w:r>
    </w:p>
    <w:p w:rsidR="00E96E6F" w:rsidRPr="00BA624C" w:rsidRDefault="00E96E6F" w:rsidP="00E96E6F">
      <w:pPr>
        <w:pStyle w:val="Paragrafi"/>
        <w:jc w:val="center"/>
        <w:rPr>
          <w:b/>
          <w:lang w:val="sq-AL"/>
        </w:rPr>
      </w:pPr>
      <w:r w:rsidRPr="00BA624C">
        <w:rPr>
          <w:b/>
          <w:lang w:val="sq-AL"/>
        </w:rPr>
        <w:lastRenderedPageBreak/>
        <w:t>Vërtetimi i ekstrakteve dhe i dokumenteve shoqëruese</w:t>
      </w:r>
    </w:p>
    <w:p w:rsidR="00E96E6F" w:rsidRPr="00BA624C" w:rsidRDefault="00E96E6F" w:rsidP="00E96E6F">
      <w:pPr>
        <w:pStyle w:val="Hapesira7"/>
        <w:rPr>
          <w:lang w:val="sq-AL"/>
        </w:rPr>
      </w:pPr>
    </w:p>
    <w:p w:rsidR="00E96E6F" w:rsidRPr="00BA624C" w:rsidRDefault="00E96E6F" w:rsidP="00E96E6F">
      <w:pPr>
        <w:pStyle w:val="Paragrafi"/>
        <w:rPr>
          <w:lang w:val="sq-AL"/>
        </w:rPr>
      </w:pPr>
      <w:r w:rsidRPr="00BA624C">
        <w:rPr>
          <w:lang w:val="sq-AL"/>
        </w:rPr>
        <w:tab/>
        <w:t>1. Ekstraktet dhe kopjet e dokumenteve shoqëruese në format shkresor, si rregull, lëshohen nga QKR-ja, si kopje e vërtetuar e të dhënave të regjistruara apo të dokumenteve shoqëruese përkatëse, përveç rastit kur personi i interesuar heq dorë nga marrja e këtij vërtetimi.</w:t>
      </w:r>
    </w:p>
    <w:p w:rsidR="00E96E6F" w:rsidRPr="00BA624C" w:rsidRDefault="00E96E6F" w:rsidP="00E96E6F">
      <w:pPr>
        <w:pStyle w:val="Paragrafi"/>
        <w:rPr>
          <w:lang w:val="sq-AL"/>
        </w:rPr>
      </w:pPr>
      <w:r w:rsidRPr="00BA624C">
        <w:rPr>
          <w:lang w:val="sq-AL"/>
        </w:rPr>
        <w:tab/>
        <w:t>2. Ekstraktet dhe kopjet e dokumenteve shoqëruese në format elektronik, si rregull, lëshohen nga QKR-ja si kopje e pavërtetuar e të dhënave të regjistruara apo të dokumenteve shoqëruese përkatëse, përveç rastit kur personi i interesuar shprehimisht kërkon ta marrë këtë vërtetim.”.</w:t>
      </w:r>
    </w:p>
    <w:p w:rsidR="00E96E6F" w:rsidRDefault="00E96E6F" w:rsidP="00E96E6F">
      <w:pPr>
        <w:pStyle w:val="Paragrafi"/>
        <w:jc w:val="center"/>
        <w:rPr>
          <w:spacing w:val="-4"/>
          <w:lang w:val="sq-AL"/>
        </w:rPr>
      </w:pPr>
    </w:p>
    <w:p w:rsidR="00E96E6F" w:rsidRPr="00BA624C" w:rsidRDefault="00E96E6F" w:rsidP="00E96E6F">
      <w:pPr>
        <w:pStyle w:val="Paragrafi"/>
        <w:jc w:val="center"/>
        <w:rPr>
          <w:spacing w:val="-4"/>
          <w:lang w:val="sq-AL"/>
        </w:rPr>
      </w:pPr>
      <w:r w:rsidRPr="00BA624C">
        <w:rPr>
          <w:spacing w:val="-4"/>
          <w:lang w:val="sq-AL"/>
        </w:rPr>
        <w:t>Neni 34</w:t>
      </w:r>
    </w:p>
    <w:p w:rsidR="00E96E6F" w:rsidRPr="00BA624C" w:rsidRDefault="00E96E6F" w:rsidP="00E96E6F">
      <w:pPr>
        <w:pStyle w:val="Hapesira7"/>
        <w:rPr>
          <w:spacing w:val="-4"/>
          <w:lang w:val="sq-AL"/>
        </w:rPr>
      </w:pPr>
    </w:p>
    <w:p w:rsidR="00E96E6F" w:rsidRPr="00BA624C" w:rsidRDefault="00E96E6F" w:rsidP="00E96E6F">
      <w:pPr>
        <w:pStyle w:val="Paragrafi"/>
        <w:jc w:val="left"/>
        <w:rPr>
          <w:spacing w:val="-4"/>
          <w:lang w:val="sq-AL"/>
        </w:rPr>
      </w:pPr>
      <w:r w:rsidRPr="00BA624C">
        <w:rPr>
          <w:spacing w:val="-4"/>
          <w:lang w:val="sq-AL"/>
        </w:rPr>
        <w:t>Kreu VI ndryshohet dhe zëvendësohet me këtë përmbajtje:</w:t>
      </w:r>
    </w:p>
    <w:p w:rsidR="00E96E6F" w:rsidRPr="00BA624C" w:rsidRDefault="00E96E6F" w:rsidP="00E96E6F">
      <w:pPr>
        <w:pStyle w:val="Paragrafi"/>
        <w:jc w:val="center"/>
        <w:rPr>
          <w:spacing w:val="-4"/>
          <w:lang w:val="sq-AL"/>
        </w:rPr>
      </w:pPr>
      <w:r w:rsidRPr="00BA624C">
        <w:rPr>
          <w:spacing w:val="-4"/>
          <w:lang w:val="sq-AL"/>
        </w:rPr>
        <w:t>“KREU VI</w:t>
      </w:r>
    </w:p>
    <w:p w:rsidR="00E96E6F" w:rsidRPr="00BA624C" w:rsidRDefault="00E96E6F" w:rsidP="00E96E6F">
      <w:pPr>
        <w:pStyle w:val="Paragrafi"/>
        <w:jc w:val="center"/>
        <w:rPr>
          <w:spacing w:val="-4"/>
          <w:lang w:val="sq-AL"/>
        </w:rPr>
      </w:pPr>
      <w:r w:rsidRPr="00BA624C">
        <w:rPr>
          <w:spacing w:val="-4"/>
          <w:lang w:val="sq-AL"/>
        </w:rPr>
        <w:t>SPORTELI ELEKTRONIK</w:t>
      </w:r>
    </w:p>
    <w:p w:rsidR="00E96E6F" w:rsidRPr="00BA624C" w:rsidRDefault="00E96E6F" w:rsidP="00E96E6F">
      <w:pPr>
        <w:pStyle w:val="Hapesira7"/>
        <w:rPr>
          <w:spacing w:val="-4"/>
          <w:lang w:val="sq-AL"/>
        </w:rPr>
      </w:pPr>
    </w:p>
    <w:p w:rsidR="00E96E6F" w:rsidRPr="00BA624C" w:rsidRDefault="00E96E6F" w:rsidP="00E96E6F">
      <w:pPr>
        <w:pStyle w:val="Paragrafi"/>
        <w:jc w:val="center"/>
        <w:rPr>
          <w:spacing w:val="-4"/>
          <w:lang w:val="sq-AL"/>
        </w:rPr>
      </w:pPr>
      <w:r w:rsidRPr="00BA624C">
        <w:rPr>
          <w:spacing w:val="-4"/>
          <w:lang w:val="sq-AL"/>
        </w:rPr>
        <w:t>Neni 70</w:t>
      </w:r>
    </w:p>
    <w:p w:rsidR="00E96E6F" w:rsidRPr="00BA624C" w:rsidRDefault="00E96E6F" w:rsidP="00E96E6F">
      <w:pPr>
        <w:pStyle w:val="Paragrafi"/>
        <w:jc w:val="center"/>
        <w:rPr>
          <w:b/>
          <w:spacing w:val="-4"/>
          <w:lang w:val="sq-AL"/>
        </w:rPr>
      </w:pPr>
      <w:r w:rsidRPr="00BA624C">
        <w:rPr>
          <w:b/>
          <w:spacing w:val="-4"/>
          <w:lang w:val="sq-AL"/>
        </w:rPr>
        <w:t>Veprimet pranë sportelit elektronik</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1. Çdo individ, pasi të jetë identifikuar elektronikisht, ka të drejtë që, në cilësinë e aplikantit apo të personit të autorizuar, të aplikojë apo të kryejë pranë sportelit elektronik çdo regjistrim apo veprim tjetër, sipas këtij ligji, përfshirë këtu procedurat e ankimit administrativ, dhe të marrë nga QKR-ja nëpërmjet këtij sporteli të gjitha aktet përkatëse të parashikuara nga ky ligj.</w:t>
      </w:r>
    </w:p>
    <w:p w:rsidR="00E96E6F" w:rsidRPr="00BA624C" w:rsidRDefault="00E96E6F" w:rsidP="00E96E6F">
      <w:pPr>
        <w:pStyle w:val="Paragrafi"/>
        <w:rPr>
          <w:spacing w:val="-4"/>
          <w:lang w:val="sq-AL"/>
        </w:rPr>
      </w:pPr>
      <w:r w:rsidRPr="00BA624C">
        <w:rPr>
          <w:spacing w:val="-4"/>
          <w:lang w:val="sq-AL"/>
        </w:rPr>
        <w:tab/>
        <w:t>2. Çdo individ, pa qenë i detyruar të identifikohet elektronikisht, ka të drejtë të kryejë pranë sportelit elektronik kërkime elektronike në regjistër, të marrë ekstrakte, si dhe kopje të dokumenteve shoqërues në format elektronik apo të kryejë veprime të tjera, për të cilat identifikimi i personit, kryerja e pagesës së një tarife nëpërmjet mjeteve elektronike, nuk kërkohet sipas këtij ligji.</w:t>
      </w:r>
    </w:p>
    <w:p w:rsidR="00E96E6F" w:rsidRPr="00BA624C" w:rsidRDefault="00E96E6F" w:rsidP="00E96E6F">
      <w:pPr>
        <w:pStyle w:val="Hapesira7"/>
        <w:rPr>
          <w:spacing w:val="-4"/>
          <w:lang w:val="sq-AL"/>
        </w:rPr>
      </w:pPr>
    </w:p>
    <w:p w:rsidR="00E96E6F" w:rsidRPr="00BA624C" w:rsidRDefault="00E96E6F" w:rsidP="00E96E6F">
      <w:pPr>
        <w:pStyle w:val="Paragrafi"/>
        <w:jc w:val="center"/>
        <w:rPr>
          <w:spacing w:val="-4"/>
          <w:lang w:val="sq-AL"/>
        </w:rPr>
      </w:pPr>
      <w:r w:rsidRPr="00BA624C">
        <w:rPr>
          <w:spacing w:val="-4"/>
          <w:lang w:val="sq-AL"/>
        </w:rPr>
        <w:t>Neni 70/1</w:t>
      </w:r>
    </w:p>
    <w:p w:rsidR="00E96E6F" w:rsidRPr="00BA624C" w:rsidRDefault="00E96E6F" w:rsidP="00E96E6F">
      <w:pPr>
        <w:pStyle w:val="Paragrafi"/>
        <w:jc w:val="center"/>
        <w:rPr>
          <w:b/>
          <w:spacing w:val="-4"/>
          <w:lang w:val="sq-AL"/>
        </w:rPr>
      </w:pPr>
      <w:r w:rsidRPr="00BA624C">
        <w:rPr>
          <w:b/>
          <w:spacing w:val="-4"/>
          <w:lang w:val="sq-AL"/>
        </w:rPr>
        <w:t>Identifikimi elektronik</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Veprimet pranë sportelit elektronik të QKR-së, për të cilat ky ligj kërkon identifikimin elektronik, kryhen nëpërmjet mjeteve elektronike që garantojnë autenticitetin e origjinës dhe pacenueshmërinë e përmbajtjes së dokumenteve në format elektronik, të paktën nëpërmjet nënshkrimit elektronik të avancuar, sipas përcaktimeve të legjislacionit në fuqi për nënshkrimin elektronik.</w:t>
      </w:r>
    </w:p>
    <w:p w:rsidR="00E96E6F" w:rsidRPr="00BA624C" w:rsidRDefault="00E96E6F" w:rsidP="00E96E6F">
      <w:pPr>
        <w:pStyle w:val="Hapesira7"/>
        <w:rPr>
          <w:spacing w:val="-4"/>
          <w:lang w:val="sq-AL"/>
        </w:rPr>
      </w:pPr>
    </w:p>
    <w:p w:rsidR="00E96E6F" w:rsidRPr="00BA624C" w:rsidRDefault="00E96E6F" w:rsidP="00E96E6F">
      <w:pPr>
        <w:pStyle w:val="Paragrafi"/>
        <w:jc w:val="center"/>
        <w:rPr>
          <w:spacing w:val="-4"/>
          <w:lang w:val="sq-AL"/>
        </w:rPr>
      </w:pPr>
      <w:r w:rsidRPr="00BA624C">
        <w:rPr>
          <w:spacing w:val="-4"/>
          <w:lang w:val="sq-AL"/>
        </w:rPr>
        <w:t>Neni 70/2</w:t>
      </w:r>
    </w:p>
    <w:p w:rsidR="00E96E6F" w:rsidRPr="00BA624C" w:rsidRDefault="00E96E6F" w:rsidP="00E96E6F">
      <w:pPr>
        <w:pStyle w:val="Paragrafi"/>
        <w:jc w:val="center"/>
        <w:rPr>
          <w:b/>
          <w:spacing w:val="-4"/>
          <w:lang w:val="sq-AL"/>
        </w:rPr>
      </w:pPr>
      <w:r w:rsidRPr="00BA624C">
        <w:rPr>
          <w:b/>
          <w:spacing w:val="-4"/>
          <w:lang w:val="sq-AL"/>
        </w:rPr>
        <w:t>Kushtet procedurale dhe teknike</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Ministri përcakton kushtet, afatet dhe procedurat për ofrimin shërbimeve nga QKR-ja, sipas këtij ligji, nëpërmjet sportelit elektronik, kushtet dhe mënyrat e pajisjes së individëve me të drejtat përkatëse të aksesit elektronik, procedurat për ndryshimin e tyre, kushtet e sigurisë dhe të ruajtjes së komunikimeve elektronike, mënyrat e vërtetimit të</w:t>
      </w:r>
      <w:r>
        <w:rPr>
          <w:spacing w:val="-4"/>
          <w:lang w:val="sq-AL"/>
        </w:rPr>
        <w:t xml:space="preserve"> </w:t>
      </w:r>
      <w:r w:rsidRPr="00BA624C">
        <w:rPr>
          <w:spacing w:val="-4"/>
          <w:lang w:val="sq-AL"/>
        </w:rPr>
        <w:t>dokumenteve elektronike, të lëshuara nga QKR-ja, të kërkesave e teknologjisë së zbatueshme për realizmin e tyre, sipas këtij kreu, si dhe procedurat e njoftimet publike,të realizuara nga QKR-ja për rastet e remonteve të planifikuara apo të incidenteve teknike të sportelit elektronik, si dhe për njoftimin e rasteve të ndërhyrjeve të paautorizuara.”.</w:t>
      </w:r>
    </w:p>
    <w:p w:rsidR="00E96E6F" w:rsidRPr="00BA624C" w:rsidRDefault="00E96E6F" w:rsidP="00E96E6F">
      <w:pPr>
        <w:pStyle w:val="Paragrafi"/>
        <w:jc w:val="center"/>
        <w:rPr>
          <w:spacing w:val="-4"/>
          <w:lang w:val="sq-AL"/>
        </w:rPr>
      </w:pPr>
      <w:r w:rsidRPr="00BA624C">
        <w:rPr>
          <w:spacing w:val="-4"/>
          <w:lang w:val="sq-AL"/>
        </w:rPr>
        <w:t>Neni 35</w:t>
      </w:r>
    </w:p>
    <w:p w:rsidR="00E96E6F" w:rsidRPr="00BA624C" w:rsidRDefault="00E96E6F" w:rsidP="00E96E6F">
      <w:pPr>
        <w:pStyle w:val="Hapesira7"/>
        <w:rPr>
          <w:spacing w:val="-4"/>
          <w:sz w:val="6"/>
          <w:lang w:val="sq-AL"/>
        </w:rPr>
      </w:pPr>
    </w:p>
    <w:p w:rsidR="00E96E6F" w:rsidRPr="00BA624C" w:rsidRDefault="00E96E6F" w:rsidP="00E96E6F">
      <w:pPr>
        <w:pStyle w:val="Paragrafi"/>
        <w:rPr>
          <w:spacing w:val="-4"/>
          <w:lang w:val="sq-AL"/>
        </w:rPr>
      </w:pPr>
      <w:r w:rsidRPr="00BA624C">
        <w:rPr>
          <w:spacing w:val="-4"/>
          <w:lang w:val="sq-AL"/>
        </w:rPr>
        <w:tab/>
        <w:t>Në nenin 72, pika 3 ndryshohet si më poshtë:</w:t>
      </w:r>
    </w:p>
    <w:p w:rsidR="00E96E6F" w:rsidRPr="00BA624C" w:rsidRDefault="00E96E6F" w:rsidP="00E96E6F">
      <w:pPr>
        <w:pStyle w:val="Paragrafi"/>
        <w:rPr>
          <w:spacing w:val="-4"/>
          <w:lang w:val="sq-AL"/>
        </w:rPr>
      </w:pPr>
      <w:r w:rsidRPr="00BA624C">
        <w:rPr>
          <w:spacing w:val="-4"/>
          <w:lang w:val="sq-AL"/>
        </w:rPr>
        <w:tab/>
        <w:t>“3. Ndaj aktit të titullarit të QKR-së apo mosveprimit të tij mund të bëhet ankim drejtpërdrejt në gjykatë, sipas legjislacionit që rregullon zgjidhjen e mosmarrëveshjeve administrative.”.</w:t>
      </w:r>
    </w:p>
    <w:p w:rsidR="00E96E6F" w:rsidRPr="00BA624C" w:rsidRDefault="00E96E6F" w:rsidP="00E96E6F">
      <w:pPr>
        <w:pStyle w:val="Paragrafi"/>
        <w:jc w:val="center"/>
        <w:rPr>
          <w:spacing w:val="-4"/>
          <w:lang w:val="sq-AL"/>
        </w:rPr>
      </w:pPr>
      <w:r w:rsidRPr="00BA624C">
        <w:rPr>
          <w:spacing w:val="-4"/>
          <w:lang w:val="sq-AL"/>
        </w:rPr>
        <w:t>Neni 36</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lastRenderedPageBreak/>
        <w:tab/>
        <w:t>Në nenin 74 bëhen këto ndryshime:</w:t>
      </w:r>
    </w:p>
    <w:p w:rsidR="00E96E6F" w:rsidRPr="00BA624C" w:rsidRDefault="00E96E6F" w:rsidP="00E96E6F">
      <w:pPr>
        <w:pStyle w:val="Paragrafi"/>
        <w:rPr>
          <w:spacing w:val="-4"/>
          <w:lang w:val="sq-AL"/>
        </w:rPr>
      </w:pPr>
      <w:r w:rsidRPr="00BA624C">
        <w:rPr>
          <w:spacing w:val="-4"/>
          <w:lang w:val="sq-AL"/>
        </w:rPr>
        <w:tab/>
        <w:t xml:space="preserve">1. Pika 4 ndryshohet si më poshtë: </w:t>
      </w:r>
    </w:p>
    <w:p w:rsidR="00E96E6F" w:rsidRPr="00BA624C" w:rsidRDefault="00E96E6F" w:rsidP="00E96E6F">
      <w:pPr>
        <w:pStyle w:val="Paragrafi"/>
        <w:rPr>
          <w:spacing w:val="-4"/>
          <w:lang w:val="sq-AL"/>
        </w:rPr>
      </w:pPr>
      <w:r w:rsidRPr="00BA624C">
        <w:rPr>
          <w:spacing w:val="-4"/>
          <w:lang w:val="sq-AL"/>
        </w:rPr>
        <w:tab/>
        <w:t>“4. Gjoba vendoset nga titullari i QKR-së, vendimi i të cilit ankimohet drejtpërdrejt në gjykatën administrative.”.</w:t>
      </w:r>
    </w:p>
    <w:p w:rsidR="00E96E6F" w:rsidRPr="00BA624C" w:rsidRDefault="00E96E6F" w:rsidP="00E96E6F">
      <w:pPr>
        <w:pStyle w:val="Paragrafi"/>
        <w:rPr>
          <w:spacing w:val="-4"/>
          <w:lang w:val="sq-AL"/>
        </w:rPr>
      </w:pPr>
      <w:r w:rsidRPr="00BA624C">
        <w:rPr>
          <w:spacing w:val="-4"/>
          <w:lang w:val="sq-AL"/>
        </w:rPr>
        <w:tab/>
        <w:t>2. Pika 5 shfuqizohet.</w:t>
      </w:r>
    </w:p>
    <w:p w:rsidR="00E96E6F" w:rsidRPr="00BA624C" w:rsidRDefault="00E96E6F" w:rsidP="00E96E6F">
      <w:pPr>
        <w:pStyle w:val="Paragrafi"/>
        <w:jc w:val="center"/>
        <w:rPr>
          <w:spacing w:val="-4"/>
          <w:sz w:val="14"/>
          <w:lang w:val="sq-AL"/>
        </w:rPr>
      </w:pPr>
    </w:p>
    <w:p w:rsidR="00E96E6F" w:rsidRPr="00BA624C" w:rsidRDefault="00E96E6F" w:rsidP="00E96E6F">
      <w:pPr>
        <w:pStyle w:val="Paragrafi"/>
        <w:jc w:val="center"/>
        <w:rPr>
          <w:spacing w:val="-4"/>
          <w:lang w:val="sq-AL"/>
        </w:rPr>
      </w:pPr>
      <w:r w:rsidRPr="00BA624C">
        <w:rPr>
          <w:spacing w:val="-4"/>
          <w:lang w:val="sq-AL"/>
        </w:rPr>
        <w:t>Neni 37</w:t>
      </w:r>
    </w:p>
    <w:p w:rsidR="00E96E6F" w:rsidRPr="00BA624C" w:rsidRDefault="00E96E6F" w:rsidP="00E96E6F">
      <w:pPr>
        <w:pStyle w:val="Hapesira7"/>
        <w:rPr>
          <w:spacing w:val="-4"/>
          <w:sz w:val="10"/>
          <w:lang w:val="sq-AL"/>
        </w:rPr>
      </w:pPr>
    </w:p>
    <w:p w:rsidR="00E96E6F" w:rsidRPr="00BA624C" w:rsidRDefault="00E96E6F" w:rsidP="00E96E6F">
      <w:pPr>
        <w:pStyle w:val="Paragrafi"/>
        <w:rPr>
          <w:spacing w:val="-4"/>
          <w:lang w:val="sq-AL"/>
        </w:rPr>
      </w:pPr>
      <w:r w:rsidRPr="00BA624C">
        <w:rPr>
          <w:spacing w:val="-4"/>
          <w:lang w:val="sq-AL"/>
        </w:rPr>
        <w:tab/>
        <w:t>Në nenin 75, fjalia e dytë, e pikës 7, si dhe pika 11 shfuqizohen.</w:t>
      </w:r>
    </w:p>
    <w:p w:rsidR="00E96E6F" w:rsidRPr="00BA624C" w:rsidRDefault="00E96E6F" w:rsidP="00E96E6F">
      <w:pPr>
        <w:pStyle w:val="Hapesira7"/>
        <w:rPr>
          <w:spacing w:val="-4"/>
          <w:sz w:val="8"/>
          <w:lang w:val="sq-AL"/>
        </w:rPr>
      </w:pPr>
    </w:p>
    <w:p w:rsidR="00E96E6F" w:rsidRPr="00BA624C" w:rsidRDefault="00E96E6F" w:rsidP="00E96E6F">
      <w:pPr>
        <w:pStyle w:val="Paragrafi"/>
        <w:jc w:val="center"/>
        <w:rPr>
          <w:spacing w:val="-4"/>
          <w:lang w:val="sq-AL"/>
        </w:rPr>
      </w:pPr>
      <w:r w:rsidRPr="00BA624C">
        <w:rPr>
          <w:spacing w:val="-4"/>
          <w:lang w:val="sq-AL"/>
        </w:rPr>
        <w:t>Neni 38</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Neni 77 shfuqizohet.</w:t>
      </w:r>
    </w:p>
    <w:p w:rsidR="00E96E6F" w:rsidRPr="00BA624C" w:rsidRDefault="00E96E6F" w:rsidP="00E96E6F">
      <w:pPr>
        <w:pStyle w:val="Paragrafi"/>
        <w:jc w:val="center"/>
        <w:rPr>
          <w:spacing w:val="-4"/>
          <w:sz w:val="6"/>
          <w:lang w:val="sq-AL"/>
        </w:rPr>
      </w:pPr>
    </w:p>
    <w:p w:rsidR="00E96E6F" w:rsidRPr="00BA624C" w:rsidRDefault="00E96E6F" w:rsidP="00E96E6F">
      <w:pPr>
        <w:pStyle w:val="Paragrafi"/>
        <w:jc w:val="center"/>
        <w:rPr>
          <w:spacing w:val="-4"/>
          <w:lang w:val="sq-AL"/>
        </w:rPr>
      </w:pPr>
      <w:r w:rsidRPr="00BA624C">
        <w:rPr>
          <w:spacing w:val="-4"/>
          <w:lang w:val="sq-AL"/>
        </w:rPr>
        <w:t>Neni 39</w:t>
      </w:r>
    </w:p>
    <w:p w:rsidR="00E96E6F" w:rsidRPr="00BA624C" w:rsidRDefault="00E96E6F" w:rsidP="00E96E6F">
      <w:pPr>
        <w:pStyle w:val="Paragrafi"/>
        <w:jc w:val="center"/>
        <w:rPr>
          <w:b/>
          <w:spacing w:val="-4"/>
          <w:lang w:val="sq-AL"/>
        </w:rPr>
      </w:pPr>
      <w:r w:rsidRPr="00BA624C">
        <w:rPr>
          <w:b/>
          <w:spacing w:val="-4"/>
          <w:lang w:val="sq-AL"/>
        </w:rPr>
        <w:t>Dispozita të fundit dhe kalimtare</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Çdo parashikim ligjor e nënligjor, që bie në kundërshtim me dispozitat e</w:t>
      </w:r>
      <w:r>
        <w:rPr>
          <w:spacing w:val="-4"/>
          <w:lang w:val="sq-AL"/>
        </w:rPr>
        <w:t xml:space="preserve"> </w:t>
      </w:r>
      <w:r w:rsidRPr="00BA624C">
        <w:rPr>
          <w:spacing w:val="-4"/>
          <w:lang w:val="sq-AL"/>
        </w:rPr>
        <w:t>nenit 59, të ligjit nr.</w:t>
      </w:r>
      <w:r>
        <w:rPr>
          <w:spacing w:val="-4"/>
          <w:lang w:val="sq-AL"/>
        </w:rPr>
        <w:t xml:space="preserve"> </w:t>
      </w:r>
      <w:r w:rsidRPr="00BA624C">
        <w:rPr>
          <w:spacing w:val="-4"/>
          <w:lang w:val="sq-AL"/>
        </w:rPr>
        <w:t xml:space="preserve">9723, datë 3.5.2007, “Për Qendrën Kombëtare të Regjistrimit”, siç është ndryshuar nga neni 30, i këtij ligji, shfuqizohet. </w:t>
      </w:r>
    </w:p>
    <w:p w:rsidR="00E96E6F" w:rsidRPr="00BA624C" w:rsidRDefault="00E96E6F" w:rsidP="00E96E6F">
      <w:pPr>
        <w:pStyle w:val="Paragrafi"/>
        <w:jc w:val="center"/>
        <w:rPr>
          <w:spacing w:val="-4"/>
          <w:sz w:val="12"/>
          <w:lang w:val="sq-AL"/>
        </w:rPr>
      </w:pPr>
    </w:p>
    <w:p w:rsidR="00E96E6F" w:rsidRPr="00BA624C" w:rsidRDefault="00E96E6F" w:rsidP="00E96E6F">
      <w:pPr>
        <w:pStyle w:val="Paragrafi"/>
        <w:jc w:val="center"/>
        <w:rPr>
          <w:spacing w:val="-4"/>
          <w:lang w:val="sq-AL"/>
        </w:rPr>
      </w:pPr>
      <w:r w:rsidRPr="00BA624C">
        <w:rPr>
          <w:spacing w:val="-4"/>
          <w:lang w:val="sq-AL"/>
        </w:rPr>
        <w:t>Neni 40</w:t>
      </w:r>
    </w:p>
    <w:p w:rsidR="00E96E6F" w:rsidRPr="00BA624C" w:rsidRDefault="00E96E6F" w:rsidP="00E96E6F">
      <w:pPr>
        <w:pStyle w:val="Paragrafi"/>
        <w:jc w:val="center"/>
        <w:rPr>
          <w:b/>
          <w:spacing w:val="-4"/>
          <w:lang w:val="sq-AL"/>
        </w:rPr>
      </w:pPr>
      <w:r w:rsidRPr="00BA624C">
        <w:rPr>
          <w:b/>
          <w:spacing w:val="-4"/>
          <w:lang w:val="sq-AL"/>
        </w:rPr>
        <w:t>Hyrja në fuqi</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ab/>
        <w:t>Ky ligj hyn në fuqi 15 ditë pas botimit në Fletoren Zyrtare.</w:t>
      </w:r>
    </w:p>
    <w:p w:rsidR="00E96E6F" w:rsidRPr="00BA624C" w:rsidRDefault="00E96E6F" w:rsidP="00E96E6F">
      <w:pPr>
        <w:pStyle w:val="Hapesira7"/>
        <w:rPr>
          <w:spacing w:val="-4"/>
          <w:lang w:val="sq-AL"/>
        </w:rPr>
      </w:pPr>
    </w:p>
    <w:p w:rsidR="00E96E6F" w:rsidRPr="00BA624C" w:rsidRDefault="00E96E6F" w:rsidP="00E96E6F">
      <w:pPr>
        <w:pStyle w:val="Paragrafi"/>
        <w:rPr>
          <w:spacing w:val="-4"/>
          <w:lang w:val="sq-AL"/>
        </w:rPr>
      </w:pPr>
      <w:r w:rsidRPr="00BA624C">
        <w:rPr>
          <w:spacing w:val="-4"/>
          <w:lang w:val="sq-AL"/>
        </w:rPr>
        <w:t>Miratuar në datën 19.02.2015.</w:t>
      </w:r>
    </w:p>
    <w:p w:rsidR="00E96E6F" w:rsidRPr="00BA624C" w:rsidRDefault="00E96E6F" w:rsidP="00E96E6F">
      <w:pPr>
        <w:pStyle w:val="Paragrafi"/>
        <w:rPr>
          <w:sz w:val="10"/>
          <w:lang w:val="sq-AL"/>
        </w:rPr>
      </w:pPr>
    </w:p>
    <w:p w:rsidR="00E96E6F" w:rsidRPr="00BA624C" w:rsidRDefault="00E96E6F" w:rsidP="00E96E6F">
      <w:pPr>
        <w:pStyle w:val="Paragrafi"/>
        <w:ind w:firstLine="0"/>
        <w:rPr>
          <w:lang w:val="sq-AL"/>
        </w:rPr>
      </w:pPr>
      <w:r w:rsidRPr="00BA624C">
        <w:rPr>
          <w:b/>
          <w:lang w:val="sq-AL"/>
        </w:rPr>
        <w:t>Shpallur me dekretin nr. 8990, datë 6.3.2015 të Presidentit të Republikës së Shqipërisë, Bujar Nishani</w:t>
      </w:r>
    </w:p>
    <w:p w:rsidR="00FD57DC" w:rsidRDefault="00E96E6F"/>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E6F" w:rsidRDefault="00E96E6F" w:rsidP="00E96E6F">
      <w:pPr>
        <w:spacing w:after="0" w:line="240" w:lineRule="auto"/>
      </w:pPr>
      <w:r>
        <w:separator/>
      </w:r>
    </w:p>
  </w:endnote>
  <w:endnote w:type="continuationSeparator" w:id="1">
    <w:p w:rsidR="00E96E6F" w:rsidRDefault="00E96E6F" w:rsidP="00E96E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E6F" w:rsidRDefault="00E96E6F" w:rsidP="00E96E6F">
      <w:pPr>
        <w:spacing w:after="0" w:line="240" w:lineRule="auto"/>
      </w:pPr>
      <w:r>
        <w:separator/>
      </w:r>
    </w:p>
  </w:footnote>
  <w:footnote w:type="continuationSeparator" w:id="1">
    <w:p w:rsidR="00E96E6F" w:rsidRDefault="00E96E6F" w:rsidP="00E96E6F">
      <w:pPr>
        <w:spacing w:after="0" w:line="240" w:lineRule="auto"/>
      </w:pPr>
      <w:r>
        <w:continuationSeparator/>
      </w:r>
    </w:p>
  </w:footnote>
  <w:footnote w:id="2">
    <w:p w:rsidR="00E96E6F" w:rsidRPr="00FD411E" w:rsidRDefault="00E96E6F" w:rsidP="00E96E6F">
      <w:pPr>
        <w:pStyle w:val="FootnoteText"/>
        <w:ind w:firstLine="0"/>
        <w:rPr>
          <w:rFonts w:ascii="Garamond" w:hAnsi="Garamond"/>
          <w:sz w:val="18"/>
          <w:szCs w:val="18"/>
          <w:lang w:val="en-US"/>
        </w:rPr>
      </w:pPr>
      <w:r w:rsidRPr="00BA624C">
        <w:rPr>
          <w:rStyle w:val="FootnoteReference"/>
          <w:rFonts w:ascii="Garamond" w:hAnsi="Garamond"/>
          <w:sz w:val="18"/>
          <w:szCs w:val="18"/>
        </w:rPr>
        <w:footnoteRef/>
      </w:r>
      <w:r w:rsidRPr="00BA624C">
        <w:rPr>
          <w:rFonts w:ascii="Garamond" w:hAnsi="Garamond"/>
          <w:sz w:val="18"/>
          <w:szCs w:val="18"/>
        </w:rPr>
        <w:t xml:space="preserve"> Ky ligj është përafruar pjesërisht me direktivën 2009/101/KE të Parlamentit Europian dhe të Këshillit, datë 16 shtator 2009, "Për koordinimin e masave, të cilat, për</w:t>
      </w:r>
      <w:r>
        <w:rPr>
          <w:rFonts w:ascii="Garamond" w:hAnsi="Garamond"/>
          <w:sz w:val="18"/>
          <w:szCs w:val="18"/>
        </w:rPr>
        <w:t xml:space="preserve"> </w:t>
      </w:r>
      <w:r w:rsidRPr="00BA624C">
        <w:rPr>
          <w:rFonts w:ascii="Garamond" w:hAnsi="Garamond"/>
          <w:sz w:val="18"/>
          <w:szCs w:val="18"/>
        </w:rPr>
        <w:t xml:space="preserve">qëllime të mbrojtjes së interesave të anëtarëve dhe të palëve të treta, duhet të zbatohen nga shoqëritë e shteteve anëtare, në kuptimin e paragrafit të dytë të nenit 48, të Traktatit, dhe me qëllim për t'i bërë këto masa ekuivalente", të ndryshuar". Numri CELEX: 32009L0101, Fletorja Zyrtare e Bashkimit Europian, </w:t>
      </w:r>
      <w:r>
        <w:rPr>
          <w:rFonts w:ascii="Garamond" w:hAnsi="Garamond"/>
          <w:sz w:val="18"/>
          <w:szCs w:val="18"/>
        </w:rPr>
        <w:t>s</w:t>
      </w:r>
      <w:r w:rsidRPr="00BA624C">
        <w:rPr>
          <w:rFonts w:ascii="Garamond" w:hAnsi="Garamond"/>
          <w:sz w:val="18"/>
          <w:szCs w:val="18"/>
        </w:rPr>
        <w:t xml:space="preserve">eria L, </w:t>
      </w:r>
      <w:r>
        <w:rPr>
          <w:rFonts w:ascii="Garamond" w:hAnsi="Garamond"/>
          <w:sz w:val="18"/>
          <w:szCs w:val="18"/>
        </w:rPr>
        <w:t>n</w:t>
      </w:r>
      <w:r w:rsidRPr="00BA624C">
        <w:rPr>
          <w:rFonts w:ascii="Garamond" w:hAnsi="Garamond"/>
          <w:sz w:val="18"/>
          <w:szCs w:val="18"/>
        </w:rPr>
        <w:t>r. 258, datë 1.10.2009, faqe 11-19</w:t>
      </w:r>
      <w:r w:rsidRPr="00FD411E">
        <w:rPr>
          <w:rFonts w:ascii="Garamond" w:hAnsi="Garamond"/>
          <w:sz w:val="18"/>
          <w:szCs w:val="18"/>
          <w:lang w:val="en-US"/>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revisionView w:inkAnnotations="0"/>
  <w:defaultTabStop w:val="720"/>
  <w:characterSpacingControl w:val="doNotCompress"/>
  <w:footnotePr>
    <w:footnote w:id="0"/>
    <w:footnote w:id="1"/>
  </w:footnotePr>
  <w:endnotePr>
    <w:endnote w:id="0"/>
    <w:endnote w:id="1"/>
  </w:endnotePr>
  <w:compat/>
  <w:rsids>
    <w:rsidRoot w:val="00E96E6F"/>
    <w:rsid w:val="00013606"/>
    <w:rsid w:val="001D125B"/>
    <w:rsid w:val="001D465E"/>
    <w:rsid w:val="002C0AA4"/>
    <w:rsid w:val="002E7553"/>
    <w:rsid w:val="00332E0F"/>
    <w:rsid w:val="00455FC5"/>
    <w:rsid w:val="004A4709"/>
    <w:rsid w:val="00627136"/>
    <w:rsid w:val="007A33AA"/>
    <w:rsid w:val="00912120"/>
    <w:rsid w:val="00A3508F"/>
    <w:rsid w:val="00B441A3"/>
    <w:rsid w:val="00D27DAF"/>
    <w:rsid w:val="00E12DC7"/>
    <w:rsid w:val="00E96E6F"/>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E6F"/>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96E6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96E6F"/>
    <w:rPr>
      <w:rFonts w:ascii="Garamond" w:eastAsia="MS Mincho" w:hAnsi="Garamond" w:cs="CG Times"/>
      <w:sz w:val="24"/>
    </w:rPr>
  </w:style>
  <w:style w:type="paragraph" w:customStyle="1" w:styleId="Hapesira7">
    <w:name w:val="Hapesira 7"/>
    <w:basedOn w:val="Paragrafi"/>
    <w:qFormat/>
    <w:rsid w:val="00E96E6F"/>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96E6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96E6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E96E6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3666</Words>
  <Characters>20902</Characters>
  <Application>Microsoft Office Word</Application>
  <DocSecurity>0</DocSecurity>
  <Lines>174</Lines>
  <Paragraphs>49</Paragraphs>
  <ScaleCrop>false</ScaleCrop>
  <Company>Grizli777</Company>
  <LinksUpToDate>false</LinksUpToDate>
  <CharactersWithSpaces>24519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2015-03-10T08:14:00Z</dcterms:created>
  <dcterms:modified xsi:type="dcterms:W3CDTF">2015-03-10T08:15:00Z</dcterms:modified>
</cp:coreProperties>
</file>