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LIGJ</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Nr. 133/2015</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PËR TRAJTIMIN E PRONËS DHE PËRFUNDIMIN E PROCESIT TË KOMPENSIMIT TË PRONAVE</w:t>
      </w:r>
    </w:p>
    <w:p w:rsidR="003B39C1" w:rsidRPr="00C37B9B" w:rsidRDefault="0079086E" w:rsidP="0079086E">
      <w:pPr>
        <w:spacing w:after="0" w:line="240" w:lineRule="auto"/>
        <w:jc w:val="center"/>
        <w:rPr>
          <w:rFonts w:ascii="Garamond" w:hAnsi="Garamond"/>
          <w:i/>
          <w:sz w:val="24"/>
          <w:szCs w:val="24"/>
        </w:rPr>
      </w:pPr>
      <w:r w:rsidRPr="00C37B9B">
        <w:rPr>
          <w:rFonts w:ascii="Garamond" w:hAnsi="Garamond"/>
          <w:bCs/>
          <w:i/>
          <w:sz w:val="24"/>
          <w:szCs w:val="24"/>
        </w:rPr>
        <w:t>(</w:t>
      </w:r>
      <w:r w:rsidR="000F0F2E" w:rsidRPr="00C37B9B">
        <w:rPr>
          <w:rFonts w:ascii="Garamond" w:hAnsi="Garamond"/>
          <w:bCs/>
          <w:i/>
          <w:sz w:val="24"/>
          <w:szCs w:val="24"/>
        </w:rPr>
        <w:t xml:space="preserve">Ndryshuar </w:t>
      </w:r>
      <w:r w:rsidRPr="00C37B9B">
        <w:rPr>
          <w:rFonts w:ascii="Garamond" w:hAnsi="Garamond"/>
          <w:bCs/>
          <w:i/>
          <w:sz w:val="24"/>
          <w:szCs w:val="24"/>
        </w:rPr>
        <w:t>me vendimet</w:t>
      </w:r>
      <w:r w:rsidR="005A5A2E" w:rsidRPr="00C37B9B">
        <w:rPr>
          <w:rFonts w:ascii="Garamond" w:hAnsi="Garamond"/>
          <w:bCs/>
          <w:i/>
          <w:sz w:val="24"/>
          <w:szCs w:val="24"/>
        </w:rPr>
        <w:t xml:space="preserve"> e Gjykatës Kushtetuese </w:t>
      </w:r>
      <w:r w:rsidR="003B39C1" w:rsidRPr="00C37B9B">
        <w:rPr>
          <w:rFonts w:ascii="Garamond" w:hAnsi="Garamond"/>
          <w:bCs/>
          <w:i/>
          <w:sz w:val="24"/>
          <w:szCs w:val="24"/>
        </w:rPr>
        <w:t>nr.1, datë 16.1.2017</w:t>
      </w:r>
      <w:r w:rsidRPr="00C37B9B">
        <w:rPr>
          <w:rFonts w:ascii="Garamond" w:hAnsi="Garamond"/>
          <w:bCs/>
          <w:i/>
          <w:sz w:val="24"/>
          <w:szCs w:val="24"/>
        </w:rPr>
        <w:t xml:space="preserve">; </w:t>
      </w:r>
      <w:r w:rsidRPr="00C37B9B">
        <w:rPr>
          <w:rFonts w:ascii="Garamond" w:hAnsi="Garamond"/>
          <w:i/>
          <w:sz w:val="24"/>
          <w:szCs w:val="24"/>
        </w:rPr>
        <w:t>nr. 4, datë 8.3.2021</w:t>
      </w:r>
      <w:r w:rsidR="006F0D63" w:rsidRPr="00C37B9B">
        <w:rPr>
          <w:rFonts w:ascii="Garamond" w:hAnsi="Garamond"/>
          <w:i/>
          <w:sz w:val="24"/>
          <w:szCs w:val="24"/>
        </w:rPr>
        <w:t>;</w:t>
      </w:r>
      <w:r w:rsidR="005A5A2E" w:rsidRPr="00C37B9B">
        <w:rPr>
          <w:rFonts w:ascii="Garamond" w:hAnsi="Garamond"/>
          <w:i/>
          <w:sz w:val="24"/>
          <w:szCs w:val="24"/>
        </w:rPr>
        <w:t xml:space="preserve"> ligjin</w:t>
      </w:r>
      <w:r w:rsidR="006F0D63" w:rsidRPr="00C37B9B">
        <w:rPr>
          <w:rFonts w:ascii="Garamond" w:hAnsi="Garamond"/>
          <w:i/>
          <w:sz w:val="24"/>
          <w:szCs w:val="24"/>
        </w:rPr>
        <w:t xml:space="preserve"> nr. 77/2022, datë 17.11.2022</w:t>
      </w:r>
      <w:r w:rsidR="003B39C1" w:rsidRPr="00C37B9B">
        <w:rPr>
          <w:rFonts w:ascii="Garamond" w:hAnsi="Garamond"/>
          <w:bCs/>
          <w:i/>
          <w:sz w:val="24"/>
          <w:szCs w:val="24"/>
        </w:rPr>
        <w:t>)</w:t>
      </w:r>
    </w:p>
    <w:p w:rsidR="000F0F2E" w:rsidRPr="00C37B9B" w:rsidRDefault="000F0F2E" w:rsidP="000F0F2E">
      <w:pPr>
        <w:spacing w:after="0"/>
        <w:jc w:val="right"/>
        <w:rPr>
          <w:rFonts w:ascii="Garamond" w:hAnsi="Garamond"/>
          <w:i/>
          <w:sz w:val="24"/>
          <w:szCs w:val="24"/>
        </w:rPr>
      </w:pPr>
    </w:p>
    <w:p w:rsidR="003B39C1" w:rsidRPr="00C37B9B" w:rsidRDefault="005A5A2E" w:rsidP="000F0F2E">
      <w:pPr>
        <w:spacing w:after="0"/>
        <w:jc w:val="right"/>
        <w:rPr>
          <w:rFonts w:ascii="Garamond" w:hAnsi="Garamond"/>
          <w:i/>
          <w:sz w:val="24"/>
          <w:szCs w:val="24"/>
        </w:rPr>
      </w:pPr>
      <w:r w:rsidRPr="00C37B9B">
        <w:rPr>
          <w:rFonts w:ascii="Garamond" w:hAnsi="Garamond"/>
          <w:i/>
          <w:sz w:val="24"/>
          <w:szCs w:val="24"/>
        </w:rPr>
        <w:t>(i</w:t>
      </w:r>
      <w:r w:rsidR="000F0F2E" w:rsidRPr="00C37B9B">
        <w:rPr>
          <w:rFonts w:ascii="Garamond" w:hAnsi="Garamond"/>
          <w:i/>
          <w:sz w:val="24"/>
          <w:szCs w:val="24"/>
        </w:rPr>
        <w:t xml:space="preserve"> përditësuar)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Në mbështetje të neneve 41, 78, 83, pika 1, dhe 181 të Kushtetutës, me propozimin e Këshillit të Ministrave, </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KUVENDI</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I REPUBLIKËS SË SHQIPËRISË</w:t>
      </w:r>
      <w:bookmarkStart w:id="0" w:name="_GoBack"/>
      <w:bookmarkEnd w:id="0"/>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VENDOSI:</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KREU I</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DISPOZITA TË PËRGJITHSHME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Objekti i ligjit</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Ky ligj ka për objekt: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rregullimin dhe shpërblimin e drejtë të çështjeve të së drejtës së pronësisë që kanë lindur nga shpronësimet, shtetëzimet ose konfiskimet, në përputhje me nenin 41 të Kushtetutës dhe nenin 1 të Protokollit 1 të Konventës Europiane për Mbrojtjen e të Drejtave të Njeriut dhe Lirive Themelore;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krijimin dhe administrimin e Fondit të Kompensimit, që do të shërbejë për kompensimin e pronave;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c) përcaktimin e procedurave për trajtimin e pronës e përfundimin e procesit të kompensimit të pronave, si dhe të organeve administrative të ngarkuara për realizimin e tyre.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Qëllimi</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Qëllimi i këtij ligji është: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përfundimi, në përputhje me këtë ligj, i procesit të trajtimit nëpërmjet njohjes dhe kompensimit të pronave të subjekteve, të cilave u janë shpronësuar, shtetëzuar ose konfiskuar pronat, sipas akteve ligjore e nënligjore, vendimeve penale të gjykatave ose të marra me çdo mënyrë tjetër të padrejtë nga shteti komunist prej datës 29.11.1944;</w:t>
      </w:r>
    </w:p>
    <w:p w:rsidR="003B39C1" w:rsidRPr="00C37B9B" w:rsidRDefault="003B39C1" w:rsidP="003B39C1">
      <w:pPr>
        <w:spacing w:after="0"/>
        <w:rPr>
          <w:rFonts w:ascii="Garamond" w:hAnsi="Garamond"/>
          <w:sz w:val="24"/>
          <w:szCs w:val="24"/>
        </w:rPr>
      </w:pPr>
      <w:r w:rsidRPr="00C37B9B">
        <w:rPr>
          <w:rFonts w:ascii="Garamond" w:hAnsi="Garamond"/>
          <w:sz w:val="24"/>
          <w:szCs w:val="24"/>
        </w:rPr>
        <w:lastRenderedPageBreak/>
        <w:tab/>
        <w:t>b) rregullimi dhe shpërblimi i drejtë i kompensimit të pronës, ekzekutimi i vendimeve  përfundimtare të kompensimit, si dhe përfundimi i procesit të kompensimit, brenda afateve të përcaktuara në këtë ligj, nëpërmjet fondit të kompensimit.</w:t>
      </w:r>
    </w:p>
    <w:p w:rsidR="003B39C1" w:rsidRPr="00C37B9B" w:rsidRDefault="003B39C1" w:rsidP="003B39C1">
      <w:pPr>
        <w:spacing w:after="0"/>
        <w:rPr>
          <w:rFonts w:ascii="Garamond" w:hAnsi="Garamond"/>
          <w:sz w:val="24"/>
          <w:szCs w:val="24"/>
        </w:rPr>
      </w:pPr>
    </w:p>
    <w:p w:rsidR="00103917" w:rsidRPr="00C37B9B" w:rsidRDefault="00103917"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Fusha e zbatimit</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Ky ligj vepron për të gjitha kërkesat, të cilat janë në shqyrtim në AKKP, në ditën e hyrjes në fuqi të tij, si edhe mbi të gjitha ato kërkesa, të cilat do të paraqiten brenda afateve të këtij ligji, sa i takon njohjes së të drejtës së pronës.</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Gjithashtu, ky ligj i shtrin efektet, sa i takon vlerësimit financiar, për: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ekzekutimin e të gjitha vendimeve, të cilat nuk janë zbatuar, për njohjen e së drejtës së kompensimit, të dhëna nga organet administrative ose gjyqësore në vendin tonë;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çështjet që janë në shqyrtim në gjykatat e të gjitha niveleve, në Gjykatën e Lartë, si edhe në Gjykatën Europiane të të Drejtave të Njeriut, sa i takon vlerësimit financiar të tyre.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4</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Pronat që përjashtohen nga trajtimi</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Nuk u nënshtrohen dispozitave të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1. Pronat e përfituara si rezultat i zbatimit të ligjit nr. 108, datë 29.8.1945, për “Reformën agrare”, me ndryshimet e mëvonshme.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Shpronësimet kundrejt një shpërblimi të drejtë, sipas përcaktimeve të kohës.</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Pronat që i janë dhuruar shtetit, veprim për të cilin ka dokumente zyrtare.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5</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Përkufizime</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Në këtë ligj termat e mëposhtëm kanë këto kuptime:</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1. “Agjencia e Trajtimit të Pronës (ATP)”</w:t>
      </w:r>
      <w:r w:rsidRPr="00C37B9B">
        <w:rPr>
          <w:rFonts w:ascii="Garamond" w:hAnsi="Garamond"/>
          <w:sz w:val="24"/>
          <w:szCs w:val="24"/>
        </w:rPr>
        <w:t xml:space="preserve"> është personi juridik publik, në varësi të Ministrit të Drejtësisë, i cili ushtron përgjegjësitë e ngarkuara me këtë ligj dhe legjislacionin në fuqi.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2. “Fondi Financiar i Kompensimit”</w:t>
      </w:r>
      <w:r w:rsidRPr="00C37B9B">
        <w:rPr>
          <w:rFonts w:ascii="Garamond" w:hAnsi="Garamond"/>
          <w:sz w:val="24"/>
          <w:szCs w:val="24"/>
        </w:rPr>
        <w:t xml:space="preserve"> është fondi special, në kuptim të nenit 7, të ligjit nr. 9936, datë 26.6.2008, “Për menaxhimin e sistemit buxhetor në Republikën e Shqipërisë”, i cili përdoret për kompensimin financiar të subjekteve të shpronësuara, të cilave u është njohur e drejta e kompensimit.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3. “Fond i tokës”</w:t>
      </w:r>
      <w:r w:rsidRPr="00C37B9B">
        <w:rPr>
          <w:rFonts w:ascii="Garamond" w:hAnsi="Garamond"/>
          <w:sz w:val="24"/>
          <w:szCs w:val="24"/>
        </w:rPr>
        <w:t xml:space="preserve"> është fondi fizik i pronave me status juridik shtet, që, me vendim të Këshillit të Ministrave apo vendim të ATP-së, vihet në dispozicion për kompensimin fizik të subjekteve të shpronësuara që disponojnë vendime përfu-ndimtare për kompensim. </w:t>
      </w:r>
    </w:p>
    <w:p w:rsidR="003B39C1" w:rsidRPr="00C37B9B" w:rsidRDefault="003B39C1" w:rsidP="003B39C1">
      <w:pPr>
        <w:spacing w:after="0"/>
        <w:rPr>
          <w:rFonts w:ascii="Garamond" w:hAnsi="Garamond"/>
          <w:sz w:val="24"/>
          <w:szCs w:val="24"/>
        </w:rPr>
      </w:pPr>
      <w:r w:rsidRPr="00C37B9B">
        <w:rPr>
          <w:rFonts w:ascii="Garamond" w:hAnsi="Garamond"/>
          <w:bCs/>
          <w:sz w:val="24"/>
          <w:szCs w:val="24"/>
        </w:rPr>
        <w:lastRenderedPageBreak/>
        <w:tab/>
        <w:t>4. “Harta e vlerës”</w:t>
      </w:r>
      <w:r w:rsidRPr="00C37B9B">
        <w:rPr>
          <w:rFonts w:ascii="Garamond" w:hAnsi="Garamond"/>
          <w:sz w:val="24"/>
          <w:szCs w:val="24"/>
        </w:rPr>
        <w:t xml:space="preserve"> është harta e përcaktuar me vendimin përkatës të Këshillit të Ministrave “Për miratimin e vlerës së pronës për secilin qark të Republikës së Shqipërisë”, që është në fuqi në momentin e hyrjes në fuqi të këtij ligji.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5. “Kompensim”</w:t>
      </w:r>
      <w:r w:rsidRPr="00C37B9B">
        <w:rPr>
          <w:rFonts w:ascii="Garamond" w:hAnsi="Garamond"/>
          <w:sz w:val="24"/>
          <w:szCs w:val="24"/>
        </w:rPr>
        <w:t xml:space="preserve"> është shpërblimi i drejtë, sipas procedurave të përcaktuara në këtë ligj. Format e kompensimit janë: “Kompensim financiar”, “Kompensim fizik nga fondi i tokës” dhe “Kompensim fizik brenda pronës së njohur subjektit të shpronësuar”.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6. “Kompensim fizik brenda pronës së njohur subjektit të shpronësuar”</w:t>
      </w:r>
      <w:r w:rsidRPr="00C37B9B">
        <w:rPr>
          <w:rFonts w:ascii="Garamond" w:hAnsi="Garamond"/>
          <w:sz w:val="24"/>
          <w:szCs w:val="24"/>
        </w:rPr>
        <w:t xml:space="preserve"> është sipërfaqja e pasurisë që është vendosur t’u jepet subjekteve të shpronësuara me vendim përfundimtar.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7. “Ndërtim”</w:t>
      </w:r>
      <w:r w:rsidRPr="00C37B9B">
        <w:rPr>
          <w:rFonts w:ascii="Garamond" w:hAnsi="Garamond"/>
          <w:sz w:val="24"/>
          <w:szCs w:val="24"/>
        </w:rPr>
        <w:t xml:space="preserve"> është çdo objekt që ndërtohet ose instalohet në territor, me vendosje të palëvizshme apo të përkohshme dhe që zhvillohet nën dhe/ose mbi tokë, sipas legjislacionit në fuqi.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8. “Pronë”</w:t>
      </w:r>
      <w:r w:rsidRPr="00C37B9B">
        <w:rPr>
          <w:rFonts w:ascii="Garamond" w:hAnsi="Garamond"/>
          <w:sz w:val="24"/>
          <w:szCs w:val="24"/>
        </w:rPr>
        <w:t xml:space="preserve"> është një send i paluajtshëm, sipas përcaktimit në Kodin Civil</w:t>
      </w:r>
      <w:r w:rsidRPr="00C37B9B">
        <w:rPr>
          <w:rFonts w:ascii="Garamond" w:hAnsi="Garamond"/>
          <w:bCs/>
          <w:sz w:val="24"/>
          <w:szCs w:val="24"/>
        </w:rPr>
        <w:t>.</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9. “Subjekt i shpronësuar”</w:t>
      </w:r>
      <w:r w:rsidRPr="00C37B9B">
        <w:rPr>
          <w:rFonts w:ascii="Garamond" w:hAnsi="Garamond"/>
          <w:sz w:val="24"/>
          <w:szCs w:val="24"/>
        </w:rPr>
        <w:t xml:space="preserve"> janë personat juridikë ose fizikë apo trashëgimtarët e tyre, prona e të cilëve është shtetëzuar, shpronësuar, konfiskuar ose marrë me çdo mënyrë tjetër të padrejtë nga shteti.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10. “Strukturat përgjegjëse”</w:t>
      </w:r>
      <w:r w:rsidRPr="00C37B9B">
        <w:rPr>
          <w:rFonts w:ascii="Garamond" w:hAnsi="Garamond"/>
          <w:sz w:val="24"/>
          <w:szCs w:val="24"/>
        </w:rPr>
        <w:t xml:space="preserve"> janë të gjitha organet e përcaktuara nga legjislacioni në fuqi i kohës, i ngarkuar për të vepruar në fushën e kthimit dhe kompensimit të pronave.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11. “Tokë”</w:t>
      </w:r>
      <w:r w:rsidRPr="00C37B9B">
        <w:rPr>
          <w:rFonts w:ascii="Garamond" w:hAnsi="Garamond"/>
          <w:sz w:val="24"/>
          <w:szCs w:val="24"/>
        </w:rPr>
        <w:t xml:space="preserve"> është toka bujqësore, toka pyjore, pyjet, livadhet e kullotat, tokat e pafrytshme dhe trualli.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12. “Tokë bujqësore”</w:t>
      </w:r>
      <w:r w:rsidRPr="00C37B9B">
        <w:rPr>
          <w:rFonts w:ascii="Garamond" w:hAnsi="Garamond"/>
          <w:sz w:val="24"/>
          <w:szCs w:val="24"/>
        </w:rPr>
        <w:t xml:space="preserve"> është toka që ndodhet jashtë vijave kufizuese të qyteteve e qendrave të banuara në çastin e shpronësimit dhe që si e tillë figuron në regjistrat kadastralë të shtetit, e zënë me bimët e arave, pemishtet, vreshtat dhe ullishtat, kudo ku ndodhet dhe që ka veçori thelbësore të saj pjellorinë.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13. “Truall”</w:t>
      </w:r>
      <w:r w:rsidRPr="00C37B9B">
        <w:rPr>
          <w:rFonts w:ascii="Garamond" w:hAnsi="Garamond"/>
          <w:sz w:val="24"/>
          <w:szCs w:val="24"/>
        </w:rPr>
        <w:t xml:space="preserve"> është toka që ndodhet brenda vijave kufizuese të qyteteve e qendrave të banuara në çastin e shpronësimit. Kur për qendrën e banuar nuk ka pasur vijë kufizuese, truall do të jetë sipërfaqja e tokës që zë objekti i ndërtuar mbi të dhe oborri funksional. Sipërfaqja e këtij të fundit llogaritet sa trefishi i sipërfaqes së objektit, por jo më shumë se 500 metra katrorë.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14. “Truall industrial”</w:t>
      </w:r>
      <w:r w:rsidRPr="00C37B9B">
        <w:rPr>
          <w:rFonts w:ascii="Garamond" w:hAnsi="Garamond"/>
          <w:sz w:val="24"/>
          <w:szCs w:val="24"/>
        </w:rPr>
        <w:t xml:space="preserve"> është sipërfaqja e tokës që ndodhej jashtë vijave kufizuese të qyteteve dhe qendrave të banuara në çastin e shpronësimit, mbi të cilën kanë qenë të ngritura objekte të përhershme ndërtimore për qëllime ekonomike ose që i shërbejnë funksionit të tyre.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15. “Tjetërsim”</w:t>
      </w:r>
      <w:r w:rsidRPr="00C37B9B">
        <w:rPr>
          <w:rFonts w:ascii="Garamond" w:hAnsi="Garamond"/>
          <w:sz w:val="24"/>
          <w:szCs w:val="24"/>
        </w:rPr>
        <w:t xml:space="preserve"> është kalimi i pronësisë ose kalimi i të drejtave të tjera reale, sipas Kodit Civil.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16. “Vlerësim”</w:t>
      </w:r>
      <w:r w:rsidRPr="00C37B9B">
        <w:rPr>
          <w:rFonts w:ascii="Garamond" w:hAnsi="Garamond"/>
          <w:sz w:val="24"/>
          <w:szCs w:val="24"/>
        </w:rPr>
        <w:t xml:space="preserve"> është vlerësimi financiar që ATP-ja i bën vendimit përfundimtar të kompensimit, sipas dispozitave të këtij ligji.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17. “Vendim përfundimtar”</w:t>
      </w:r>
      <w:r w:rsidRPr="00C37B9B">
        <w:rPr>
          <w:rFonts w:ascii="Garamond" w:hAnsi="Garamond"/>
          <w:sz w:val="24"/>
          <w:szCs w:val="24"/>
        </w:rPr>
        <w:t xml:space="preserve"> është çdo vendim administrativ ose gjyqësor, i cili nuk i nënshtrohet më një procedure kontrolli dhe rishikimi nga një autoritet më i lartë administrativ ose gjyqësor, duke përfshirë këtu vendimet e formës së prerë dhe kur këto i janë nënshtruar rekursit, si përfundimtar konsiderohet vendimi i Gjykatës së Lartë.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18. “Vendim për kthim/kompensim”</w:t>
      </w:r>
      <w:r w:rsidRPr="00C37B9B">
        <w:rPr>
          <w:rFonts w:ascii="Garamond" w:hAnsi="Garamond"/>
          <w:sz w:val="24"/>
          <w:szCs w:val="24"/>
        </w:rPr>
        <w:t xml:space="preserve"> janë vendimet e ish-komisioneve të kthimit dhe kompensimit të pronave, zyrave rajonale vendore të kthimit dhe kompensimit të pronave dhe të Agjencisë së Kthimit dhe Kompensimit të Pronave. </w:t>
      </w:r>
    </w:p>
    <w:p w:rsidR="003B39C1" w:rsidRPr="00C37B9B" w:rsidRDefault="003B39C1" w:rsidP="003B39C1">
      <w:pPr>
        <w:spacing w:after="0"/>
        <w:rPr>
          <w:rFonts w:ascii="Garamond" w:hAnsi="Garamond"/>
          <w:sz w:val="24"/>
          <w:szCs w:val="24"/>
        </w:rPr>
      </w:pPr>
      <w:r w:rsidRPr="00C37B9B">
        <w:rPr>
          <w:rFonts w:ascii="Garamond" w:hAnsi="Garamond"/>
          <w:bCs/>
          <w:sz w:val="24"/>
          <w:szCs w:val="24"/>
        </w:rPr>
        <w:lastRenderedPageBreak/>
        <w:tab/>
        <w:t>19. “Zë kadastral”</w:t>
      </w:r>
      <w:r w:rsidRPr="00C37B9B">
        <w:rPr>
          <w:rFonts w:ascii="Garamond" w:hAnsi="Garamond"/>
          <w:sz w:val="24"/>
          <w:szCs w:val="24"/>
        </w:rPr>
        <w:t xml:space="preserve"> është lloji i pasurisë dhe llojet e zërave kadastralë të trajtuar në këtë ligj, që janë truall, arë, pyll, livadh, kullotë dhe tokë e pafrytshme. </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 xml:space="preserve">20. “Zonë kadastrale” </w:t>
      </w:r>
      <w:r w:rsidRPr="00C37B9B">
        <w:rPr>
          <w:rFonts w:ascii="Garamond" w:hAnsi="Garamond"/>
          <w:sz w:val="24"/>
          <w:szCs w:val="24"/>
        </w:rPr>
        <w:t xml:space="preserve">është ndarja e pasurive, sipas hartës së Zyrës së Regjistrimit të Pasurive të Paluajtshme. </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KREU II</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RREGULLAT PËR  KOMPENSIMIN</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6</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Metodologjia e vlerësimit</w:t>
      </w:r>
    </w:p>
    <w:p w:rsidR="00103917" w:rsidRPr="00C37B9B" w:rsidRDefault="00103917" w:rsidP="003B39C1">
      <w:pPr>
        <w:spacing w:after="0"/>
        <w:jc w:val="center"/>
        <w:rPr>
          <w:rFonts w:ascii="Garamond" w:hAnsi="Garamond"/>
          <w:bCs/>
          <w:i/>
          <w:sz w:val="24"/>
          <w:szCs w:val="24"/>
        </w:rPr>
      </w:pPr>
      <w:r w:rsidRPr="00C37B9B">
        <w:rPr>
          <w:rFonts w:ascii="Garamond" w:hAnsi="Garamond"/>
          <w:bCs/>
          <w:i/>
          <w:sz w:val="24"/>
          <w:szCs w:val="24"/>
        </w:rPr>
        <w:t>(shfuqizuar pikat 3 dhe 5 me vendimin e Gjykatës Kushtetuese nr.</w:t>
      </w:r>
      <w:r w:rsidR="005A5A2E" w:rsidRPr="00C37B9B">
        <w:rPr>
          <w:rFonts w:ascii="Garamond" w:hAnsi="Garamond"/>
          <w:bCs/>
          <w:i/>
          <w:sz w:val="24"/>
          <w:szCs w:val="24"/>
        </w:rPr>
        <w:t xml:space="preserve"> </w:t>
      </w:r>
      <w:r w:rsidRPr="00C37B9B">
        <w:rPr>
          <w:rFonts w:ascii="Garamond" w:hAnsi="Garamond"/>
          <w:bCs/>
          <w:i/>
          <w:sz w:val="24"/>
          <w:szCs w:val="24"/>
        </w:rPr>
        <w:t>1, datë 16.1.2017</w:t>
      </w:r>
      <w:r w:rsidR="006F0D63" w:rsidRPr="00C37B9B">
        <w:rPr>
          <w:rFonts w:ascii="Garamond" w:hAnsi="Garamond"/>
          <w:bCs/>
          <w:i/>
          <w:sz w:val="24"/>
          <w:szCs w:val="24"/>
        </w:rPr>
        <w:t>; shtuar pika 2/1, zëvendësuar fjalë në pikën 7 me ligjin nr. 77/2022, datë 17.11.2022</w:t>
      </w:r>
      <w:r w:rsidRPr="00C37B9B">
        <w:rPr>
          <w:rFonts w:ascii="Garamond" w:hAnsi="Garamond"/>
          <w:bCs/>
          <w:i/>
          <w:sz w:val="24"/>
          <w:szCs w:val="24"/>
        </w:rPr>
        <w:t>)</w:t>
      </w:r>
    </w:p>
    <w:p w:rsidR="003B39C1" w:rsidRPr="00C37B9B" w:rsidRDefault="003B39C1" w:rsidP="003B39C1">
      <w:pPr>
        <w:spacing w:after="0"/>
        <w:rPr>
          <w:rFonts w:ascii="Garamond" w:hAnsi="Garamond"/>
          <w:i/>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1. Për efekt të ekzekutimit, të gjitha vendimet përfundimtare për kthimin dhe kompensimin e pronës do t’i nënshtrohen vlerësimit financiar nga ATP-ja, si më poshtë: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a) prona e njohur për kompensim vlerësohet në bazë të zërit kadastral që ka pasur në kohën e shpronësimit;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prona e kthyer vlerësohet duke e përcaktuar atë nga diferenca, që do të rezultojë midis vlerës së saj, sipas zërit kadastral aktual, dhe vlerës së kësaj prone, sipas zërit kadastral në kohën e shpronësimit.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Vendimet përfundimtare, që kanë të njohur vetëm të drejtën e kompensimit, vlerësohen financiarisht, sipas zërit kadastral që ka pasur prona në kohën e shpronësimit, sipas shkronjës “a”, të pikës 1, të këtij neni.</w:t>
      </w:r>
    </w:p>
    <w:p w:rsidR="006F0D63" w:rsidRPr="00C37B9B" w:rsidRDefault="006F0D63" w:rsidP="006F0D63">
      <w:pPr>
        <w:spacing w:after="0"/>
        <w:ind w:firstLine="720"/>
        <w:rPr>
          <w:rFonts w:ascii="Garamond" w:hAnsi="Garamond"/>
          <w:sz w:val="24"/>
          <w:szCs w:val="24"/>
        </w:rPr>
      </w:pPr>
      <w:r w:rsidRPr="00C37B9B">
        <w:rPr>
          <w:rFonts w:ascii="Garamond" w:hAnsi="Garamond" w:cs="Times New Roman"/>
          <w:bCs/>
          <w:sz w:val="24"/>
          <w:szCs w:val="24"/>
        </w:rPr>
        <w:t>2/1. Vlerësimi financiar i vendimeve përfundimtare duhet të sigurojë që vlera e përgjithshme e kompensimit, pavarësisht formës së kompensimit, të jetë jo më pak se 10 për qind e vlerës së pronës, të llogaritur sipas zërit kadastral aktual. Për këtë qëllim, kur pronës së njohur për kompensim i ka ndryshuar zëri kadastral, si dhe nga vlerësimi i vendimeve përfundimtare, sipas pikave 1 dhe 2 të këtij neni, rezulton që subjekti i shpronësuar përfiton më pak se 10 për qind të vlerës së pronës së llogaritur sipas zërit kadastral aktual, prona e njohur për kompensim vlerësohet në bazë të zërit kadastral aktual.</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3. </w:t>
      </w:r>
      <w:r w:rsidR="00103917" w:rsidRPr="00C37B9B">
        <w:rPr>
          <w:rFonts w:ascii="Garamond" w:hAnsi="Garamond"/>
          <w:sz w:val="24"/>
          <w:szCs w:val="24"/>
        </w:rPr>
        <w:t>Shfuqizuar.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4. Vlerësimi për vendimin përfundimtar që ka njohur të drejtën e kompensimit bëhet duke marrë si referim zërin kadastral, sipas origjinës së pronës, që ndodhet më afër pronës që do të kompensohet, duke u bazuar në hartën e vlerës në kohën e hyrjes në fuqi të këtij ligji. Në rast se pranë pronës që do të kompensohet gjenden disa zëra kadastralë të njëjtë me atë të origjinës së pronës, me distancë të njëjtë dhe me vlera të ndryshme, atëherë për referim në përllogaritje merret zona që ka çmimin më të lartë.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5. </w:t>
      </w:r>
      <w:r w:rsidR="00103917" w:rsidRPr="00C37B9B">
        <w:rPr>
          <w:rFonts w:ascii="Garamond" w:hAnsi="Garamond"/>
          <w:sz w:val="24"/>
          <w:szCs w:val="24"/>
        </w:rPr>
        <w:t>Shfuqizuar.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6. Vlera e aksioneve, obligacioneve, kompen-simit financiar apo çdo lloj kompensimi tjetër, duke përfshirë vlerën e pronës së përfituar nga dispozitat ligjore për ndarjen e tokës bujqësore, që </w:t>
      </w:r>
      <w:r w:rsidRPr="00C37B9B">
        <w:rPr>
          <w:rFonts w:ascii="Garamond" w:hAnsi="Garamond"/>
          <w:sz w:val="24"/>
          <w:szCs w:val="24"/>
        </w:rPr>
        <w:lastRenderedPageBreak/>
        <w:t>subjekti apo trashëgimtarët e tij kanë përfituar më parë, zbritet nga shuma e përllogaritur për kompensim.</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7. Për vendimet e kompensimit, të përcaktuara me vlerë dhe ende të paekzekutuara, nga periudha e njohjes së të drejtës për kompensim deri në </w:t>
      </w:r>
      <w:r w:rsidR="006F0D63" w:rsidRPr="00C37B9B">
        <w:rPr>
          <w:rFonts w:ascii="Garamond" w:hAnsi="Garamond"/>
          <w:sz w:val="24"/>
          <w:szCs w:val="24"/>
        </w:rPr>
        <w:t>datën e publikimit</w:t>
      </w:r>
      <w:r w:rsidRPr="00C37B9B">
        <w:rPr>
          <w:rFonts w:ascii="Garamond" w:hAnsi="Garamond"/>
          <w:sz w:val="24"/>
          <w:szCs w:val="24"/>
        </w:rPr>
        <w:t>, subjektet e  shpronësuara do të përfitojnë indeksimin, sipas vlerës zyrtare të inflacionit dhe interesin bankar, sipas mesatares vjetore të nxjerrë nga Banka e Shqipërisë në momentin e hyrjes në fuqi të këtij ligji.</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7</w:t>
      </w:r>
    </w:p>
    <w:p w:rsidR="003B39C1" w:rsidRPr="00C37B9B" w:rsidRDefault="0079086E" w:rsidP="0079086E">
      <w:pPr>
        <w:spacing w:after="0"/>
        <w:jc w:val="center"/>
        <w:rPr>
          <w:rFonts w:ascii="Garamond" w:hAnsi="Garamond"/>
          <w:sz w:val="24"/>
          <w:szCs w:val="24"/>
        </w:rPr>
      </w:pPr>
      <w:r w:rsidRPr="00C37B9B">
        <w:rPr>
          <w:rFonts w:ascii="Garamond" w:hAnsi="Garamond"/>
          <w:sz w:val="24"/>
          <w:szCs w:val="24"/>
          <w:shd w:val="clear" w:color="auto" w:fill="FFFFFF"/>
        </w:rPr>
        <w:t>(</w:t>
      </w:r>
      <w:r w:rsidRPr="00C37B9B">
        <w:rPr>
          <w:rFonts w:ascii="Garamond" w:hAnsi="Garamond"/>
          <w:i/>
          <w:sz w:val="24"/>
          <w:szCs w:val="24"/>
          <w:shd w:val="clear" w:color="auto" w:fill="FFFFFF"/>
        </w:rPr>
        <w:t xml:space="preserve">shfuqizuar shkronjat “a” dhe “b”të pikës 2 me vendimin e Gjykates Kushtetuese  </w:t>
      </w:r>
      <w:r w:rsidRPr="00C37B9B">
        <w:rPr>
          <w:rFonts w:ascii="Garamond" w:hAnsi="Garamond"/>
          <w:i/>
          <w:sz w:val="24"/>
          <w:szCs w:val="24"/>
        </w:rPr>
        <w:t>nr. 4, datë 8.3.2021</w:t>
      </w:r>
      <w:r w:rsidR="006F0D63" w:rsidRPr="00C37B9B">
        <w:rPr>
          <w:rFonts w:ascii="Garamond" w:hAnsi="Garamond"/>
          <w:i/>
          <w:sz w:val="24"/>
          <w:szCs w:val="24"/>
        </w:rPr>
        <w:t xml:space="preserve">; ndryshuar pika 2, shtuar pika 3-6 me ligjin nr. 77/2022, datë 17.11.2022 </w:t>
      </w:r>
      <w:r w:rsidRPr="00C37B9B">
        <w:rPr>
          <w:rFonts w:ascii="Garamond" w:hAnsi="Garamond"/>
          <w:i/>
          <w:sz w:val="24"/>
          <w:szCs w:val="24"/>
        </w:rPr>
        <w: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1. Të gjitha vendimet përfundimtare, që kanë njohur të drejtën e kompensimit dhe ato që do të merren deri në përfundim të procesit, sipas këtij ligji, do të zbatohen sipas parashikimeve të këtij ligji.</w:t>
      </w:r>
    </w:p>
    <w:p w:rsidR="006F0D63" w:rsidRPr="00C37B9B" w:rsidRDefault="003B39C1" w:rsidP="006F0D63">
      <w:pPr>
        <w:spacing w:after="0" w:line="240" w:lineRule="auto"/>
        <w:ind w:firstLine="284"/>
        <w:jc w:val="both"/>
        <w:rPr>
          <w:rFonts w:ascii="Garamond" w:hAnsi="Garamond" w:cs="Times New Roman"/>
          <w:bCs/>
          <w:sz w:val="24"/>
          <w:szCs w:val="24"/>
        </w:rPr>
      </w:pPr>
      <w:r w:rsidRPr="00C37B9B">
        <w:rPr>
          <w:rFonts w:ascii="Garamond" w:hAnsi="Garamond"/>
          <w:sz w:val="24"/>
          <w:szCs w:val="24"/>
        </w:rPr>
        <w:tab/>
        <w:t xml:space="preserve">2. </w:t>
      </w:r>
      <w:r w:rsidR="006F0D63" w:rsidRPr="00C37B9B">
        <w:rPr>
          <w:rFonts w:ascii="Garamond" w:hAnsi="Garamond" w:cs="Times New Roman"/>
          <w:bCs/>
          <w:sz w:val="24"/>
          <w:szCs w:val="24"/>
        </w:rPr>
        <w:t>Vendimet përfundimtare, që kanë njohur të drejtën e kthimit dhe kompensimit të pronës, kur nuk ka ndryshuar zëri kadastral, vlerësohen financiarisht në përputhje me pikën 1 të nenit 6 të këtij ligji, sipas rregullave të mëposhtme:</w:t>
      </w:r>
    </w:p>
    <w:p w:rsidR="006F0D63" w:rsidRPr="00C37B9B" w:rsidRDefault="006F0D63" w:rsidP="006F0D63">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a)</w:t>
      </w:r>
      <w:r w:rsidRPr="00C37B9B">
        <w:rPr>
          <w:rFonts w:ascii="Garamond" w:hAnsi="Garamond" w:cs="Times New Roman"/>
          <w:bCs/>
          <w:sz w:val="24"/>
          <w:szCs w:val="24"/>
        </w:rPr>
        <w:tab/>
        <w:t xml:space="preserve">llogaritet vlera e pronës së njohur për kompensim, duke u bazuar në zërin kadastral që ka pasur prona në kohën e shpronësimit; </w:t>
      </w:r>
    </w:p>
    <w:p w:rsidR="006F0D63" w:rsidRPr="00C37B9B" w:rsidRDefault="006F0D63" w:rsidP="006F0D63">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b)</w:t>
      </w:r>
      <w:r w:rsidRPr="00C37B9B">
        <w:rPr>
          <w:rFonts w:ascii="Garamond" w:hAnsi="Garamond" w:cs="Times New Roman"/>
          <w:bCs/>
          <w:sz w:val="24"/>
          <w:szCs w:val="24"/>
        </w:rPr>
        <w:tab/>
        <w:t>llogaritet vlera e pronës së kthyer, e kompensuar fizikisht apo e përfituar në një nga mënyrat e tjera sipas ligjeve që kanë rregulluar kthimin dhe kompensimin e pronave, sipas nenit 6, pika 1, shkronja “b”, të këtij ligji;</w:t>
      </w:r>
    </w:p>
    <w:p w:rsidR="006F0D63" w:rsidRPr="00C37B9B" w:rsidRDefault="006F0D63" w:rsidP="006F0D63">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 xml:space="preserve">c) vlera e pronës së kthyer, e llogaritur sipas shkronjës “b” të kësaj pike, i zbritet vlerës së pronës së njohur për kompensim, të llogaritur sipas shkronjës “a” të kësaj pike; </w:t>
      </w:r>
    </w:p>
    <w:p w:rsidR="006F0D63" w:rsidRPr="00C37B9B" w:rsidRDefault="006F0D63" w:rsidP="006F0D63">
      <w:pPr>
        <w:spacing w:after="0"/>
        <w:rPr>
          <w:rFonts w:ascii="Garamond" w:hAnsi="Garamond" w:cs="Times New Roman"/>
          <w:bCs/>
          <w:sz w:val="24"/>
          <w:szCs w:val="24"/>
        </w:rPr>
      </w:pPr>
      <w:r w:rsidRPr="00C37B9B">
        <w:rPr>
          <w:rFonts w:ascii="Garamond" w:hAnsi="Garamond" w:cs="Times New Roman"/>
          <w:bCs/>
          <w:sz w:val="24"/>
          <w:szCs w:val="24"/>
        </w:rPr>
        <w:t>ç) në rastet kur vlera e pronës së kthyer është më e madhe sesa vlera e pronës së njohur për kompensim, atëherë vlerësimi financiar i vendimit përfundimtar, që ka njohur të drejtën e kthimit dhe kompensimit të pronës, është i barabartë me zero lek dhe subjekti i shpronësuar konsiderohet i kompensuar. Në rastet kur vlera e pronës së njohur për kompensim është më e madhe sesa vlera e pronës së kthyer, atëherë vlerësimi financiar i vendimit përfundimtar, që ka njohur të drejtën e kthimit dhe kompensimit të pronës, është i barabartë me diferencën që rezulton duke zbritur vlerën e pronës së kthyer nga vlera e pronës së njohur për kompensim.</w:t>
      </w:r>
    </w:p>
    <w:p w:rsidR="006F0D63" w:rsidRPr="00C37B9B" w:rsidRDefault="006F0D63" w:rsidP="006F0D63">
      <w:pPr>
        <w:spacing w:after="0" w:line="240" w:lineRule="auto"/>
        <w:ind w:firstLine="720"/>
        <w:jc w:val="both"/>
        <w:rPr>
          <w:rFonts w:ascii="Garamond" w:hAnsi="Garamond" w:cs="Times New Roman"/>
          <w:bCs/>
          <w:sz w:val="24"/>
          <w:szCs w:val="24"/>
        </w:rPr>
      </w:pPr>
      <w:r w:rsidRPr="00C37B9B">
        <w:rPr>
          <w:rFonts w:ascii="Garamond" w:hAnsi="Garamond" w:cs="Times New Roman"/>
          <w:bCs/>
          <w:sz w:val="24"/>
          <w:szCs w:val="24"/>
        </w:rPr>
        <w:t>3. Vendimet përfundimtare, që kanë njohur të drejtën e kthimit dhe kompensimit të pronës, kur ka ndryshuar zëri kadastral, vlerësohen financiarisht në përputhje me nenin 6, pika 2/1, të këtij ligji, sipas rregullave të mëposhtme:</w:t>
      </w:r>
    </w:p>
    <w:p w:rsidR="006F0D63" w:rsidRPr="00C37B9B" w:rsidRDefault="006F0D63" w:rsidP="006F0D63">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 xml:space="preserve">a) llogaritet vlera e pronës së njohur për kompensim, duke u bazuar në zërin kadastral aktual; </w:t>
      </w:r>
    </w:p>
    <w:p w:rsidR="006F0D63" w:rsidRPr="00C37B9B" w:rsidRDefault="006F0D63" w:rsidP="006F0D63">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b) llogaritet vlera e pronës së kthyer, e kompensuar fizikisht apo e përfituar në një nga mënyrat e tjera sipas ligjeve që kanë rregulluar kthimin dhe kompensimin e pronave, sipas nenit 6, pika 1, shkronja “b”, të këtij ligji;</w:t>
      </w:r>
    </w:p>
    <w:p w:rsidR="006F0D63" w:rsidRPr="00C37B9B" w:rsidRDefault="006F0D63" w:rsidP="006F0D63">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 xml:space="preserve">c) vlera e pronës së kthyer, e llogaritur sipas shkronjës “b” të kësaj pike, i zbritet vlerës së pronës së njohur për kompensim, të llogaritur sipas shkronjës “a” të kësaj pike; </w:t>
      </w:r>
    </w:p>
    <w:p w:rsidR="006F0D63" w:rsidRPr="00C37B9B" w:rsidRDefault="006F0D63" w:rsidP="006F0D63">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 xml:space="preserve">ç) në rastet kur vlera e pronës së kthyer është më e madhe sesa vlera e pronës së njohur për kompensim, atëherë vlerësimi financiar i vendimit përfundimtar, që ka njohur të drejtën e kthimit dhe kompensimit të pronës, është e barabartë me zero lek dhe subjekti i shpronësuar konsiderohet i kompensuar. Në rastet kur vlera e pronës së njohur për kompensim është më e madhe sesa vlera e pronës së kthyer, atëherë vlerësimi financiar i vendimit përfundimtar, që ka njohur të drejtën e kthimit </w:t>
      </w:r>
      <w:r w:rsidRPr="00C37B9B">
        <w:rPr>
          <w:rFonts w:ascii="Garamond" w:hAnsi="Garamond" w:cs="Times New Roman"/>
          <w:bCs/>
          <w:sz w:val="24"/>
          <w:szCs w:val="24"/>
        </w:rPr>
        <w:lastRenderedPageBreak/>
        <w:t xml:space="preserve">dhe kompensimit të pronës, është i barabartë me 10 për qind të diferencës që rezulton duke zbritur vlerën e pronës së kthyer nga vlera e pronës së njohur për kompensim. </w:t>
      </w:r>
    </w:p>
    <w:p w:rsidR="006F0D63" w:rsidRPr="00C37B9B" w:rsidRDefault="006F0D63" w:rsidP="006F0D63">
      <w:pPr>
        <w:spacing w:after="0" w:line="240" w:lineRule="auto"/>
        <w:ind w:firstLine="720"/>
        <w:jc w:val="both"/>
        <w:rPr>
          <w:rFonts w:ascii="Garamond" w:hAnsi="Garamond" w:cs="Times New Roman"/>
          <w:bCs/>
          <w:sz w:val="24"/>
          <w:szCs w:val="24"/>
        </w:rPr>
      </w:pPr>
      <w:r w:rsidRPr="00C37B9B">
        <w:rPr>
          <w:rFonts w:ascii="Garamond" w:hAnsi="Garamond" w:cs="Times New Roman"/>
          <w:bCs/>
          <w:sz w:val="24"/>
          <w:szCs w:val="24"/>
        </w:rPr>
        <w:t>4. Vendimet përfundimtare që kanë njohur vetëm të drejtën e kompensimit të pronës, vlerësohen financiarisht në përputhje me nenin 6, pika 2, të këtij ligji, sipas rregullave të mëposhtme:</w:t>
      </w:r>
    </w:p>
    <w:p w:rsidR="006F0D63" w:rsidRPr="00C37B9B" w:rsidRDefault="006F0D63" w:rsidP="006F0D63">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a) kur nuk ka ndryshuar zëri kadastral i pronës së njohur për kompensim, vlera e pronës llogaritet duke u bazuar në zërin kadastral që ka pasur prona në kohën e shpronësimit;</w:t>
      </w:r>
    </w:p>
    <w:p w:rsidR="006F0D63" w:rsidRPr="00C37B9B" w:rsidRDefault="006F0D63" w:rsidP="006F0D63">
      <w:pPr>
        <w:spacing w:after="0" w:line="240" w:lineRule="auto"/>
        <w:ind w:firstLine="284"/>
        <w:jc w:val="both"/>
        <w:rPr>
          <w:rFonts w:ascii="Garamond" w:hAnsi="Garamond" w:cs="Times New Roman"/>
          <w:bCs/>
          <w:sz w:val="24"/>
          <w:szCs w:val="24"/>
        </w:rPr>
      </w:pPr>
      <w:r w:rsidRPr="00C37B9B">
        <w:rPr>
          <w:rFonts w:ascii="Garamond" w:hAnsi="Garamond" w:cs="Times New Roman"/>
          <w:bCs/>
          <w:sz w:val="24"/>
          <w:szCs w:val="24"/>
        </w:rPr>
        <w:t xml:space="preserve">b) kur ka ndryshuar zëri kadastral i pronës së njohur për kompensim, vlera e pronës llogaritet duke u bazuar në zërin kadastral aktual. Subjekti i shpronësuar kompensohet në masën 10 për qind të vlerës së pronës, sipas zërit kadastral aktual. </w:t>
      </w:r>
    </w:p>
    <w:p w:rsidR="006F0D63" w:rsidRPr="00C37B9B" w:rsidRDefault="006F0D63" w:rsidP="006F0D63">
      <w:pPr>
        <w:spacing w:after="0" w:line="240" w:lineRule="auto"/>
        <w:ind w:firstLine="720"/>
        <w:jc w:val="both"/>
        <w:rPr>
          <w:rFonts w:ascii="Garamond" w:hAnsi="Garamond" w:cs="Times New Roman"/>
          <w:bCs/>
          <w:sz w:val="24"/>
          <w:szCs w:val="24"/>
        </w:rPr>
      </w:pPr>
      <w:r w:rsidRPr="00C37B9B">
        <w:rPr>
          <w:rFonts w:ascii="Garamond" w:hAnsi="Garamond" w:cs="Times New Roman"/>
          <w:bCs/>
          <w:sz w:val="24"/>
          <w:szCs w:val="24"/>
        </w:rPr>
        <w:t>5. Përjashtimisht, kur vlerësimi financiar sipas zërit kadastral, që ka pasur prona në kohën e shpronësimit, është më i madh se 10 për qind e vlerës së pronës së llogaritur sipas pikave 3 dhe 4 të këtij neni, subjekti i shpronësuar kompensohet me vlerën e llogaritur sipas zërit kadastral në kohën e shpronësimit.</w:t>
      </w:r>
    </w:p>
    <w:p w:rsidR="006F0D63" w:rsidRPr="00C37B9B" w:rsidRDefault="006F0D63" w:rsidP="006F0D63">
      <w:pPr>
        <w:spacing w:after="0"/>
        <w:ind w:firstLine="720"/>
        <w:rPr>
          <w:rFonts w:ascii="Garamond" w:hAnsi="Garamond"/>
          <w:sz w:val="24"/>
          <w:szCs w:val="24"/>
        </w:rPr>
      </w:pPr>
      <w:r w:rsidRPr="00C37B9B">
        <w:rPr>
          <w:rFonts w:ascii="Garamond" w:hAnsi="Garamond" w:cs="Times New Roman"/>
          <w:bCs/>
          <w:sz w:val="24"/>
          <w:szCs w:val="24"/>
        </w:rPr>
        <w:t>6. Në rast se vendimi përfundimtar nuk ka vendosur kompensim prone, vendimi dhe dokumentacioni përkatës arkivohen sipas rregullave të përcaktuara në legjislacionin në fuqi për arkivat.</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8</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Format e kompensimit dhe vlerësimi</w:t>
      </w:r>
    </w:p>
    <w:p w:rsidR="006F0D63" w:rsidRPr="00C37B9B" w:rsidRDefault="006F0D63" w:rsidP="003B39C1">
      <w:pPr>
        <w:spacing w:after="0"/>
        <w:jc w:val="center"/>
        <w:rPr>
          <w:rFonts w:ascii="Garamond" w:hAnsi="Garamond"/>
          <w:i/>
          <w:sz w:val="24"/>
          <w:szCs w:val="24"/>
        </w:rPr>
      </w:pPr>
      <w:r w:rsidRPr="00C37B9B">
        <w:rPr>
          <w:rFonts w:ascii="Garamond" w:hAnsi="Garamond"/>
          <w:i/>
          <w:sz w:val="24"/>
          <w:szCs w:val="24"/>
        </w:rPr>
        <w:t>(shtuar pika 5 me ligjin nr. 77/2022, datë 17.11.2022)</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1. Subjektet e shpronësuara u nënshtrohen procedurave të kompensimit, sipas përcaktimeve të këtij ligji, bazuar në vendimet përfundimtare për njohje dhe kompensim:</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financiar;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me pronë tjetër të paluajtshme të çdo lloji, me vlerë të barabartë, në pronësi të shtetit;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c) me aksione në shoqëri me kapital shtetëror ose ku shteti është bashkëpronar, që kanë vlerë të barabartë me pronën e paluajtshme;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ç) me vlerën e objekteve, të cilat janë objekt i privatizimit.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Procesit të vlerësimit të pronës që do të kompensohet, sipas këtij neni, i nënshtrohen:</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toka;</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objektet ndërtimore.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Treguesit bazë të vlerës së pronës caktohen të veçantë për tokën dhe objektet ndërtimore. Kur një pronë është bashkim i tokës me objektin ndërtimor, vlera e saj nxirret për njësi, si shumë e vlerave të objektit ndërtimor dhe të tokës mbi të cilën ai ngrihet.</w:t>
      </w:r>
    </w:p>
    <w:p w:rsidR="003B39C1" w:rsidRPr="00C37B9B" w:rsidRDefault="003B39C1" w:rsidP="006F0D63">
      <w:pPr>
        <w:spacing w:after="0"/>
        <w:ind w:firstLine="720"/>
        <w:rPr>
          <w:rFonts w:ascii="Garamond" w:hAnsi="Garamond"/>
          <w:sz w:val="24"/>
          <w:szCs w:val="24"/>
        </w:rPr>
      </w:pPr>
      <w:r w:rsidRPr="00C37B9B">
        <w:rPr>
          <w:rFonts w:ascii="Garamond" w:hAnsi="Garamond"/>
          <w:sz w:val="24"/>
          <w:szCs w:val="24"/>
        </w:rPr>
        <w:t>4. Vlera e pronës që kompensohet nxirret sipas përcaktimeve të këtij ligji, duke u bazuar: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për tokën, në hartën e vlerës;</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b) për objektet, në vendimin e Këshillit të Ministrave për metodologjinë e vlerësimit të pronave të paluajtshme në Republikën e Shqipërisë. </w:t>
      </w:r>
    </w:p>
    <w:p w:rsidR="006F0D63" w:rsidRPr="00C37B9B" w:rsidRDefault="006F0D63" w:rsidP="006F0D63">
      <w:pPr>
        <w:spacing w:after="0"/>
        <w:ind w:firstLine="720"/>
        <w:rPr>
          <w:rFonts w:ascii="Garamond" w:hAnsi="Garamond"/>
          <w:sz w:val="24"/>
          <w:szCs w:val="24"/>
        </w:rPr>
      </w:pPr>
      <w:r w:rsidRPr="00C37B9B">
        <w:rPr>
          <w:rFonts w:ascii="Garamond" w:hAnsi="Garamond" w:cs="Times New Roman"/>
          <w:bCs/>
          <w:sz w:val="24"/>
          <w:szCs w:val="24"/>
        </w:rPr>
        <w:t>5. Rregullat dhe procedurat e shpërndarjes së fondit të kompensimit, radha e përparësisë ndërmjet formave të kompensimit, si dhe rregullat për kompensimin nëpërmjet një ose disa formave bashkërisht përcaktohen me vendim të Këshillit të Ministrave.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KREU III</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FONDI I KOMPENSIMIT DHE PROCEDURA E KOMPENSIMIT TË PRONËS</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9</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Fondi i Kompensimit të pronave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Fondi i Kompensimit të pronave është një fond i vënë në dispozicion të kompensimit të vendimeve përfundimtare për kompensim, sipas përcaktimeve të këtij ligji, i cili përbëhet nga:</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Fondi Financiar i Kompensimit;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fondi i tokës.</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Fondi i Kompensimit është i paprekshëm. Asnjë organ administrativ apo gjyqësor nuk mund të disponojë mbi këtë fond, përveç subjekteve të parashikuara në këtë ligj për administrimin e tij.</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10</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Fondi Financiar i Kompensimit</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Fondi Financiar i Kompensimit vlerësohet fond special, në kuptim të nenit 7, të ligjit nr.9936, datë 26.6.2008, “Për menaxhimin e sistemit buxhetor në Republikën e Shqipërisë”. Procedurat e propozimit dhe të miratimit të buxhetit të këtij fondi janë po ato që zbatohen për ligjin për Buxhetin e Shtetit dhe paraqiten së bashku me të për miratim në Kuvend.</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Fondi i Kompensimit të pronave përdoret për kompensimin financiar të subjekteve të shpronësuara, të cilave u është njohur e drejta e kompensimit, me vendim përfundimtar.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Burimet e Fondit Financiar të Kompensimit të pronave janë: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të ardhurat nga Buxheti i Shtetit për kompensimin e pronarëve;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të ardhurat nga shitja në ankand e pasurive shtetërore, pjesë e fondit të tokës;</w:t>
      </w:r>
    </w:p>
    <w:p w:rsidR="003B39C1" w:rsidRPr="00C37B9B" w:rsidRDefault="003B39C1" w:rsidP="003B39C1">
      <w:pPr>
        <w:spacing w:after="0"/>
        <w:rPr>
          <w:rFonts w:ascii="Garamond" w:hAnsi="Garamond"/>
          <w:sz w:val="24"/>
          <w:szCs w:val="24"/>
        </w:rPr>
      </w:pPr>
      <w:r w:rsidRPr="00C37B9B">
        <w:rPr>
          <w:rFonts w:ascii="Garamond" w:hAnsi="Garamond"/>
          <w:sz w:val="24"/>
          <w:szCs w:val="24"/>
        </w:rPr>
        <w:tab/>
        <w:t>c) të ardhurat e arkëtuara nga transferimi i pronësisë së parcelës ndërtimore, sipas ligjit nr. 9482, datë 3.4.2006, “Për legalizimin, urbanizimin dhe integrimin e ndërtimeve pa leje”, të ndryshuar;</w:t>
      </w:r>
    </w:p>
    <w:p w:rsidR="003B39C1" w:rsidRPr="00C37B9B" w:rsidRDefault="003B39C1" w:rsidP="003B39C1">
      <w:pPr>
        <w:spacing w:after="0"/>
        <w:rPr>
          <w:rFonts w:ascii="Garamond" w:hAnsi="Garamond"/>
          <w:sz w:val="24"/>
          <w:szCs w:val="24"/>
        </w:rPr>
      </w:pPr>
      <w:r w:rsidRPr="00C37B9B">
        <w:rPr>
          <w:rFonts w:ascii="Garamond" w:hAnsi="Garamond"/>
          <w:sz w:val="24"/>
          <w:szCs w:val="24"/>
        </w:rPr>
        <w:t>ç) të ardhura të tjera që, sipas ligjeve të veçanta apo akteve nënligjore, kalojnë për llogari të fondit të kompensimit të pronave;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d) të ardhurat nga donatorë të ndryshëm.</w:t>
      </w:r>
    </w:p>
    <w:p w:rsidR="003B39C1" w:rsidRPr="00C37B9B" w:rsidRDefault="003B39C1" w:rsidP="003B39C1">
      <w:pPr>
        <w:spacing w:after="0"/>
        <w:rPr>
          <w:rFonts w:ascii="Garamond" w:hAnsi="Garamond"/>
          <w:sz w:val="24"/>
          <w:szCs w:val="24"/>
        </w:rPr>
      </w:pPr>
      <w:r w:rsidRPr="00C37B9B">
        <w:rPr>
          <w:rFonts w:ascii="Garamond" w:hAnsi="Garamond"/>
          <w:sz w:val="24"/>
          <w:szCs w:val="24"/>
        </w:rPr>
        <w:tab/>
        <w:t>4. Fondi i Kompensimit të pronave administrohet nga Agjencia e Trajtimit të Pronave në një llogari të veçantë të thesarit në Bankën e Shqipërisë. Burimet që përbëjnë Fondin e Kompensimit të pronave, sipas pikës 3, të këtij neni, arkëtohen dhe administrohen, sipas natyrës së tyre, nëpërmjet sistemit të thesarit.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5. Pavarësisht nga rregulli i përcaktuar në nenin 5, të ligjit nr. 9936, datë 26.6.2008, “Për menaxhimin e sistemit buxhetor në Republikën e Shqipërisë”, gjendja e mjeteve monetare të papërdorura nga Fondi i Kompensimit të pronave në fund të vitit buxhetor, në llogarinë e veçantë në Bankën e Shqipërisë, mbartet për llogari të vitit të ardhshëm.</w:t>
      </w:r>
    </w:p>
    <w:p w:rsidR="003B39C1" w:rsidRPr="00C37B9B" w:rsidRDefault="003B39C1" w:rsidP="003B39C1">
      <w:pPr>
        <w:spacing w:after="0"/>
        <w:rPr>
          <w:rFonts w:ascii="Garamond" w:hAnsi="Garamond"/>
          <w:sz w:val="24"/>
          <w:szCs w:val="24"/>
        </w:rPr>
      </w:pPr>
      <w:r w:rsidRPr="00C37B9B">
        <w:rPr>
          <w:rFonts w:ascii="Garamond" w:hAnsi="Garamond"/>
          <w:sz w:val="24"/>
          <w:szCs w:val="24"/>
        </w:rPr>
        <w:tab/>
        <w:t>6. Llogaritë e Fondit të Kompensimit të pronave paraqiten në Kuvend si pjesë e raportit vjetor të konsoliduar të zbatimit të Buxhetit të Shtetit.</w:t>
      </w:r>
    </w:p>
    <w:p w:rsidR="003B39C1" w:rsidRPr="00C37B9B" w:rsidRDefault="003B39C1" w:rsidP="003B39C1">
      <w:pPr>
        <w:spacing w:after="0"/>
        <w:rPr>
          <w:rFonts w:ascii="Garamond" w:hAnsi="Garamond"/>
          <w:sz w:val="24"/>
          <w:szCs w:val="24"/>
        </w:rPr>
      </w:pPr>
      <w:r w:rsidRPr="00C37B9B">
        <w:rPr>
          <w:rFonts w:ascii="Garamond" w:hAnsi="Garamond"/>
          <w:sz w:val="24"/>
          <w:szCs w:val="24"/>
        </w:rPr>
        <w:lastRenderedPageBreak/>
        <w:tab/>
        <w:t>7. Subjektet e shpronësuara, të cilat disponojnë një vendim përfundimtar për kompensim, përfitojnë kompensim nga Fondi i Kompensimit në masën dhe sipas mënyrës së përcaktuar në këtë ligj.</w:t>
      </w:r>
    </w:p>
    <w:p w:rsidR="003B39C1" w:rsidRPr="00C37B9B" w:rsidRDefault="003B39C1" w:rsidP="003B39C1">
      <w:pPr>
        <w:spacing w:after="0"/>
        <w:rPr>
          <w:rFonts w:ascii="Garamond" w:hAnsi="Garamond"/>
          <w:sz w:val="24"/>
          <w:szCs w:val="24"/>
        </w:rPr>
      </w:pPr>
      <w:r w:rsidRPr="00C37B9B">
        <w:rPr>
          <w:rFonts w:ascii="Garamond" w:hAnsi="Garamond"/>
          <w:sz w:val="24"/>
          <w:szCs w:val="24"/>
        </w:rPr>
        <w:tab/>
        <w:t>8. Mënyra dhe procedura për administrimin e Fondit Financiar të Kompensimit dhe rregullat për arkëtimin e administrimin e burimeve, që përbëjnë këtë fond, rregullohen sipas legjislacionit në fuqi.</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11</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Shpërndarja e Fondit Financiar të Kompensimit</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Buxheti i shtetit miraton çdo vit buxhetor një fond financiar, sipas tabelës të paraqitur në shtojcën 2 të këtij ligji, por jo më pak se 50 miliardë lekë në10 vjet, i cili do të administrohet nga ATP-ja për realizimin e procesit të kompensimit të pronave.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ATP-ja njofton publikisht, nëpërmjet faqes zyrtare të institucionit, Buletinit të Njoftimeve Zyrtare dhe/ose në media, listën e subjekteve që përfitojnë nga Fondi i Kompensimit të pronave për periudhën përkatëse, duke i orientuar subjektet që të hapin llogari pranë njërës prej bankave të nivelit të dytë.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r>
    </w:p>
    <w:p w:rsidR="003B39C1" w:rsidRPr="00C37B9B" w:rsidRDefault="003B39C1" w:rsidP="003B39C1">
      <w:pPr>
        <w:spacing w:after="0"/>
        <w:rPr>
          <w:rFonts w:ascii="Garamond" w:hAnsi="Garamond"/>
          <w:sz w:val="24"/>
          <w:szCs w:val="24"/>
        </w:rPr>
      </w:pPr>
      <w:r w:rsidRPr="00C37B9B">
        <w:rPr>
          <w:rFonts w:ascii="Garamond" w:hAnsi="Garamond"/>
          <w:sz w:val="24"/>
          <w:szCs w:val="24"/>
        </w:rPr>
        <w:t>3. ATP-ja hap llogari bankare në banka të nivelit të dytë, në të cilat depozitohet fondi i vënë në dispozicion për kompensimin e pronave.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4. Subjektet përfituese i njoftojnë ATP-së të dhënat e llogarisë së tyre bankare, në të cilën do të kryhet pagesa e kompensimit.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5. Pas çeljes së llogarisë bankare individuale në bankë nga subjektet përfituese, ATP-ja urdhëron bankën për kryerjen e pagesave nga llogaria e ATP-së në llogarinë e subjektit përfitues. Në urdhrin që i dërgohet bankës duhet të përcaktohen emri i përfituesit, shuma e përfitimit si dhe numri i llogarisë bankare të përfituesit.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6. Bazuar në urdhrin e ATP-së, banka bën kalimin e shumës në llogaritë respektive të subjekteve përfituese.</w:t>
      </w:r>
    </w:p>
    <w:p w:rsidR="003B39C1" w:rsidRPr="00C37B9B" w:rsidRDefault="003B39C1" w:rsidP="003B39C1">
      <w:pPr>
        <w:spacing w:after="0"/>
        <w:rPr>
          <w:rFonts w:ascii="Garamond" w:hAnsi="Garamond"/>
          <w:sz w:val="24"/>
          <w:szCs w:val="24"/>
        </w:rPr>
      </w:pPr>
      <w:r w:rsidRPr="00C37B9B">
        <w:rPr>
          <w:rFonts w:ascii="Garamond" w:hAnsi="Garamond"/>
          <w:bCs/>
          <w:sz w:val="24"/>
          <w:szCs w:val="24"/>
        </w:rPr>
        <w:tab/>
        <w:t>7. Llogaria bankare e hapur në emër të ATP-s</w:t>
      </w:r>
      <w:r w:rsidRPr="00C37B9B">
        <w:rPr>
          <w:rFonts w:ascii="Garamond" w:hAnsi="Garamond"/>
          <w:sz w:val="24"/>
          <w:szCs w:val="24"/>
        </w:rPr>
        <w:t>ë</w:t>
      </w:r>
      <w:r w:rsidRPr="00C37B9B">
        <w:rPr>
          <w:rFonts w:ascii="Garamond" w:hAnsi="Garamond"/>
          <w:bCs/>
          <w:sz w:val="24"/>
          <w:szCs w:val="24"/>
        </w:rPr>
        <w:t>, n</w:t>
      </w:r>
      <w:r w:rsidRPr="00C37B9B">
        <w:rPr>
          <w:rFonts w:ascii="Garamond" w:hAnsi="Garamond"/>
          <w:sz w:val="24"/>
          <w:szCs w:val="24"/>
        </w:rPr>
        <w:t>ë</w:t>
      </w:r>
      <w:r w:rsidRPr="00C37B9B">
        <w:rPr>
          <w:rFonts w:ascii="Garamond" w:hAnsi="Garamond"/>
          <w:bCs/>
          <w:sz w:val="24"/>
          <w:szCs w:val="24"/>
        </w:rPr>
        <w:t xml:space="preserve"> t</w:t>
      </w:r>
      <w:r w:rsidRPr="00C37B9B">
        <w:rPr>
          <w:rFonts w:ascii="Garamond" w:hAnsi="Garamond"/>
          <w:sz w:val="24"/>
          <w:szCs w:val="24"/>
        </w:rPr>
        <w:t>ë</w:t>
      </w:r>
      <w:r w:rsidRPr="00C37B9B">
        <w:rPr>
          <w:rFonts w:ascii="Garamond" w:hAnsi="Garamond"/>
          <w:bCs/>
          <w:sz w:val="24"/>
          <w:szCs w:val="24"/>
        </w:rPr>
        <w:t xml:space="preserve"> cilën do t</w:t>
      </w:r>
      <w:r w:rsidRPr="00C37B9B">
        <w:rPr>
          <w:rFonts w:ascii="Garamond" w:hAnsi="Garamond"/>
          <w:sz w:val="24"/>
          <w:szCs w:val="24"/>
        </w:rPr>
        <w:t>ë</w:t>
      </w:r>
      <w:r w:rsidRPr="00C37B9B">
        <w:rPr>
          <w:rFonts w:ascii="Garamond" w:hAnsi="Garamond"/>
          <w:bCs/>
          <w:sz w:val="24"/>
          <w:szCs w:val="24"/>
        </w:rPr>
        <w:t xml:space="preserve"> depozitohen shumat e caktuara p</w:t>
      </w:r>
      <w:r w:rsidRPr="00C37B9B">
        <w:rPr>
          <w:rFonts w:ascii="Garamond" w:hAnsi="Garamond"/>
          <w:sz w:val="24"/>
          <w:szCs w:val="24"/>
        </w:rPr>
        <w:t>ë</w:t>
      </w:r>
      <w:r w:rsidRPr="00C37B9B">
        <w:rPr>
          <w:rFonts w:ascii="Garamond" w:hAnsi="Garamond"/>
          <w:bCs/>
          <w:sz w:val="24"/>
          <w:szCs w:val="24"/>
        </w:rPr>
        <w:t>r kryerjen e kompensimit, është e përjashtuar nga vendimet p</w:t>
      </w:r>
      <w:r w:rsidRPr="00C37B9B">
        <w:rPr>
          <w:rFonts w:ascii="Garamond" w:hAnsi="Garamond"/>
          <w:sz w:val="24"/>
          <w:szCs w:val="24"/>
        </w:rPr>
        <w:t>ë</w:t>
      </w:r>
      <w:r w:rsidRPr="00C37B9B">
        <w:rPr>
          <w:rFonts w:ascii="Garamond" w:hAnsi="Garamond"/>
          <w:bCs/>
          <w:sz w:val="24"/>
          <w:szCs w:val="24"/>
        </w:rPr>
        <w:t xml:space="preserve">r bllokimet dhe sekuestrimet e përmbaruesit gjyqësor. </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12</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Fondi i tokës</w:t>
      </w:r>
    </w:p>
    <w:p w:rsidR="006F0D63" w:rsidRPr="00C37B9B" w:rsidRDefault="006F0D63" w:rsidP="003B39C1">
      <w:pPr>
        <w:spacing w:after="0"/>
        <w:jc w:val="center"/>
        <w:rPr>
          <w:rFonts w:ascii="Garamond" w:hAnsi="Garamond"/>
          <w:i/>
          <w:sz w:val="24"/>
          <w:szCs w:val="24"/>
        </w:rPr>
      </w:pPr>
      <w:r w:rsidRPr="00C37B9B">
        <w:rPr>
          <w:rFonts w:ascii="Garamond" w:hAnsi="Garamond"/>
          <w:i/>
          <w:sz w:val="24"/>
          <w:szCs w:val="24"/>
        </w:rPr>
        <w:t>(shfuqizuar fjalë në shkronjën “b” të pikës 1, shtuar pika 4 me ligjin nr. 77/2022, datë 17.11.2022)</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Fondi i tokës përbëhet nga:</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fondi fizik i pronave në çdo qark, i vënë në dispozicion me vendim të Këshillit të Ministrave;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fondi fizik i pronave, i cili, me vendim të ATP-së, të këtij ligji, bëhet pjesë e fondit të tokës bazuar në rregullat e përcaktuara në këtë ligj;</w:t>
      </w:r>
    </w:p>
    <w:p w:rsidR="003B39C1" w:rsidRPr="00C37B9B" w:rsidRDefault="003B39C1" w:rsidP="003B39C1">
      <w:pPr>
        <w:spacing w:after="0"/>
        <w:rPr>
          <w:rFonts w:ascii="Garamond" w:hAnsi="Garamond"/>
          <w:sz w:val="24"/>
          <w:szCs w:val="24"/>
        </w:rPr>
      </w:pPr>
      <w:r w:rsidRPr="00C37B9B">
        <w:rPr>
          <w:rFonts w:ascii="Garamond" w:hAnsi="Garamond"/>
          <w:sz w:val="24"/>
          <w:szCs w:val="24"/>
        </w:rPr>
        <w:lastRenderedPageBreak/>
        <w:tab/>
        <w:t>c) sipërfaqet e mbetura të lira në territoret me ndërtime informale;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ç) sipërfaqe të tjera të vëna në dispozicion, sipas mënyrave të përcaktuara me ligj ose akte nënligjore.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Fondi i tokës vlerësohet financiarisht nga ATP-ja, bazuar në hartën e vlerës, në momentin e hyrjes në fuqi të këtij ligji, brenda 30 ditëve për fondin që vihet në dispozicion me vendim të Këshillit të Ministrave dhe menjëherë për fondin që kalon me vendim të ATP-së.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3. Të dhënat për këtë fond publikohen në mjediset e ATP-së dhe në faqen zyrtare menjëherë pas kryerjes së procedurës së vlerësimit. </w:t>
      </w:r>
    </w:p>
    <w:p w:rsidR="006F0D63" w:rsidRPr="00C37B9B" w:rsidRDefault="006F0D63" w:rsidP="006F0D63">
      <w:pPr>
        <w:spacing w:after="0"/>
        <w:ind w:firstLine="720"/>
        <w:rPr>
          <w:rFonts w:ascii="Garamond" w:hAnsi="Garamond"/>
          <w:sz w:val="24"/>
          <w:szCs w:val="24"/>
        </w:rPr>
      </w:pPr>
      <w:r w:rsidRPr="00C37B9B">
        <w:rPr>
          <w:rFonts w:ascii="Garamond" w:hAnsi="Garamond" w:cs="Times New Roman"/>
          <w:bCs/>
          <w:sz w:val="24"/>
          <w:szCs w:val="24"/>
        </w:rPr>
        <w:t>4. Çdo pronë, e cila është pjesë e fondit të tokës, sipas pikës 1 të këtij neni, pavarësisht nëse u është kaluar e drejta e pronësisë ose e drejta e përdorimit njësive të qeverisjes vendore ose çdo autoriteti tjetër publik, që ligji i njeh të drejtën e transferimit të pronave të paluajtshme të shtetit, nuk mund të tjetërsohet, të rëndohet ose të disponohet në çdo mënyrë tjetër. Këto prona ruhen dhe mirëmbahen në gjendjen që janë dhe mbeten pjesë e fondit të kompensimit fizik në dispozicion të Agjencisë së Trajtimit të Pronave.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13</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Kompensimi fizik me ankand</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ATP-ja, me qëllim shtimin e burimeve financiare për Fondin Financiar të Kompensimit, realizon ankande për shitjen e pronës, pjesë e fondit të tokës. Në ankand marrin pjesë të gjitha subjektet që disponojnë një vendim kompensimi, të vlerësuar financiarisht nga ATP-ja. Subjektet, që kanë një vlerësim financiar të vendimit përfundimtar për kompensim, mund të marrin pjesë në ankand nëse ata shprehin vullnetin për të përfituar nga fondi i kompensimit fizik. ATP-ja shpall subjektin fitues në përputhje me legjislacionin në fuqi për ankandin publik, bazuar në ofertën më të lartë. Nëse ofertat janë të barabarta, i jepet përparësi ofertave brenda qarkut ku ndodhet prona e njohur për kompensim dhe në rast se ka disa oferta të tilla, vendimit përfundimtar më të hershëm.</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Nëse ankandi për shitjen e pronës nuk realizohet 2 herë radhazi për subjektet që disponojnë një vendim përfundimtar kompensimi, atëherë ATP-ja bën një ankand publik për shitjen e kësaj prone. ATP-ja realizon ankandin në përputhje me legjislacionin në fuqi për ankandin publik. ATP-ja, gjatë procedurave të ankandit, në asnjë rast nuk mund ta shesë pronën, pjesë e fondit të tokës, me një çmim më të ulët sesa vlerësimi fillestar i saj, i bërë sipas pikës 2, të nenit 12, të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Të ardhurat e realizuara nga shitja në ankand e pronave, pjesë të fondit të tokës, kalojnë në Fondin Financiar të Kompensimit dhe përdoren për kompensimin financiar të subjekteve, sipas dispozitave të këtij ligji.</w:t>
      </w:r>
    </w:p>
    <w:p w:rsidR="003B39C1" w:rsidRPr="00C37B9B" w:rsidRDefault="003B39C1" w:rsidP="003B39C1">
      <w:pPr>
        <w:spacing w:after="0"/>
        <w:rPr>
          <w:rFonts w:ascii="Garamond" w:hAnsi="Garamond"/>
          <w:sz w:val="24"/>
          <w:szCs w:val="24"/>
        </w:rPr>
      </w:pPr>
    </w:p>
    <w:p w:rsidR="00232581" w:rsidRPr="00C37B9B" w:rsidRDefault="00232581" w:rsidP="003B39C1">
      <w:pPr>
        <w:spacing w:after="0"/>
        <w:jc w:val="center"/>
        <w:rPr>
          <w:rFonts w:ascii="Garamond" w:hAnsi="Garamond"/>
          <w:sz w:val="24"/>
          <w:szCs w:val="24"/>
        </w:rPr>
      </w:pPr>
    </w:p>
    <w:p w:rsidR="00232581" w:rsidRPr="00C37B9B" w:rsidRDefault="00232581" w:rsidP="003B39C1">
      <w:pPr>
        <w:spacing w:after="0"/>
        <w:jc w:val="center"/>
        <w:rPr>
          <w:rFonts w:ascii="Garamond" w:hAnsi="Garamond"/>
          <w:sz w:val="24"/>
          <w:szCs w:val="24"/>
        </w:rPr>
      </w:pPr>
    </w:p>
    <w:p w:rsidR="00232581" w:rsidRPr="00C37B9B" w:rsidRDefault="00232581" w:rsidP="003B39C1">
      <w:pPr>
        <w:spacing w:after="0"/>
        <w:jc w:val="center"/>
        <w:rPr>
          <w:rFonts w:ascii="Garamond" w:hAnsi="Garamond"/>
          <w:sz w:val="24"/>
          <w:szCs w:val="24"/>
        </w:rPr>
      </w:pPr>
    </w:p>
    <w:p w:rsidR="00232581" w:rsidRPr="00C37B9B" w:rsidRDefault="00232581" w:rsidP="003B39C1">
      <w:pPr>
        <w:spacing w:after="0"/>
        <w:jc w:val="center"/>
        <w:rPr>
          <w:rFonts w:ascii="Garamond" w:hAnsi="Garamond"/>
          <w:sz w:val="24"/>
          <w:szCs w:val="24"/>
        </w:rPr>
      </w:pPr>
    </w:p>
    <w:p w:rsidR="00232581" w:rsidRPr="00C37B9B" w:rsidRDefault="0023258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lastRenderedPageBreak/>
        <w:t>Neni 14</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Raste të tjera të kompensimit fizik</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Në rast se pas ankandit publik, sipas përcak-timeve në nenin 13, të këtij ligji, prona nuk shitet, atëherë ajo përdoret për kompensimin fizik të subjekteve që disponojnë një vendim përfundimtar kompensimi.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ATP-ja publikon në faqen e saj zyrtare dhe në Buletinin e Njoftimeve Zyrtare, për një periudhë 45-ditore, informacionin për pronën që do të përdoret për kompensim fizik dhe gjatë kësaj periudhe pret kërkesa nga subjektet që disponojnë vendim përfundimtar kompensimi. Në përfundim të afatit 45-ditor, ATP-ja, brenda 30 ditëve, shpall subjektin përfitues që ka aplikuar, sipas ofertës më të lartë ose, në raste kur ka oferta të barabarta, sipas prioritetit të përcaktuar në pikën 3, të nenit 15, të këtij ligji, dhe vijon procedurat për kompensimin fizik të subjektit përfitues.</w:t>
      </w:r>
    </w:p>
    <w:p w:rsidR="003B39C1" w:rsidRPr="00C37B9B" w:rsidRDefault="003B39C1" w:rsidP="006F0D63">
      <w:pPr>
        <w:spacing w:after="0"/>
        <w:ind w:firstLine="720"/>
        <w:rPr>
          <w:rFonts w:ascii="Garamond" w:hAnsi="Garamond"/>
          <w:sz w:val="24"/>
          <w:szCs w:val="24"/>
        </w:rPr>
      </w:pPr>
      <w:r w:rsidRPr="00C37B9B">
        <w:rPr>
          <w:rFonts w:ascii="Garamond" w:hAnsi="Garamond"/>
          <w:sz w:val="24"/>
          <w:szCs w:val="24"/>
        </w:rPr>
        <w:t>3. Subjekti, kërkesës për kompensim fizik duhet t’i bashkëlidhë edhe një deklaratë, me anë të së cilës heq dorë nga pjesa e mbetur e kompensimit nëse shpallet përfitues.</w:t>
      </w:r>
    </w:p>
    <w:p w:rsidR="003B39C1" w:rsidRPr="00C37B9B" w:rsidRDefault="003B39C1" w:rsidP="003B39C1">
      <w:pPr>
        <w:spacing w:after="0"/>
        <w:rPr>
          <w:rFonts w:ascii="Garamond" w:hAnsi="Garamond"/>
          <w:sz w:val="24"/>
          <w:szCs w:val="24"/>
        </w:rPr>
      </w:pPr>
      <w:r w:rsidRPr="00C37B9B">
        <w:rPr>
          <w:rFonts w:ascii="Garamond" w:hAnsi="Garamond"/>
          <w:sz w:val="24"/>
          <w:szCs w:val="24"/>
        </w:rPr>
        <w:tab/>
        <w:t>4. Në rast se edhe në përfundim të kësaj procedure nuk përdoret tërësisht fondi i kompensimit fizik, ATP-ja disponon drejtpërdrejt me vendim kompensimi fizik, sipas përcaktimeve të kreut IV “Shqyrtimi i kërkesave të patrajtuara”.</w:t>
      </w:r>
    </w:p>
    <w:p w:rsidR="003B39C1" w:rsidRPr="00C37B9B" w:rsidRDefault="003B39C1" w:rsidP="003B39C1">
      <w:pPr>
        <w:spacing w:after="0"/>
        <w:rPr>
          <w:rFonts w:ascii="Garamond" w:hAnsi="Garamond"/>
          <w:sz w:val="24"/>
          <w:szCs w:val="24"/>
        </w:rPr>
      </w:pPr>
      <w:r w:rsidRPr="00C37B9B">
        <w:rPr>
          <w:rFonts w:ascii="Garamond" w:hAnsi="Garamond"/>
          <w:sz w:val="24"/>
          <w:szCs w:val="24"/>
        </w:rPr>
        <w:tab/>
        <w:t>5. Rregullat dhe procedurat për zbatimin e këtij neni përcaktohen me vendim të Këshillit të Ministrave.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15</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Afatet e vlerësimit financiar të vendimeve për kompensim</w:t>
      </w:r>
    </w:p>
    <w:p w:rsidR="006F0D63" w:rsidRPr="00C37B9B" w:rsidRDefault="006F0D63" w:rsidP="006F0D63">
      <w:pPr>
        <w:spacing w:after="0"/>
        <w:jc w:val="center"/>
        <w:rPr>
          <w:rFonts w:ascii="Garamond" w:hAnsi="Garamond"/>
          <w:i/>
          <w:sz w:val="24"/>
          <w:szCs w:val="24"/>
        </w:rPr>
      </w:pPr>
      <w:r w:rsidRPr="00C37B9B">
        <w:rPr>
          <w:rFonts w:ascii="Garamond" w:hAnsi="Garamond"/>
          <w:i/>
          <w:sz w:val="24"/>
          <w:szCs w:val="24"/>
        </w:rPr>
        <w:t>(zëvendësuar fjalë në pikën 1, shfuqizuar fjalë në pikën 2 me ligjin nr. 77/2022, datë 17.11.2022)</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1. </w:t>
      </w:r>
      <w:r w:rsidR="00BB5D2A" w:rsidRPr="00C37B9B">
        <w:rPr>
          <w:rFonts w:ascii="Garamond" w:hAnsi="Garamond"/>
          <w:sz w:val="24"/>
          <w:szCs w:val="24"/>
        </w:rPr>
        <w:t>Brenda datës 31.12.2024</w:t>
      </w:r>
      <w:r w:rsidRPr="00C37B9B">
        <w:rPr>
          <w:rFonts w:ascii="Garamond" w:hAnsi="Garamond"/>
          <w:sz w:val="24"/>
          <w:szCs w:val="24"/>
        </w:rPr>
        <w:t xml:space="preserve"> dhe sipas përcaktimeve të tij, ATP-ja, vlerëson vetëm financiarisht, të gjitha vendimet përfundimtare të pavlerësuara që kanë njohur të drejtën e kompensimit.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2. Nëse ATP-ja nuk përmbush detyrimin, sipas pikës 1, të këtij neni, subjektit i lind e drejta t’i drejtohen Gjykatës Administrative të Shkallës së Parë, Tiranë për të kërkuar vlerësimin financiar, sipas përcaktimeve të këtij ligji.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Prioritet për vlerësimin financiar do të kenë vendimet përfundimtare në rend kronologjik, duke filluar nga vendimi më i hershëm.</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16</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Procedura e regjistrimit dhe zbatimit të vendimeve të kompensimit</w:t>
      </w:r>
    </w:p>
    <w:p w:rsidR="00F3540D" w:rsidRPr="00C37B9B" w:rsidRDefault="00F3540D" w:rsidP="00F3540D">
      <w:pPr>
        <w:spacing w:after="0"/>
        <w:jc w:val="center"/>
        <w:rPr>
          <w:rFonts w:ascii="Garamond" w:hAnsi="Garamond"/>
          <w:i/>
          <w:sz w:val="24"/>
          <w:szCs w:val="24"/>
        </w:rPr>
      </w:pPr>
      <w:r w:rsidRPr="00C37B9B">
        <w:rPr>
          <w:rFonts w:ascii="Garamond" w:hAnsi="Garamond"/>
          <w:i/>
          <w:sz w:val="24"/>
          <w:szCs w:val="24"/>
        </w:rPr>
        <w:t>(ndryshuar paragrafi i parë i pikës 4, shtuar pika 6/1 dhe 6/2 me ligjin nr. 77/2022, datë 17.11.2022)</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1. ATP-ja, brenda një afati 6-mujor nga dita e hyrjes në fuqi të këtij ligji, publikon regjistrin e të gjitha vendimeve që njohin të drejtën e kompensimit të pronës së subjekteve të shpronësuara. Regjistri duhet të përmbajë informa-cion për dokumentacionin që mungon në dosjen e vendimit. Regjistri bëhet publik në faqen zyrtare të ATP-së, në Buletinin e Njoftimeve Zyrtare dhe/ose në </w:t>
      </w:r>
      <w:r w:rsidRPr="00C37B9B">
        <w:rPr>
          <w:rFonts w:ascii="Garamond" w:hAnsi="Garamond"/>
          <w:sz w:val="24"/>
          <w:szCs w:val="24"/>
        </w:rPr>
        <w:lastRenderedPageBreak/>
        <w:t>media. Rregullat e krijimit, mbajtjes dhe administrimit të regjistrit përcaktohen me vendim të Këshillit të Ministrave, me propozim të ATP-së.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2. Subjektet e interesuara mund të plotësojnë dokumentacionin e nevojshëm për vlerësimin financiar të vendimit të kompensimit, brenda një afati prej 6 muajsh nga data e publikimit të regjistrit.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Në rast se vendimet administrative kanë të meta teknike/hartografike apo gabime materiale të dukshme, me kërkesë të subjektit, ATP-ja mund të bëjë plotësimin e të metës apo ndreqjen e gabimit, pa prekur përmbajtjen e vendimit, sipas përcaktimeve të Kodit të Procedurave Adminis-trative të Republikës së Shqipërisë.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4. </w:t>
      </w:r>
      <w:r w:rsidR="00F3540D" w:rsidRPr="00C37B9B">
        <w:rPr>
          <w:rFonts w:ascii="Garamond" w:hAnsi="Garamond"/>
          <w:sz w:val="24"/>
          <w:szCs w:val="24"/>
        </w:rPr>
        <w:t>Vendimi i kompensimit vlerësohet financiarisht me çmimin minimal të përcaktuar në hartën e vlerës për atë zonë kadastrale dhe kur zona kadastarale nuk identifikohet për atë bashki, nëse: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subjektet e interesuara nuk sjellin dokumentacionin e nevojshëm për vlerësimin financiar të vendimit brenda afatit të përcaktuar, sipas pikës 2, të këtij neni, dhe;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b) ATP-ja është në pamundësi objektive për të vlerësuar pronën, bazuar në dokumentacionin që disponon.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5. Kompensimi i subjekteve fillon pasi vendimi i vlerësimit financiar bëhet përfundimtar. Ky vendim bëhet përfundimtar kur: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a) ka kaluar afati i përcaktuar në pikën 3, të nenit 19, të këtij ligji, dhe nuk ka pasur ankim;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b) Avokatura e Shtetit dhe subjektet e interesuara deklarojnë që nuk do të bëjnë ankim;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c) ka ankim dhe është përfunduar shqyrtimi në gjykatat e të gjitha niveleve, duke përfshirë edhe Gjykatën e Lartë.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6. Procesi i pagesës për të gjitha vendimet përfundimtare që kanë të njohur të drejtën e kompensimit do të përfundojë brenda një afati prej 10 vitesh nga momenti i hyrjes në fuqi të këtij ligji. </w:t>
      </w:r>
    </w:p>
    <w:p w:rsidR="00F3540D" w:rsidRPr="00C37B9B" w:rsidRDefault="00F3540D" w:rsidP="00F3540D">
      <w:pPr>
        <w:spacing w:after="0" w:line="240" w:lineRule="auto"/>
        <w:ind w:firstLine="720"/>
        <w:jc w:val="both"/>
        <w:rPr>
          <w:rFonts w:ascii="Garamond" w:hAnsi="Garamond" w:cs="Times New Roman"/>
          <w:bCs/>
          <w:sz w:val="24"/>
          <w:szCs w:val="24"/>
        </w:rPr>
      </w:pPr>
      <w:r w:rsidRPr="00C37B9B">
        <w:rPr>
          <w:rFonts w:ascii="Garamond" w:hAnsi="Garamond" w:cs="Times New Roman"/>
          <w:bCs/>
          <w:sz w:val="24"/>
          <w:szCs w:val="24"/>
        </w:rPr>
        <w:t xml:space="preserve">6/1. Për vendimet e kompensimit, të cilat janë bërë përfundimtare, të paekzekutuara sipas afateve të parashikuara në Kodin e Procedurave Administrative dhe të plotësuara me dokumentacionin e nevojshëm sipas parashikimeve të legjislacionit në fuqi, subjektet e shpronësuara përfitojnë indeksimin sipas interesit bankar të mesatares vjetore të nxjerrë nga Banka e Shqipërisë në momentin e ekzekutimit të vendimit të kompensimit. </w:t>
      </w:r>
    </w:p>
    <w:p w:rsidR="00F3540D" w:rsidRPr="00C37B9B" w:rsidRDefault="00F3540D" w:rsidP="00F3540D">
      <w:pPr>
        <w:spacing w:after="0"/>
        <w:ind w:firstLine="720"/>
        <w:rPr>
          <w:rFonts w:ascii="Garamond" w:hAnsi="Garamond"/>
          <w:sz w:val="24"/>
          <w:szCs w:val="24"/>
        </w:rPr>
      </w:pPr>
      <w:r w:rsidRPr="00C37B9B">
        <w:rPr>
          <w:rFonts w:ascii="Garamond" w:hAnsi="Garamond" w:cs="Times New Roman"/>
          <w:bCs/>
          <w:sz w:val="24"/>
          <w:szCs w:val="24"/>
        </w:rPr>
        <w:t>6/2. Në rastet kur zëri kadastral nuk është i përcaktuar në dokumentacionin ligjor të administruar në dosje dhe harta që është më e afërt me kohën e shpronësimit nuk ka një vijë kufizuese të qyteteve ose qendrave të banuara, të miratuar nga autoritetet shtetërore përgjegjëse të kohës, vijat kufizuese të qyteteve ose qendrave të banuara, për qëllime të ekzekutimit të vendimeve përfundimtare, miratohen me vendim të Këshillit të Ministrave.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7. Shpërblimi për efekt kompensimi nuk i nënshtrohet asnjë takse dhe tatimi.</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17</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Shqyrtimi i kërkesave të veçanta për kompensim financiar</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lastRenderedPageBreak/>
        <w:tab/>
        <w:t>1. Nga fondi vjetor buxhetor i kompensimit financiar, referuar pikës 1, të nenit 11, të këtij ligji, jo më shumë se 1/3 e tij mund të përdoret për rastet e kërkesave të veçanta për kompensim financiar.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Subjektet, që shprehin vullnetin për t’u kompensuar financiarisht me kërkesë të veçantë, mund të përfitojnë nga ky fond, si më poshtë: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kur subjekti kërkon të kompensohet financiarisht brenda 1 viti, atëherë ai përfiton 20 për qind të vlerës së kompensimit dhe heq dorë nga pjesa tjetër e kësaj vlere;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kur subjekti kërkon të kompensohet financiarisht brenda 3 vitesh, atëherë ai përfiton 30 për qind të vlerës së kompensimit dhe heq dorë nga pjesa tjetër e kësaj vlere;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c) kur subjekti kërkon të kompensohet financiarisht brenda 5 vitesh, atëherë ai përfiton 40për qind të vlerës së kompensimit dhe heq dorë nga pjesa tjetër e kësaj vlere.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Prioritet për trajtim do të kenë kërkesat e bëra sipas shkronjës “a” ndaj  kërkesave të bëra sipas shkronjave “b” e “c” dhe  kërkesat sipas shkronjës “b” ndaj kërkesave, sipas shkronjës “c”, të pikës 2, të këtij neni. Në kërkesat sipas së njëjtës pikë, prioritet do të kenë vendimet përfundimtare që janë më të hershme.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18</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Trajtimi i rasteve me mbivendosje</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1. Në rastet kur evidentohen mbivendosje të së drejtës për kompensim, ATP-ja bën vlerësimin përkatës, sipas përcaktimeve të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2. ATP-ja vijon procedurat për ekzekutimin e vendimit në pjesët që nuk kanë mbivendosje. Për pjesën që është me mbivendosje, Agjencia depoziton vlerën përkatëse në një llogari të veçantë bankare, e cila, pas zgjidhjes përfundimtare të mbivendosjes, i paguhet subjektit. Palët mund ta zgjidhin rastin me mbivendosje me marrëveshje me njëri- tjetrin ose në rrugë gjyqësore.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19</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Ankimi ndaj vlerësimit financiar</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bCs/>
          <w:sz w:val="24"/>
          <w:szCs w:val="24"/>
        </w:rPr>
        <w:tab/>
      </w:r>
      <w:r w:rsidRPr="00C37B9B">
        <w:rPr>
          <w:rFonts w:ascii="Garamond" w:hAnsi="Garamond"/>
          <w:sz w:val="24"/>
          <w:szCs w:val="24"/>
        </w:rPr>
        <w:t>1. Çdo palë e interesuar ka të drejtë të ankohet kundër vlerësimit financiar të kryer nga ATP-ja për përcaktimin e vlerës së pronës në Gjykatën Administrative të Apelit brenda 30 ditëve nga dita e publikimit, vetëm për vlerën e kompensimit.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ATP-ja publikon vlerësimin në bazë të dispozitave të Kodit të Procedurave Adminis-trative.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Pas kalimit të afatit 30-ditor, nëse subjekti i interesuar nuk ka bërë ankim, vlerësimi i vendimit përfundimtar të kompensimit ekzekutohet nga ATP-ja, sipas përcaktimeve të këtij ligji.</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KREU IV</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SHQYRTIMI I KËRKESAVE TË PATRAJTUARA</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20</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lastRenderedPageBreak/>
        <w:t>Kërkesat e patrajtuara</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Kërkesat e bëra para hyrjes në fuqi të këtij ligji, si dhe kërkesat e bëra brenda afatit të përcaktuar në këtë ligj, nëse prona nuk kategorizohet në pronat e përcaktuara në nenet 4 dhe 25, të këtij ligji, do t’i nënshtrohen trajtimit të pronës nëpërmjet njohjes së të drejtës së subjekteve të shpronësuara me vendim të ATP-së dhe kompensimit të tyre sipas këtij ligji. Në çdo rast, aty ku është e mundur, i jepet përparësi kompensimit fizik në pronën që i njihet subjektit me vendim të ATP-së. </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21</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Kompensimi fizik në pronën e subjektit të shpronësuar</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Subjekteve të shpronësuara u njihet e drejta e pronësisë dhe u kompensohen pa kufizim fizikisht, brenda pronës së njohur, pronat e paluajtshme të lira, sipas përcaktimeve të këtij ligji, me përjashtim të tokës bujqësore, e cila kompensohet fizikisht deri në 100 ha.</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Në rast se subjekti i shpronësuar (trashëgimtarët e tij) ka përfituar nga dispozitat ligjore për ndarjen e tokës bujqësore, atëherë vlera e sipërfaqes, që i kompensohet fizikisht në tokën e njohur apo në çdo mënyrë tjetër, llogaritet si diferencë ndërmjet vlerës, që do t’i takonte në kushtet e mospërfitimit nga zbatimi i dispozitave ligjore për ndarjen e tokës bujqësore, me vlerën për sipërfaqen, që secili prej subjekteve të shpronësuara apo trashëgimtarëve të tyre kanë përfituar nga zbatimi i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Në rast se prona e pretenduar kategorizohet në pronat që nuk kompensohen fizikisht dhe subjekti i shpronësuar (trashëgimtarët e tij) ka përfituar nga dispozitat ligjore për ndarjen e tokës bujqësore, atëherë vlerës së kompensimit, sipas këtij ligji, i zbritet vlera e pronës për sipërfaqen, që secili prej subjekteve të shpronësuara apo trashëgimtarëve të tyre kanë përfituar nga zbatimi i dispozitave ligjore për ndarjen e tokës bujqësore.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4. Në çdo rast, në caktimin e vlerës së pronës për kompensim mbahet në konsideratë edhe çdo përfitim i zbritshëm në vlerën e kompensimit, sipas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5. U kompensohen fizikisht subjekteve të shpronësuara, sipas kritereve të këtij ligji, edhe pasuritë e paluajtshme, toka me vendndodhje brenda territoreve turistike, në rastet kur këto prona nuk janë të zëna, sipas përcaktimit të pikës 1,të nenit 25, të këtij ligji. Përcaktimi i territoreve turistike, për efekt të zbatimit të këtij ligji, bëhet me vendim të Këshillit të Ministrave.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6. Subjekteve të shpronësuara u kompensohen fizikisht pronat e paluajtshme, në pronësi apo administrim të institucioneve shtetërore që janë jashtë destinacionit të veprimtarisë së tyre dhe nuk kryejnë funksion publik, si dhe në rastet kur këto prona nuk janë të zëna, sipas përcaktimit të pikës 1,të nenit 25, të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7. Trualli i zënë me ndërtime në pronësi të shtetit, mbi të cilin janë ngritur ndërtime të përhershme dhe të ligjshme në pronësi të pronarit shtet, trajtohet sipas dispozitave të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8. Subjektet e shpronësuara, pronat e të cilave janë përmbytur nga ndërtimi i hidrocentraleve, trajtohen sipas dispozitave të këtij ligji, me përjashtim të rasteve kur kanë përfituar sipas legjislacionit për shpronësimet për interes publik.</w:t>
      </w:r>
    </w:p>
    <w:p w:rsidR="003B39C1" w:rsidRPr="00C37B9B" w:rsidRDefault="003B39C1" w:rsidP="003B39C1">
      <w:pPr>
        <w:spacing w:after="0"/>
        <w:rPr>
          <w:rFonts w:ascii="Garamond" w:hAnsi="Garamond"/>
          <w:sz w:val="24"/>
          <w:szCs w:val="24"/>
        </w:rPr>
      </w:pPr>
      <w:r w:rsidRPr="00C37B9B">
        <w:rPr>
          <w:rFonts w:ascii="Garamond" w:hAnsi="Garamond"/>
          <w:sz w:val="24"/>
          <w:szCs w:val="24"/>
        </w:rPr>
        <w:lastRenderedPageBreak/>
        <w:tab/>
        <w:t>9. Subjektet e shpronësuara,të trajtuara me kthim apo kompensim, sipas akteve ligjore që kanë trajtuar procesin e kthimit dhe kompensimit të pronës ndër vite, kanë të drejtën e përfitimit nga ky ligj vetëm për pjesën e pronës së pakthyer ose të pakompensuar.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10. Në rastet kur një apo disa nga trashëgimtarët e subjektit kanë përfituar nga dispozitat ligjore për ndarjen e tokës bujqësore, ATP-ja i orienton subjektet të bëjnë ndarjen e pjesëve takuese dhe pozicionimin e tyre me aktmarrëveshje. </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22</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E drejta e parablerjes</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Në rast se objektet shtetërore, të ndërtuara mbi troje të njohura për kompensim me vendime përfundimtare, ku është përcaktuar e drejta e parablerjes, transferohen në pronësi apo në administrim të një institucioni tjetër shtetëror, e drejta e parablerjes nuk shuhet.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Për pronat e paluajtshme, të zëna me objekte shtetërore, subjektet e shpronësuara kanë të drejtën e parablerjes mbi këto objekte kur ato të privatizohen. Subjektet e shpronësuara kanë të drejtë të heqin dorë nga e drejta e parablerjes përkundrejt kompensimit, sipas rregullave të përcaktuara në këtë ligj, brenda një afati 1-vjeçar nga publikimi i regjistrit, sipas këtij ligji. Ky afat është prekluziv.</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3. E drejta e parablerjes regjistrohet në Zyrën e Regjistrimit të Pasurive të Paluajtshme. </w:t>
      </w:r>
    </w:p>
    <w:p w:rsidR="003B39C1" w:rsidRPr="00C37B9B" w:rsidRDefault="003B39C1" w:rsidP="003B39C1">
      <w:pPr>
        <w:spacing w:after="0"/>
        <w:rPr>
          <w:rFonts w:ascii="Garamond" w:hAnsi="Garamond"/>
          <w:sz w:val="24"/>
          <w:szCs w:val="24"/>
        </w:rPr>
      </w:pPr>
      <w:r w:rsidRPr="00C37B9B">
        <w:rPr>
          <w:rFonts w:ascii="Garamond" w:hAnsi="Garamond"/>
          <w:sz w:val="24"/>
          <w:szCs w:val="24"/>
        </w:rPr>
        <w:t xml:space="preserve">  </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23</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Tokat e dhëna në përdorim</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Tokat e dhëna në përdorim, me qira ose në ndonjë formë tjetër, nga shteti, kur nuk janë të zëna, në kuptim të nenit 25, të këtij ligji, i kompensohen subjektit të shpronësuar, sipas kritereve dhe kushteve të këtij ligji. Subjekti përfitues në çdo rast detyrohet të respektojë marrëdhënien juridike ekzistuese. </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24</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Trajtimi i pronës në tokat e zëna me ndërtime</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1. Për aplikimet e bëra, sipas nenit 21, të këtij ligji, në zonat e deklaruara informale me akt ligjor dhe nënligjor, aplikuesve u njihet e drejta për kompensimin e pronës së zënë, sipas kritereve të këtij ligji. Brenda territorit të zonave të deklaruara informale nuk lejohet kompensimi fizik.</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ATP-ja, në territoret e tjera me ndërtime, për aq sa është e mundur, trajton me kompensim fizik brenda pronës së njohur aplikuesit për pjesën e pronës që është e lirë nga ndërtimi. Nuk lejohet kompensimi fizik nën truallin e objekteve dhe në një hapësirë funksionale përreth, të nevojshme për t’i shërbyer objektit.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ATP-ja dhe ALUIZNI veprojnë në vendimmarrjen e tyre mbi të njëjtën hartë, të unifikuar dhe të publikuar elektronikisht, e cila bëhet funksionale brenda 3 muajve nga hyja në fuqi e këtij ligji. ATP-ja, në çdo rast, kryen verifikimin në terren të pronës.</w:t>
      </w:r>
    </w:p>
    <w:p w:rsidR="003B39C1" w:rsidRPr="00C37B9B" w:rsidRDefault="003B39C1" w:rsidP="003B39C1">
      <w:pPr>
        <w:spacing w:after="0"/>
        <w:rPr>
          <w:rFonts w:ascii="Garamond" w:hAnsi="Garamond"/>
          <w:sz w:val="24"/>
          <w:szCs w:val="24"/>
        </w:rPr>
      </w:pPr>
      <w:r w:rsidRPr="00C37B9B">
        <w:rPr>
          <w:rFonts w:ascii="Garamond" w:hAnsi="Garamond"/>
          <w:sz w:val="24"/>
          <w:szCs w:val="24"/>
        </w:rPr>
        <w:lastRenderedPageBreak/>
        <w:tab/>
        <w:t>4. Të ardhurat e arkëtuara nga transferimi i pronësisë së parcelës ndërtimore, sipas ligjit nr. 9482, datë 3.4.2006, “Për legalizimin, urbanizimin dhe integrimin e ndërtimeve pa leje”, të ndryshuar, transferohen në llogari të ATP-së, e cila bën shpërndarjen e tyre, sipas vlerës së miratuar të shpërblimit.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5. Këshilli i Ministrave, me propozim të Ministrit të Financave, në bazë të të ardhurave të arkëtuara, sipas shkronjës “c”, të pikës 3, të nenit 10, të këtij ligji, miraton shumën në dispozicion të subjekteve, të parashikuar në pikën 5, të këtij neni, si dhe shtrirjen kohore të përfitimit të kësaj shume.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6. Subjektet, të cilave u është njohur e drejta për shpërblim, në përputhje me ligjin nr. 9482, datë 3.4.2006, “Për legalizimin, urbanizimin dhe integrimin e ndërtimeve pa leje”, të ndryshuar, përfitojnë shpërblim në varësi të të ardhurave të arkëtuara nga transferimi i pronësisë së parcelave ndërtimore, sipas pikës 4 të këtij neni.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7. Pas likuidimit të vlerës së shpërblimit, pjesa e mbetur e fondit kalon në Fondin e Financiar të Kompensimit të subjekteve të shpronësuara, sipas shkronjës “c”, të pikës 3, të nenit 10, të këtij ligji.</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25</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Pronat që nuk kompensohen fizikisht</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Nuk i nënshtrohen kompensimit fizik në pronën e njohur pronat e paluajtshme, që: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i shërbejnë një interesi publik, sipas kufizimeve të vendosura me ligj;</w:t>
      </w:r>
    </w:p>
    <w:p w:rsidR="003B39C1" w:rsidRPr="00C37B9B" w:rsidRDefault="003B39C1" w:rsidP="003B39C1">
      <w:pPr>
        <w:spacing w:after="0"/>
        <w:rPr>
          <w:rFonts w:ascii="Garamond" w:hAnsi="Garamond"/>
          <w:sz w:val="24"/>
          <w:szCs w:val="24"/>
        </w:rPr>
      </w:pPr>
      <w:r w:rsidRPr="00C37B9B">
        <w:rPr>
          <w:rFonts w:ascii="Garamond" w:hAnsi="Garamond"/>
          <w:sz w:val="24"/>
          <w:szCs w:val="24"/>
        </w:rPr>
        <w:t>b) shërbejnë për realizimin e detyrimeve të shtetit shqiptar, që rrjedhin nga traktatet dhe konventat, në të cilat shteti është palë;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c) janë pronë publike e patjetërsueshme, në përputhje me aktet ligjore ose nënligjore;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ç) janë të zëna, sipas akteve ligjore, paraqitur në shtojcën 1 të ligjit.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Në rast se pronat e paluajtshme, që përfshihen në pikën 1, të këtij neni, propozohen të tjetërsohen, ato u kalojnë subjekteve të shpronësuara kur këto nuk janë kompensuar për atë pronë. Në këtë rast, pronat kompensohen sipas përcaktimeve të bëra në këtë ligj.</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KREU V</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ORGANET SHTETËRORE PËR PROCESIN E TRAJTIMIT TË PRONAVE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26</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Agjencia e Trajtimit të Pronave</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Për zbatimin e këtij ligji ngarkohet Agjencia e Trajtimit të Pronave, në vijim ATP-ja, person juridik publik, në varësi të Ministrit të Drejtësisë, me seli në Tiranë. ATP-ja kryen këto detyra dhe përmbush këto përgjegjësi: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përfundon brenda afatit ligjor shqyrtimin e kërkesave të subjekteve të shpronësuara për trajtimin e pronës, për të cilat nuk është marrë vendim, duke kontrolluar, vlerësuar e konfirmuar:</w:t>
      </w:r>
    </w:p>
    <w:p w:rsidR="003B39C1" w:rsidRPr="00C37B9B" w:rsidRDefault="003B39C1" w:rsidP="003B39C1">
      <w:pPr>
        <w:spacing w:after="0"/>
        <w:rPr>
          <w:rFonts w:ascii="Garamond" w:hAnsi="Garamond"/>
          <w:sz w:val="24"/>
          <w:szCs w:val="24"/>
        </w:rPr>
      </w:pPr>
      <w:r w:rsidRPr="00C37B9B">
        <w:rPr>
          <w:rFonts w:ascii="Garamond" w:hAnsi="Garamond"/>
          <w:sz w:val="24"/>
          <w:szCs w:val="24"/>
        </w:rPr>
        <w:lastRenderedPageBreak/>
        <w:tab/>
        <w:t>i) tërësinë e dokumentacionit të paraqitur nga subjektet e shpronësuara dhe përputhshmërinë e tij me kriteret e përcaktuara në këtë ligj;</w:t>
      </w:r>
    </w:p>
    <w:p w:rsidR="003B39C1" w:rsidRPr="00C37B9B" w:rsidRDefault="003B39C1" w:rsidP="003B39C1">
      <w:pPr>
        <w:spacing w:after="0"/>
        <w:rPr>
          <w:rFonts w:ascii="Garamond" w:hAnsi="Garamond"/>
          <w:sz w:val="24"/>
          <w:szCs w:val="24"/>
        </w:rPr>
      </w:pPr>
      <w:r w:rsidRPr="00C37B9B">
        <w:rPr>
          <w:rFonts w:ascii="Garamond" w:hAnsi="Garamond"/>
          <w:sz w:val="24"/>
          <w:szCs w:val="24"/>
        </w:rPr>
        <w:tab/>
        <w:t>ii) vërtetësinë e dokumentacionit të paraqitur nga subjektet e shpronësuara, përmes ballafaqimit me aktet ligjore e nënligjore ose vendimet gjyqësore, në përputhje me nenin 2, të këtij ligji, të cilat kanë shërbyer si bazë për shpronësimin, shtetëzimin, konfiskimin ose marrjen e padrejtë të pronës nga shteti.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Pas kontrollit, vlerësimit dhe shqyrtimit të kërkesave, sipas përcaktimeve të bëra në shkronjën “a”, të pikës 1, të këtij neni, Drejtori i Përgjithshëm i ATP-së shprehet me vendim brenda afatit të përcaktuar në nenin 33, të këtij ligji, për: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rrëzimin e kërkesës;</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njohjen, sipas rastit, të së drejtës së pronësisë, kompensimin fizik brenda kufijve të pronës së njohur apo kompensimin nga fondi i tokës ose kompensimin financiar të pasurisë dhe të të drejtave të tjera reale, sipas përcaktimeve në këtë ligj;</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pranon, shqyrton dhe vlerëson kërkesat për përfitimin e së drejtës së njohur për kompensim, sipas këtij ligji dhe akteve nënligjore në fuqi;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c) verifikon dhe llogarit detyrimet financiare, që i lindin shtetit për subjektet e shpronësuara ose për të tretët, sipas përcaktimeve të bëra në këtë ligj;</w:t>
      </w:r>
    </w:p>
    <w:p w:rsidR="003B39C1" w:rsidRPr="00C37B9B" w:rsidRDefault="003B39C1" w:rsidP="003B39C1">
      <w:pPr>
        <w:spacing w:after="0"/>
        <w:rPr>
          <w:rFonts w:ascii="Garamond" w:hAnsi="Garamond"/>
          <w:sz w:val="24"/>
          <w:szCs w:val="24"/>
        </w:rPr>
      </w:pPr>
      <w:r w:rsidRPr="00C37B9B">
        <w:rPr>
          <w:rFonts w:ascii="Garamond" w:hAnsi="Garamond"/>
          <w:sz w:val="24"/>
          <w:szCs w:val="24"/>
        </w:rPr>
        <w:tab/>
        <w:t>ç) depoziton për regjistrim në regjistrat e pasurisë së paluajtshme të gjitha vendimet që trajtojnë pronën;</w:t>
      </w:r>
    </w:p>
    <w:p w:rsidR="003B39C1" w:rsidRPr="00C37B9B" w:rsidRDefault="003B39C1" w:rsidP="003B39C1">
      <w:pPr>
        <w:spacing w:after="0"/>
        <w:rPr>
          <w:rFonts w:ascii="Garamond" w:hAnsi="Garamond"/>
          <w:sz w:val="24"/>
          <w:szCs w:val="24"/>
        </w:rPr>
      </w:pPr>
      <w:r w:rsidRPr="00C37B9B">
        <w:rPr>
          <w:rFonts w:ascii="Garamond" w:hAnsi="Garamond"/>
          <w:sz w:val="24"/>
          <w:szCs w:val="24"/>
        </w:rPr>
        <w:tab/>
        <w:t>d) çdo detyrë tjetër të caktuar me këtë ligj dhe aktet nënligjore që nxirren në zbatim të tij.</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Këshilli i Ministrave, brenda 30 ditëve nga hyrja në fuqi e këtij ligji, miraton listën e dokumenteve të nevojshme për procesin e trajtimit të pronës, sipas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Brenda 6 muajve nga hyrja në fuqi e këtij ligji, Këshilli i Ministrave miraton me vendim ngritjen e një komisioni me përbërje ndërinstitucionale, i kryesuar nga Zëvendëskryeministri, me përfaqësim nga Ministria e Drejtësisë, Ministria e Zhvillimit Urban, Ministria e Zhvillimit Ekonomik, Turizmit, Tregtisë dhe Sipërmarrjes, Ministria e Mbrojtjes, Ministria e Bujqësisë, Zhvillimit Rural dhe Administrimit të Ujërave, Ministria e Punëve të Brendshme, Ministria e Mjedisit. Komisioni administron punën për identifikimin e pronës shtetërore që mund të kalojë dhe të bëhet pjesë në Fondin e Kompensimit të pronave. Komisioni kryen identifikimin e pronave dhe i propozon Këshillit të Ministrave kalimin e këtyre pronave në fondin e tokës. ATP-ja ngre dhe kryeson një sekretariat teknik për mbështetjen e punës së komisionit. Organizimi dhe funksionimi i këtij procesi përcaktohen në vendimin e Këshillit të Ministrave për ngritjen e komisionit.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4. ATP-ja raporton çdo vit pranë Komisionit Parlamentar për Çështjet Ligjore, Administratën Publike dhe të Drejtat e Njeriut, për zbatimin e këtij ligji. Nëse është e nevojshme, raportojnë, gjithashtu, para këtij Komisioni Parlamentar, institucionet përfaqësuese në komisionin me përbërje ndërinstitucionale, i ngritur sipas pikës 3 të këtij neni.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5. Mënyra e organizimit dhe e funksionimit të ATP-së përcaktohet me vendim të Këshillit të Ministrave, brenda 1 muaji nga hyrja në fuqi e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6. Tarifat, që mbulojnë kostot administrative për procedurat e trajtimit të pronës nga ATP-ja, përcaktohen me urdhër të përbashkët të Ministrit të Drejtësisë dhe të Ministrit të Financave.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lastRenderedPageBreak/>
        <w:t>Neni 27</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Trajtimi i kërkesave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ATP-ja shqyrton kërkesat e paraqitura dhe që janë të patrajtuara, sipas dispozitave të këtij ligji. Pas hyrjes në fuqi të këtij ligji, subjekteve të interesuara u caktohet një afat prekluziv prej 90 ditësh për aplikim në lidhje me njohjen e pronësisë. Ky afat nuk mund të zgjatet dhe as të rivendoset në afat nga gjykata apo ndonjë organ tjetër administrativ.</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ATP-ja shqyrton kërkesat për kompen-sim, sipas procedurave dhe afateve të përshkruara në kreun III të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Në zbatim të këtij ligji, të gjitha aplikimet e mbështetura vetëm mbi vërtetimin e faktit juridik, në kuptim të nenit 388, të Kodit të Procedurës Civile, refuzohen nga ATP-ja me vendim.</w:t>
      </w:r>
    </w:p>
    <w:p w:rsidR="003B39C1" w:rsidRPr="00C37B9B" w:rsidRDefault="003B39C1" w:rsidP="003B39C1">
      <w:pPr>
        <w:spacing w:after="0"/>
        <w:rPr>
          <w:rFonts w:ascii="Garamond" w:hAnsi="Garamond"/>
          <w:sz w:val="24"/>
          <w:szCs w:val="24"/>
        </w:rPr>
      </w:pPr>
      <w:r w:rsidRPr="00C37B9B">
        <w:rPr>
          <w:rFonts w:ascii="Garamond" w:hAnsi="Garamond"/>
          <w:sz w:val="24"/>
          <w:szCs w:val="24"/>
        </w:rPr>
        <w:tab/>
        <w:t>4. ATP-ja, gjatë shqyrtimit të kërkesave të patrajtuara, zbaton rregullat e vendosura nga ky ligj dhe gjatë trajtimit bën vlerësimin e pronës, sipas neneve 6 dhe 7 të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5. Drejtori i Përgjithshëm i ATP-së, në zbatim të përgjegjësive të ngarkuara nga ky ligj, shprehet me vendim. Vendimet e dhëna nga Drejtori i Përgjithshëm i Agjencisë, sipas këtij neni, duhet të jenë në formë të shkruar, të arsyetuara, të nënshkruara nga titullari dhe të përmbushin kërkesat për aktin administrativ, të parashikuara në Kodin e Procedurave Administrative të Republikës së Shqipërisë. Kur vendimi nuk ankimohet brenda afateve të parashikuara nga ky ligj, ai përbën titull ekzekutiv.</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28</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Procedurat e mbledhjes, përpunimit dhe administrimit të akteve nga subjektet e shpronësuara gjatë trajtimit të kërkesave</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Mbledhja, përpunimi dhe administrimi i akteve të subjekteve të shpronësuara, gjatë procesit të trajtimit të kërkesave, bëhen sipas këtyre procedurave: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për kërkesat e reja, të cilat do të depozitohen nga data e hyrjes në fuqi të këtij ligji deri në mbylljen e afatit prekluziv prej 90 ditësh, subjektet e shpronësuara do të plotësojnë: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i) formularin tip për aplikimin e kërkesave për njohje dhe kompensim, i cili duhet të jetë i nënshkruar nga subjekti i shpronësuar ose përfaqësuesi i tij me prokurë. Formulari tip përmban një paralajmërim, që ngarkon me përgjegjësi, sipas ligjit, subjektin kërkues, në rast të deklarimit të të dhënave të rreme apo depozitimit të dokumentacionit të falsifikuar;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ii) dokumentacionin ligjor;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iii) dokumentacionin hartografik, sipas kër-kesave që do të përcaktohen për dorëzimin e tyre;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për kërkesat e paraqitura për trajtim, para hyrjes në fuqi të këtij ligji, dhe të patrajtuara me vendim, ATP-ja fillon menjëherë shqyrtimin e tyre si më poshtë: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i) brenda 30 ditëve nga hyrja në fuqi e këtij ligji, krijon regjistrin e kërkesave pa vendim, bazuar në rendin kronologjik të aplikimit të tyre, pranë strukturave përgjegjëse në kohën e dorëzimit të tyre, bazuar në nivel qarku;</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ii) brenda 90 ditëve nga hyrja në fuqi e këtij ligji, nis procesin e njoftimit të subjekteve të shpronësuara për dokumentacionin që duhet plotësuar, në përputhje me kërkesat e përcaktuara me </w:t>
      </w:r>
      <w:r w:rsidRPr="00C37B9B">
        <w:rPr>
          <w:rFonts w:ascii="Garamond" w:hAnsi="Garamond"/>
          <w:sz w:val="24"/>
          <w:szCs w:val="24"/>
        </w:rPr>
        <w:lastRenderedPageBreak/>
        <w:t>vendim të Drejtorit të Përgjithshëm të ATP-së, sipas prioritetit të përcaktuar në pikën 3, të nenit 15, të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iii) procedurat e mbledhjes, përpunimit dhe administrimit të akteve nga subjektet e shpronësuara, gjatë trajtimit të kërkesave, u nënshtrohen dispozitave të Kodit të Procedurave Administrative.</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Drejtori i Përgjithshëm i ATP-së, brenda 30 ditëve nga hyrja në fuqi e këtij ligji, miraton formularin tip, referuar në nënndarjen “i”, të shkronjës “a”, të pikës 1, të këtij neni, dhe brenda 60 ditëve miraton kërkesat për plotësimin e kërkesave të patrajtuara, sipas nënndarjes “iii”, të shkronjës “b”, të pikës 1, të këtij neni.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Çdo subjekt i shpronësuar ka të drejtë të pajiset nga zyra e protokollit të ATP-së me vërtetimin përkatës për numrin e protokollit të dosjes së regjistruar, që tregon edhe datën e dorëzimit të kërkesës e të dokumenteve të tij.</w:t>
      </w:r>
    </w:p>
    <w:p w:rsidR="003B39C1" w:rsidRPr="00C37B9B" w:rsidRDefault="003B39C1" w:rsidP="003B39C1">
      <w:pPr>
        <w:spacing w:after="0"/>
        <w:rPr>
          <w:rFonts w:ascii="Garamond" w:hAnsi="Garamond"/>
          <w:sz w:val="24"/>
          <w:szCs w:val="24"/>
        </w:rPr>
      </w:pPr>
      <w:r w:rsidRPr="00C37B9B">
        <w:rPr>
          <w:rFonts w:ascii="Garamond" w:hAnsi="Garamond"/>
          <w:sz w:val="24"/>
          <w:szCs w:val="24"/>
        </w:rPr>
        <w:tab/>
        <w:t>4. Kërkesat e subjekteve të shpronësuara, të cilat depozitohen nëpërmjet shërbimit postar dhe kanë mangësi në dokumentacionin shoqërues, gjë që e bën të pamundur vlerësimin e tyre, do t’i kthehen kërkuesit në adresën e dhënë, duke i kërkuar plotësimin e dokumentacionit në mënyrë të hollësishme. Kërkesa, së cilës i mungon adresa e saktë postare, vlerësohet jo e mirëqenë dhe riaktivizohet vetëm me interesimin e kërkuesit pranë zyrave të ATP-së. Në çastin e konstatimit, nga struktura përkatëse e ATP-së bëhet shpallja publike në mjediset e ATP-së dhe në njësitë e qeverisjes vendore, ku ndodhet prona, objekt pretendimi. Kërkesa e subjektit të interesuar pranohet brenda një afati 3-mujor nga data e konstatimit, në të kundërt, kërkesa e subjektit nuk pranohet, me vendim të Drejtorit të Përgjithshëm të ATP-së.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5. ATP-ja pranon dhe administron kërkesat e subjekteve të shpronësuara kundrejt tarifave të përcaktuara, me urdhër të përbashkët të Ministrit të Drejtësisë dhe të Ministrit të Financave.</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29</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Ankimi</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Kundër vendimit të ATP-së për njohjen e së drejtës, palët e interesuara dhe Avokatura e Shtetit kanë të drejtë të bëjnë ankim, brenda 30 ditëve nga data e njoftimit të këtij vendimi, pranë Gjykatës së Apelit, sipas rregullave të Kodit të Procedurës Civile të Republikës së Shqipërisë.</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30</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Regjistrimi i vendimit</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Kur vendimi i marrë, sipas këtij ligji, bëhet përfundimtar, Agjencia ose çdo palë e interesuar e dërgon atë në Zyrën e Regjistrimit të Pasurive të Paluajtshme për regjistrim.</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2. Për vendimet që nuk u është dhënë formë e prerë, për shkak të ndryshimeve të ligjit, Agjencia verifikon nëse është bërë ankim brenda afatit ligjor dhe, në rast të kundërt, këto vendime konsiderohen të formës e prerë.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3. Vendimet mbi të drejtën e parablerjes, që janë verifikuar nga Agjencia pas përfundimit të regjistrit, do t’i dërgohen Zyrës së Regjistrimit të Pasurive të Paluajtshme brenda një muaji nga data e </w:t>
      </w:r>
      <w:r w:rsidRPr="00C37B9B">
        <w:rPr>
          <w:rFonts w:ascii="Garamond" w:hAnsi="Garamond"/>
          <w:sz w:val="24"/>
          <w:szCs w:val="24"/>
        </w:rPr>
        <w:lastRenderedPageBreak/>
        <w:t>verifikimit dhe në çdo rast brenda 18 muajve nga hyrja në fuqi e këtij ligji. Zyra do t’i regjistrojë ato pa aplikuar gjoba, kamata apo tarifa. Subjektet e interesuara janë përgjegjëse për dorëzimin e dokumentacionit të nevojshëm që kërkohet nga Zyra e Regjistrimit të Pasurive të Paluajtshme për të mbështetur regjistrimin e vendimit. E njëjta gjë do të bëhet edhe për vendimet e kompensimit.</w:t>
      </w:r>
    </w:p>
    <w:p w:rsidR="003B39C1" w:rsidRPr="00C37B9B" w:rsidRDefault="003B39C1" w:rsidP="003B39C1">
      <w:pPr>
        <w:spacing w:after="0"/>
        <w:rPr>
          <w:rFonts w:ascii="Garamond" w:hAnsi="Garamond"/>
          <w:sz w:val="24"/>
          <w:szCs w:val="24"/>
        </w:rPr>
      </w:pPr>
      <w:r w:rsidRPr="00C37B9B">
        <w:rPr>
          <w:rFonts w:ascii="Garamond" w:hAnsi="Garamond"/>
          <w:sz w:val="24"/>
          <w:szCs w:val="24"/>
        </w:rPr>
        <w:tab/>
        <w:t>4. Çdo vendim gjykate, që ka ndryshuar vendimin e ATP-së për kthimin/kompensimin apo për vlerën e kompensimit, do t’i njoftohet ATP-së dhe do të regjistrohet në regjistrin përkatës të vendimmarrjes, i cili mbahet nga ATP-ja. Ky regjistër bashkërendohet me regjistrin aktual të vendimmarrjes së ATP-së dhe të agjencive të tjera të mëparshme kompetente për kthimin dhe kompensimin e pronës.</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31</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Kundërvajtjet administrative</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Në kuptim të këtij ligji, shkeljet e mëposhtme, pavarësisht nëse përbëjnë ose jo vepër penale, përbëjnë kundërvajtje administrative dhe dënohen si më poshtë: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shkelja e dispozitave ligjore dhe nënligjore për administrimin e Fondit të Kompensimit dënohet me gjobë administrative nga 200 000 (dyqind mijë) – 800 000 (tetëqind mijë) lekë;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b) shkelja e dispozitave ligjore dhe nënligjore për respektimin e afateve dhe procedurave të kompensimit fizik me ankand, rasteve të tjera të kompensimit fizik, vlerësimit financiar të vendimeve për kompensim, kompensimit fizik në pronën e subjektit të shpronësuar, shqyrtimit të kërkesave të patrajtuara dhe çdo afat dhe procedurë tjetër, të detyrueshme, të parashikuar në këtë ligj, dënohet me gjobë administrative nga 50 000 (pesëdhjetë mijë) – 300 000 (treqind mijë) lekë.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2. Masa e gjobës përcaktohet, në çdo rast, në përpjesëtim të drejtë me natyrën e kundërvajtjes së konstatuar, me përgjegjësinë dhe pjesëmarrjen në vendimmarrje të zyrtarit ose të kundërvajtësit dhe me faktin nëse kundërvajtësi është përsëritës apo jo. Në rast përsëritjeje të kundërvajtjes, kundërvajtësi dënohet me dyfishin e vlerës së gjobës.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3. Kompetenca për shqyrtimin e kundërvajtjeve administrative, të parashikuara në këtë nen, i takon: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a) Drejtorit të Përgjithshëm të ATP-së, kur shkelja është kryer nga vartësit e tij;</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 gjykatës administrative, kur shkelja kryhet nga Drejtori i Përgjithshëm i ATP-së.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4. Procedurat e konstatimit të kundërvajtjes, të njoftimit të kundërvajtësit, vendimit, ankimit dhe masave të tjera administrative, kundrejt shkeljeve të këtij ligji, si dhe ekzekutimi i dënimit rregullohen sipas dispozitave të ligjit në fuqi për kundërvajtjet administrative.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KREU VI</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DISPOZITA TË FUNDIT</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32</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Dispozitë kalimtare</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lastRenderedPageBreak/>
        <w:tab/>
        <w:t>1. Agjencia e Kthimit dhe Kompensimit të Pronave transformohet në Agjencinë e Trajtimit të Pronave, me hyrjen në fuqi të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AKKP-ja do të vazhdojë të funksionojë, sipas strukturës ekzistuese, deri në miratimin e mënyrës së organizimit dhe funksionimit të ATP-së, sipas parashikimit të pikës 5, të nenit 26, të këtij ligji, dhe miratimit të strukturës e të organikës, në përputhje me legjislacionin në fuqi.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3. Praktikat dokumentare administrative, të cilat janë në shqyrtim dhe ndjekje nga ana e AKKP-së, transferohen për administrimin e ndjekjen e tyre në vazhdim nga ATP-ja.</w:t>
      </w:r>
    </w:p>
    <w:p w:rsidR="003B39C1" w:rsidRPr="00C37B9B" w:rsidRDefault="003B39C1" w:rsidP="003B39C1">
      <w:pPr>
        <w:spacing w:after="0"/>
        <w:rPr>
          <w:rFonts w:ascii="Garamond" w:hAnsi="Garamond"/>
          <w:sz w:val="24"/>
          <w:szCs w:val="24"/>
        </w:rPr>
      </w:pPr>
      <w:r w:rsidRPr="00C37B9B">
        <w:rPr>
          <w:rFonts w:ascii="Garamond" w:hAnsi="Garamond"/>
          <w:sz w:val="24"/>
          <w:szCs w:val="24"/>
        </w:rPr>
        <w:tab/>
        <w:t>4. Arkivi, mjetet e punës dhe logjistika e zyrave të Agjencisë së Kthimit dhe Kompensimit të Pronave, krijuar dhe administruar sipas ligjit, i transferohen në përgjegjësi administrimi ATP-së.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5. Fondet buxhetore, të planifikuara për Agjencinë e Kthimit dhe Kompensimit të Pronave, pas hyrjes në fuqi të këtij ligji, transferohen në llogari të ATP-së.</w:t>
      </w:r>
    </w:p>
    <w:p w:rsidR="003B39C1" w:rsidRPr="00C37B9B" w:rsidRDefault="003B39C1" w:rsidP="003B39C1">
      <w:pPr>
        <w:spacing w:after="0"/>
        <w:rPr>
          <w:rFonts w:ascii="Garamond" w:hAnsi="Garamond"/>
          <w:sz w:val="24"/>
          <w:szCs w:val="24"/>
        </w:rPr>
      </w:pPr>
      <w:r w:rsidRPr="00C37B9B">
        <w:rPr>
          <w:rFonts w:ascii="Garamond" w:hAnsi="Garamond"/>
          <w:sz w:val="24"/>
          <w:szCs w:val="24"/>
        </w:rPr>
        <w:tab/>
        <w:t>6. ATP-ja ngarkohet të dixhitalizojë informacionin hartografik të të gjitha vendimeve përfundimtare për kthimin dhe kompensimin e pronës.</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33</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Kërkesat për trajtimin e sipërfaqes së patrajtuar me vendimet e mëparshme për shkak të kufizimeve ligjore të kohës</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Për aplikimet e bëra, mbështetur në nenin 22, të ligjit nr.9235, datë 29.7.2004, “Për kthimin dhe kompensimin e pronës”, të ndryshuar, do të procedohet në mënyrën, formën dhe kushtet e parashikuara nga ky ligj.</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34</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Afati i përfundimit të procesit</w:t>
      </w:r>
    </w:p>
    <w:p w:rsidR="00F3540D" w:rsidRPr="00C37B9B" w:rsidRDefault="00F3540D" w:rsidP="003B39C1">
      <w:pPr>
        <w:spacing w:after="0"/>
        <w:jc w:val="center"/>
        <w:rPr>
          <w:rFonts w:ascii="Garamond" w:hAnsi="Garamond"/>
          <w:i/>
          <w:sz w:val="24"/>
          <w:szCs w:val="24"/>
        </w:rPr>
      </w:pPr>
      <w:r w:rsidRPr="00C37B9B">
        <w:rPr>
          <w:rFonts w:ascii="Garamond" w:hAnsi="Garamond"/>
          <w:i/>
          <w:sz w:val="24"/>
          <w:szCs w:val="24"/>
        </w:rPr>
        <w:t>(zëvendësuar fjalë në pikën 1, shfuqizuar fjalë në pikën 2 me ligjin nr. 77/2022, datë 17.11.2022)</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1. Procesi i shqyrtimit të dosjeve, që janë aplikuar përpara hyrjes në fuqi të këtij ligji dhe që janë në proces shqyrtimi pranë Agjencisë, përfundon </w:t>
      </w:r>
      <w:r w:rsidR="00F3540D" w:rsidRPr="00C37B9B">
        <w:rPr>
          <w:rFonts w:ascii="Garamond" w:hAnsi="Garamond"/>
          <w:sz w:val="24"/>
          <w:szCs w:val="24"/>
        </w:rPr>
        <w:t>brenda datës 31.12.2024</w:t>
      </w:r>
      <w:r w:rsidRPr="00C37B9B">
        <w:rPr>
          <w:rFonts w:ascii="Garamond" w:hAnsi="Garamond"/>
          <w:sz w:val="24"/>
          <w:szCs w:val="24"/>
        </w:rPr>
        <w:t>. Procesi i ndarjes së Fondit të Kompensimit të pronave vazhdon deri në kompensimin, sipas përcaktimeve të këtij ligji, të të gjitha subjekteve që disponojnë vendim përfundimtar kompensimi dhe brenda afatit të përcaktuar në pikën 6, të nenit 16, të këtij ligji.</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Nëse ATP-ja nuk përmbush detyrimin për të trajtuar kërkesat e përcaktuara në pikën 1, të këtij neni, atëherë subjektet mund t’i drejtohen gjykatës së shkallës së parë për të trajtuar kërkesën e tyre, sipas përcaktimeve të këtij ligji.</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35</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Ruajtja e dokumentacionit</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Dokumentacioni i procesit të njohjes e kompensimit të pronave ruhet, sipas legjislacionit në fuqi për arkivat. Me përfundimin e procesit, sipas nenit 33, të këtij ligji, ky dokumentacion i dorëzohet Drejtorisë së Përgjithshme të Arkivave.</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36</w:t>
      </w:r>
    </w:p>
    <w:p w:rsidR="003B39C1" w:rsidRPr="00C37B9B" w:rsidRDefault="003B39C1" w:rsidP="003B39C1">
      <w:pPr>
        <w:spacing w:after="0"/>
        <w:jc w:val="center"/>
        <w:rPr>
          <w:rFonts w:ascii="Garamond" w:hAnsi="Garamond"/>
          <w:b/>
          <w:bCs/>
          <w:sz w:val="24"/>
          <w:szCs w:val="24"/>
        </w:rPr>
      </w:pPr>
      <w:r w:rsidRPr="00C37B9B">
        <w:rPr>
          <w:rFonts w:ascii="Garamond" w:hAnsi="Garamond"/>
          <w:b/>
          <w:bCs/>
          <w:sz w:val="24"/>
          <w:szCs w:val="24"/>
        </w:rPr>
        <w:t>Bashkëpunimi ndërinstitucional</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1. ATP-ja, në funksion të procesit të njohjes dhe kompensimit të pronës, bashkërendon veprim-tarinë me Zyrën e Regjistrimit të Pasurive të Paluajtshme, Agjencinë e Legalizimit dhe Urbanizimit të Zonave dhe Ndërtimeve Informale, Drejtorinë e Drejtimit të Pronës Publike, Avokaturën e Shtetit, Autoritetin Shtetëror për Informacionin Gjeohapësinor (ASIG), Arkivin e Shtetit, Arkivin Qendror Teknik të Ndërtimit, organet e pushtetit vendor dhe çdo institucion tjetër, veprimtaria e të cilit lidhet apo ka përgjegjësi për këtë proces. Çdo institucion shtetëror, veprimtaria e të cilit lidhet apo ka përgjegjësi për procesin e njohjes dhe kompensimit të pronës, është i detyruar të bashkëpunojë dhe të sigurojë pa tarifa dhe taksa informacionin apo dokumen-tacionin e kërkuar nga Agjencia, si dhe të raportojë arsyet e mospërmbushjes së një mase apo reko-mandimi të kërkuar.</w:t>
      </w:r>
    </w:p>
    <w:p w:rsidR="003B39C1" w:rsidRPr="00C37B9B" w:rsidRDefault="003B39C1" w:rsidP="003B39C1">
      <w:pPr>
        <w:spacing w:after="0"/>
        <w:rPr>
          <w:rFonts w:ascii="Garamond" w:hAnsi="Garamond"/>
          <w:sz w:val="24"/>
          <w:szCs w:val="24"/>
        </w:rPr>
      </w:pPr>
      <w:r w:rsidRPr="00C37B9B">
        <w:rPr>
          <w:rFonts w:ascii="Garamond" w:hAnsi="Garamond"/>
          <w:sz w:val="24"/>
          <w:szCs w:val="24"/>
        </w:rPr>
        <w:tab/>
        <w:t>2. Këshilli i Ministrave, me vendim, cakton rregulla të hollësishme për procedurën e bashkë-punimit dhe të bashkërendimit të veprimtarisë së Agjencisë me institucionet e tjera shtetërore.</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37</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Aktet nënligjore</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Brenda 6 muajve nga hyrja në fuqi e këtij ligji, Këshilli i Ministrave nxjerr aktet e nevojshme nënligjore në bazë dhe për zbatim të tij. Deri në nxjerrjen e këtyre akteve, aktet nënligjore ekzistuese vazhdojnë të mbeten në fuqi, për aq sa nuk vijnë në kundërshtim me këtë ligj.</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38</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Shfuqizime</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rPr>
          <w:rFonts w:ascii="Garamond" w:hAnsi="Garamond"/>
          <w:sz w:val="24"/>
          <w:szCs w:val="24"/>
        </w:rPr>
      </w:pPr>
      <w:r w:rsidRPr="00C37B9B">
        <w:rPr>
          <w:rFonts w:ascii="Garamond" w:hAnsi="Garamond"/>
          <w:sz w:val="24"/>
          <w:szCs w:val="24"/>
        </w:rPr>
        <w:tab/>
        <w:t>Me hyrjen në fuqi të këtij ligji, ligji nr. 9235, datë 29.7.2004, “Për kthimin dhe kompensimin e pronës”, të ndryshuar; ligji nr. 10 239, datë 25.2.2010, “Për krijimin e fondit special të kompensimit të pronave”, të ndryshuar, dhe çdo dispozitë tjetër nënligjore, që është në kundërshtim me këtë ligj, shfuqizohen.</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Neni 39</w:t>
      </w:r>
    </w:p>
    <w:p w:rsidR="003B39C1" w:rsidRPr="00C37B9B" w:rsidRDefault="003B39C1" w:rsidP="003B39C1">
      <w:pPr>
        <w:spacing w:after="0"/>
        <w:jc w:val="center"/>
        <w:rPr>
          <w:rFonts w:ascii="Garamond" w:hAnsi="Garamond"/>
          <w:b/>
          <w:sz w:val="24"/>
          <w:szCs w:val="24"/>
        </w:rPr>
      </w:pPr>
      <w:r w:rsidRPr="00C37B9B">
        <w:rPr>
          <w:rFonts w:ascii="Garamond" w:hAnsi="Garamond"/>
          <w:b/>
          <w:sz w:val="24"/>
          <w:szCs w:val="24"/>
        </w:rPr>
        <w:t>Hyrja në fuqi</w:t>
      </w:r>
    </w:p>
    <w:p w:rsidR="003B39C1" w:rsidRPr="00C37B9B" w:rsidRDefault="003B39C1" w:rsidP="003B39C1">
      <w:pPr>
        <w:spacing w:after="0"/>
        <w:jc w:val="center"/>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ab/>
        <w:t xml:space="preserve">Ky ligj hyn në fuqi 15 ditë pas botimit në Fletoren Zyrtare. </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Miratuar në datën 5.12.2015</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KRYETARI</w:t>
      </w:r>
    </w:p>
    <w:p w:rsidR="003B39C1" w:rsidRPr="00C37B9B" w:rsidRDefault="003B39C1" w:rsidP="003B39C1">
      <w:pPr>
        <w:spacing w:after="0"/>
        <w:rPr>
          <w:rFonts w:ascii="Garamond" w:hAnsi="Garamond"/>
          <w:b/>
          <w:sz w:val="24"/>
          <w:szCs w:val="24"/>
        </w:rPr>
      </w:pPr>
      <w:r w:rsidRPr="00C37B9B">
        <w:rPr>
          <w:rFonts w:ascii="Garamond" w:hAnsi="Garamond"/>
          <w:b/>
          <w:sz w:val="24"/>
          <w:szCs w:val="24"/>
        </w:rPr>
        <w:t>Ilir Meta</w:t>
      </w:r>
    </w:p>
    <w:p w:rsidR="003B39C1" w:rsidRPr="00C37B9B" w:rsidRDefault="003B39C1" w:rsidP="003B39C1">
      <w:pPr>
        <w:spacing w:after="0"/>
        <w:rPr>
          <w:rFonts w:ascii="Garamond" w:hAnsi="Garamond"/>
          <w:sz w:val="24"/>
          <w:szCs w:val="24"/>
        </w:rPr>
      </w:pPr>
    </w:p>
    <w:p w:rsidR="003B39C1" w:rsidRPr="00C37B9B" w:rsidRDefault="003B39C1" w:rsidP="003B39C1">
      <w:pPr>
        <w:spacing w:after="0"/>
        <w:jc w:val="center"/>
        <w:rPr>
          <w:rFonts w:ascii="Garamond" w:hAnsi="Garamond"/>
          <w:sz w:val="24"/>
          <w:szCs w:val="24"/>
        </w:rPr>
      </w:pPr>
      <w:r w:rsidRPr="00C37B9B">
        <w:rPr>
          <w:rFonts w:ascii="Garamond" w:hAnsi="Garamond"/>
          <w:sz w:val="24"/>
          <w:szCs w:val="24"/>
        </w:rPr>
        <w:t>SHTOJCA 1</w:t>
      </w:r>
    </w:p>
    <w:p w:rsidR="003B39C1" w:rsidRPr="00C37B9B" w:rsidRDefault="003B39C1" w:rsidP="003B39C1">
      <w:pPr>
        <w:spacing w:after="0"/>
        <w:rPr>
          <w:rFonts w:ascii="Garamond" w:hAnsi="Garamond"/>
          <w:sz w:val="24"/>
          <w:szCs w:val="24"/>
        </w:rPr>
      </w:pPr>
      <w:r w:rsidRPr="00C37B9B">
        <w:rPr>
          <w:rFonts w:ascii="Garamond" w:hAnsi="Garamond"/>
          <w:sz w:val="24"/>
          <w:szCs w:val="24"/>
        </w:rPr>
        <w:t> </w:t>
      </w:r>
    </w:p>
    <w:p w:rsidR="003B39C1" w:rsidRPr="00C37B9B" w:rsidRDefault="003B39C1" w:rsidP="003B39C1">
      <w:pPr>
        <w:spacing w:after="0"/>
        <w:rPr>
          <w:rFonts w:ascii="Garamond" w:hAnsi="Garamond"/>
          <w:sz w:val="24"/>
          <w:szCs w:val="24"/>
        </w:rPr>
      </w:pPr>
      <w:r w:rsidRPr="00C37B9B">
        <w:rPr>
          <w:rFonts w:ascii="Garamond" w:hAnsi="Garamond"/>
          <w:sz w:val="24"/>
          <w:szCs w:val="24"/>
        </w:rPr>
        <w:t>1. Ligji nr. 7501, datë 19.7.1991, “Për tokën”, i ndryshuar.</w:t>
      </w:r>
    </w:p>
    <w:p w:rsidR="003B39C1" w:rsidRPr="00C37B9B" w:rsidRDefault="003B39C1" w:rsidP="003B39C1">
      <w:pPr>
        <w:spacing w:after="0"/>
        <w:rPr>
          <w:rFonts w:ascii="Garamond" w:hAnsi="Garamond"/>
          <w:sz w:val="24"/>
          <w:szCs w:val="24"/>
        </w:rPr>
      </w:pPr>
      <w:r w:rsidRPr="00C37B9B">
        <w:rPr>
          <w:rFonts w:ascii="Garamond" w:hAnsi="Garamond"/>
          <w:sz w:val="24"/>
          <w:szCs w:val="24"/>
        </w:rPr>
        <w:t>2. Ligji nr. 7512, datë 10.8.1991, “Për sanksionimin dhe mbrojtjen e pronës private dhe nismës së lirë, të veprimtarive private të pavarura dhe privatizimit”.</w:t>
      </w:r>
    </w:p>
    <w:p w:rsidR="003B39C1" w:rsidRPr="00C37B9B" w:rsidRDefault="003B39C1" w:rsidP="003B39C1">
      <w:pPr>
        <w:spacing w:after="0"/>
        <w:rPr>
          <w:rFonts w:ascii="Garamond" w:hAnsi="Garamond"/>
          <w:sz w:val="24"/>
          <w:szCs w:val="24"/>
        </w:rPr>
      </w:pPr>
      <w:r w:rsidRPr="00C37B9B">
        <w:rPr>
          <w:rFonts w:ascii="Garamond" w:hAnsi="Garamond"/>
          <w:sz w:val="24"/>
          <w:szCs w:val="24"/>
        </w:rPr>
        <w:t>3. Dekreti i Presidentit të Republikës nr. 378, datë 2.12.1992, “Për faljen e studiove të punës piktorëve dhe skulptorëve”.</w:t>
      </w:r>
    </w:p>
    <w:p w:rsidR="003B39C1" w:rsidRPr="00C37B9B" w:rsidRDefault="003B39C1" w:rsidP="003B39C1">
      <w:pPr>
        <w:spacing w:after="0"/>
        <w:rPr>
          <w:rFonts w:ascii="Garamond" w:hAnsi="Garamond"/>
          <w:sz w:val="24"/>
          <w:szCs w:val="24"/>
        </w:rPr>
      </w:pPr>
      <w:r w:rsidRPr="00C37B9B">
        <w:rPr>
          <w:rFonts w:ascii="Garamond" w:hAnsi="Garamond"/>
          <w:sz w:val="24"/>
          <w:szCs w:val="24"/>
        </w:rPr>
        <w:t>4. Ligji nr. 7652, datë 23.12.1992, “Për privatizimin e banesave shtetërore”.</w:t>
      </w:r>
    </w:p>
    <w:p w:rsidR="003B39C1" w:rsidRPr="00C37B9B" w:rsidRDefault="003B39C1" w:rsidP="003B39C1">
      <w:pPr>
        <w:spacing w:after="0"/>
        <w:rPr>
          <w:rFonts w:ascii="Garamond" w:hAnsi="Garamond"/>
          <w:sz w:val="24"/>
          <w:szCs w:val="24"/>
        </w:rPr>
      </w:pPr>
      <w:r w:rsidRPr="00C37B9B">
        <w:rPr>
          <w:rFonts w:ascii="Garamond" w:hAnsi="Garamond"/>
          <w:sz w:val="24"/>
          <w:szCs w:val="24"/>
        </w:rPr>
        <w:t>5. Ligji nr. 7665, datë 21.1.1993, “Për zhvillimin e zonave që kanë përparësi turizmin”.</w:t>
      </w:r>
    </w:p>
    <w:p w:rsidR="003B39C1" w:rsidRPr="00C37B9B" w:rsidRDefault="003B39C1" w:rsidP="003B39C1">
      <w:pPr>
        <w:spacing w:after="0"/>
        <w:rPr>
          <w:rFonts w:ascii="Garamond" w:hAnsi="Garamond"/>
          <w:sz w:val="24"/>
          <w:szCs w:val="24"/>
        </w:rPr>
      </w:pPr>
      <w:r w:rsidRPr="00C37B9B">
        <w:rPr>
          <w:rFonts w:ascii="Garamond" w:hAnsi="Garamond"/>
          <w:sz w:val="24"/>
          <w:szCs w:val="24"/>
        </w:rPr>
        <w:t>6. Ligji nr. 8312, datë 26.3.1993, “Për tokat bujqësore të pandara”.</w:t>
      </w:r>
    </w:p>
    <w:p w:rsidR="003B39C1" w:rsidRPr="00C37B9B" w:rsidRDefault="003B39C1" w:rsidP="003B39C1">
      <w:pPr>
        <w:spacing w:after="0"/>
        <w:rPr>
          <w:rFonts w:ascii="Garamond" w:hAnsi="Garamond"/>
          <w:sz w:val="24"/>
          <w:szCs w:val="24"/>
        </w:rPr>
      </w:pPr>
      <w:r w:rsidRPr="00C37B9B">
        <w:rPr>
          <w:rFonts w:ascii="Garamond" w:hAnsi="Garamond"/>
          <w:sz w:val="24"/>
          <w:szCs w:val="24"/>
        </w:rPr>
        <w:t>7. Ligji nr. 7698, datë 15.4.1993, “Për kthimin dhe kompensimin e pronave ish-pronarëve”.</w:t>
      </w:r>
    </w:p>
    <w:p w:rsidR="003B39C1" w:rsidRPr="00C37B9B" w:rsidRDefault="003B39C1" w:rsidP="003B39C1">
      <w:pPr>
        <w:spacing w:after="0"/>
        <w:rPr>
          <w:rFonts w:ascii="Garamond" w:hAnsi="Garamond"/>
          <w:sz w:val="24"/>
          <w:szCs w:val="24"/>
        </w:rPr>
      </w:pPr>
      <w:r w:rsidRPr="00C37B9B">
        <w:rPr>
          <w:rFonts w:ascii="Garamond" w:hAnsi="Garamond"/>
          <w:sz w:val="24"/>
          <w:szCs w:val="24"/>
        </w:rPr>
        <w:t>8. Ligji nr. 7980, datë 27.7.1995, “Për shitblerjen e tokave”.</w:t>
      </w:r>
    </w:p>
    <w:p w:rsidR="003B39C1" w:rsidRPr="00C37B9B" w:rsidRDefault="003B39C1" w:rsidP="003B39C1">
      <w:pPr>
        <w:spacing w:after="0"/>
        <w:rPr>
          <w:rFonts w:ascii="Garamond" w:hAnsi="Garamond"/>
          <w:sz w:val="24"/>
          <w:szCs w:val="24"/>
        </w:rPr>
      </w:pPr>
      <w:r w:rsidRPr="00C37B9B">
        <w:rPr>
          <w:rFonts w:ascii="Garamond" w:hAnsi="Garamond"/>
          <w:sz w:val="24"/>
          <w:szCs w:val="24"/>
        </w:rPr>
        <w:t>9. Ligji nr. 7983, datë 27.7.1995, “Për shitblerjen e tokës bujqësore, livadheve dhe kullotave”.</w:t>
      </w:r>
    </w:p>
    <w:p w:rsidR="003B39C1" w:rsidRPr="00C37B9B" w:rsidRDefault="003B39C1" w:rsidP="003B39C1">
      <w:pPr>
        <w:spacing w:after="0"/>
        <w:rPr>
          <w:rFonts w:ascii="Garamond" w:hAnsi="Garamond"/>
          <w:sz w:val="24"/>
          <w:szCs w:val="24"/>
        </w:rPr>
      </w:pPr>
      <w:r w:rsidRPr="00C37B9B">
        <w:rPr>
          <w:rFonts w:ascii="Garamond" w:hAnsi="Garamond"/>
          <w:sz w:val="24"/>
          <w:szCs w:val="24"/>
        </w:rPr>
        <w:t>10. Ligji nr. 8053, datë 21.12.1995, “Për kalimin në pronësi pa shpërblim të tokës bujqësore”.</w:t>
      </w:r>
    </w:p>
    <w:p w:rsidR="003B39C1" w:rsidRPr="00C37B9B" w:rsidRDefault="003B39C1" w:rsidP="003B39C1">
      <w:pPr>
        <w:spacing w:after="0"/>
        <w:rPr>
          <w:rFonts w:ascii="Garamond" w:hAnsi="Garamond"/>
          <w:sz w:val="24"/>
          <w:szCs w:val="24"/>
        </w:rPr>
      </w:pPr>
      <w:r w:rsidRPr="00C37B9B">
        <w:rPr>
          <w:rFonts w:ascii="Garamond" w:hAnsi="Garamond"/>
          <w:sz w:val="24"/>
          <w:szCs w:val="24"/>
        </w:rPr>
        <w:t>11. Ligji nr. 8337, datë 30.4.1998, “Për kalimin në pronësi të tokës bujqësore, pyjore, livadheve dhe kullotave”.</w:t>
      </w:r>
    </w:p>
    <w:p w:rsidR="003B39C1" w:rsidRPr="00C37B9B" w:rsidRDefault="003B39C1" w:rsidP="003B39C1">
      <w:pPr>
        <w:spacing w:after="0"/>
        <w:rPr>
          <w:rFonts w:ascii="Garamond" w:hAnsi="Garamond"/>
          <w:sz w:val="24"/>
          <w:szCs w:val="24"/>
        </w:rPr>
      </w:pPr>
      <w:r w:rsidRPr="00C37B9B">
        <w:rPr>
          <w:rFonts w:ascii="Garamond" w:hAnsi="Garamond"/>
          <w:sz w:val="24"/>
          <w:szCs w:val="24"/>
        </w:rPr>
        <w:t>12. Vendimi i Këshillit të Ministrave nr. 452, datë 17.10.1992, “Për ristrukturimin e ndërmarrjeve bujqësore”.</w:t>
      </w:r>
    </w:p>
    <w:p w:rsidR="003B39C1" w:rsidRPr="00C37B9B" w:rsidRDefault="003B39C1" w:rsidP="003B39C1">
      <w:pPr>
        <w:spacing w:after="0"/>
        <w:rPr>
          <w:rFonts w:ascii="Garamond" w:hAnsi="Garamond"/>
          <w:sz w:val="24"/>
          <w:szCs w:val="24"/>
        </w:rPr>
      </w:pPr>
      <w:r w:rsidRPr="00C37B9B">
        <w:rPr>
          <w:rFonts w:ascii="Garamond" w:hAnsi="Garamond"/>
          <w:sz w:val="24"/>
          <w:szCs w:val="24"/>
        </w:rPr>
        <w:t>13. Ligj nr. 8743, datë 22.2.2001, “Për pronat e paluajtshme të shtetit”.</w:t>
      </w:r>
    </w:p>
    <w:p w:rsidR="003B39C1" w:rsidRPr="00C37B9B" w:rsidRDefault="003B39C1" w:rsidP="003B39C1">
      <w:pPr>
        <w:spacing w:after="0"/>
        <w:rPr>
          <w:rFonts w:ascii="Garamond" w:hAnsi="Garamond"/>
          <w:sz w:val="24"/>
          <w:szCs w:val="24"/>
        </w:rPr>
      </w:pPr>
      <w:r w:rsidRPr="00C37B9B">
        <w:rPr>
          <w:rFonts w:ascii="Garamond" w:hAnsi="Garamond"/>
          <w:sz w:val="24"/>
          <w:szCs w:val="24"/>
        </w:rPr>
        <w:t>14. Ligji nr. 9482, datë, 3.4.2006, “Për legalizimin, urbanizimin dhe integrimin e ndërtimeve pa leje”, i ndryshuar.</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b/>
          <w:sz w:val="24"/>
          <w:szCs w:val="24"/>
        </w:rPr>
      </w:pPr>
    </w:p>
    <w:p w:rsidR="003B39C1" w:rsidRPr="00C37B9B" w:rsidRDefault="003B39C1" w:rsidP="003B39C1">
      <w:pPr>
        <w:spacing w:after="0"/>
        <w:rPr>
          <w:rFonts w:ascii="Garamond" w:hAnsi="Garamond"/>
          <w:b/>
          <w:sz w:val="24"/>
          <w:szCs w:val="24"/>
        </w:rPr>
      </w:pPr>
    </w:p>
    <w:p w:rsidR="003B39C1" w:rsidRPr="00C37B9B" w:rsidRDefault="003B39C1" w:rsidP="003B39C1">
      <w:pPr>
        <w:spacing w:after="0"/>
        <w:rPr>
          <w:rFonts w:ascii="Garamond" w:hAnsi="Garamond"/>
          <w:b/>
          <w:sz w:val="24"/>
          <w:szCs w:val="24"/>
        </w:rPr>
      </w:pPr>
    </w:p>
    <w:p w:rsidR="003B39C1" w:rsidRPr="00C37B9B" w:rsidRDefault="003B39C1" w:rsidP="003B39C1">
      <w:pPr>
        <w:spacing w:after="0"/>
        <w:rPr>
          <w:rFonts w:ascii="Garamond" w:hAnsi="Garamond"/>
          <w:b/>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SHTOJCA 2</w:t>
      </w:r>
    </w:p>
    <w:p w:rsidR="003B39C1" w:rsidRPr="00C37B9B" w:rsidRDefault="003B39C1" w:rsidP="003B39C1">
      <w:pPr>
        <w:spacing w:after="0"/>
        <w:rPr>
          <w:rFonts w:ascii="Garamond" w:hAnsi="Garamond"/>
          <w:sz w:val="24"/>
          <w:szCs w:val="24"/>
        </w:rPr>
      </w:pPr>
    </w:p>
    <w:tbl>
      <w:tblPr>
        <w:tblW w:w="9747" w:type="dxa"/>
        <w:tblLook w:val="04A0" w:firstRow="1" w:lastRow="0" w:firstColumn="1" w:lastColumn="0" w:noHBand="0" w:noVBand="1"/>
      </w:tblPr>
      <w:tblGrid>
        <w:gridCol w:w="1601"/>
        <w:gridCol w:w="735"/>
        <w:gridCol w:w="720"/>
        <w:gridCol w:w="720"/>
        <w:gridCol w:w="720"/>
        <w:gridCol w:w="720"/>
        <w:gridCol w:w="706"/>
        <w:gridCol w:w="707"/>
        <w:gridCol w:w="709"/>
        <w:gridCol w:w="708"/>
        <w:gridCol w:w="709"/>
        <w:gridCol w:w="992"/>
      </w:tblGrid>
      <w:tr w:rsidR="00C37B9B" w:rsidRPr="00C37B9B" w:rsidTr="006F0D63">
        <w:trPr>
          <w:trHeight w:val="300"/>
        </w:trPr>
        <w:tc>
          <w:tcPr>
            <w:tcW w:w="1601" w:type="dxa"/>
            <w:tcBorders>
              <w:top w:val="single" w:sz="4" w:space="0" w:color="auto"/>
              <w:left w:val="single" w:sz="4" w:space="0" w:color="auto"/>
              <w:bottom w:val="single" w:sz="4" w:space="0" w:color="auto"/>
            </w:tcBorders>
            <w:shd w:val="clear" w:color="auto" w:fill="auto"/>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Viti buxhetor</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viti 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viti 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viti 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viti 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viti 5</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viti 6</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viti 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viti 8</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viti 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viti 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b/>
                <w:bCs/>
                <w:sz w:val="24"/>
                <w:szCs w:val="24"/>
              </w:rPr>
            </w:pPr>
            <w:r w:rsidRPr="00C37B9B">
              <w:rPr>
                <w:rFonts w:ascii="Garamond" w:hAnsi="Garamond"/>
                <w:b/>
                <w:bCs/>
                <w:sz w:val="24"/>
                <w:szCs w:val="24"/>
              </w:rPr>
              <w:t>Totali</w:t>
            </w:r>
          </w:p>
        </w:tc>
      </w:tr>
      <w:tr w:rsidR="003B39C1" w:rsidRPr="00C37B9B" w:rsidTr="006F0D63">
        <w:trPr>
          <w:trHeight w:val="300"/>
        </w:trPr>
        <w:tc>
          <w:tcPr>
            <w:tcW w:w="1601" w:type="dxa"/>
            <w:tcBorders>
              <w:top w:val="single" w:sz="4" w:space="0" w:color="auto"/>
              <w:left w:val="single" w:sz="4" w:space="0" w:color="auto"/>
              <w:bottom w:val="single" w:sz="4" w:space="0" w:color="auto"/>
            </w:tcBorders>
            <w:shd w:val="clear" w:color="auto" w:fill="auto"/>
          </w:tcPr>
          <w:p w:rsidR="003B39C1" w:rsidRPr="00C37B9B" w:rsidRDefault="003B39C1" w:rsidP="003B39C1">
            <w:pPr>
              <w:spacing w:after="0"/>
              <w:rPr>
                <w:rFonts w:ascii="Garamond" w:hAnsi="Garamond"/>
                <w:sz w:val="24"/>
                <w:szCs w:val="24"/>
              </w:rPr>
            </w:pPr>
            <w:r w:rsidRPr="00C37B9B">
              <w:rPr>
                <w:rFonts w:ascii="Garamond" w:hAnsi="Garamond"/>
                <w:sz w:val="24"/>
                <w:szCs w:val="24"/>
              </w:rPr>
              <w:t>Miliardë/lekë</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sz w:val="24"/>
                <w:szCs w:val="24"/>
              </w:rPr>
            </w:pPr>
            <w:r w:rsidRPr="00C37B9B">
              <w:rPr>
                <w:rFonts w:ascii="Garamond" w:hAnsi="Garamond"/>
                <w:sz w:val="24"/>
                <w:szCs w:val="24"/>
              </w:rPr>
              <w:t>3,00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sz w:val="24"/>
                <w:szCs w:val="24"/>
              </w:rPr>
            </w:pPr>
            <w:r w:rsidRPr="00C37B9B">
              <w:rPr>
                <w:rFonts w:ascii="Garamond" w:hAnsi="Garamond"/>
                <w:sz w:val="24"/>
                <w:szCs w:val="24"/>
              </w:rPr>
              <w:t>3,33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sz w:val="24"/>
                <w:szCs w:val="24"/>
              </w:rPr>
            </w:pPr>
            <w:r w:rsidRPr="00C37B9B">
              <w:rPr>
                <w:rFonts w:ascii="Garamond" w:hAnsi="Garamond"/>
                <w:sz w:val="24"/>
                <w:szCs w:val="24"/>
              </w:rPr>
              <w:t>3,69</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sz w:val="24"/>
                <w:szCs w:val="24"/>
              </w:rPr>
            </w:pPr>
            <w:r w:rsidRPr="00C37B9B">
              <w:rPr>
                <w:rFonts w:ascii="Garamond" w:hAnsi="Garamond"/>
                <w:sz w:val="24"/>
                <w:szCs w:val="24"/>
              </w:rPr>
              <w:t>4,10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sz w:val="24"/>
                <w:szCs w:val="24"/>
              </w:rPr>
            </w:pPr>
            <w:r w:rsidRPr="00C37B9B">
              <w:rPr>
                <w:rFonts w:ascii="Garamond" w:hAnsi="Garamond"/>
                <w:sz w:val="24"/>
                <w:szCs w:val="24"/>
              </w:rPr>
              <w:t>4,54</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sz w:val="24"/>
                <w:szCs w:val="24"/>
              </w:rPr>
            </w:pPr>
            <w:r w:rsidRPr="00C37B9B">
              <w:rPr>
                <w:rFonts w:ascii="Garamond" w:hAnsi="Garamond"/>
                <w:sz w:val="24"/>
                <w:szCs w:val="24"/>
              </w:rPr>
              <w:t>5,04</w:t>
            </w:r>
          </w:p>
        </w:tc>
        <w:tc>
          <w:tcPr>
            <w:tcW w:w="707" w:type="dxa"/>
            <w:tcBorders>
              <w:top w:val="single" w:sz="4" w:space="0" w:color="auto"/>
              <w:left w:val="nil"/>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sz w:val="24"/>
                <w:szCs w:val="24"/>
              </w:rPr>
            </w:pPr>
            <w:r w:rsidRPr="00C37B9B">
              <w:rPr>
                <w:rFonts w:ascii="Garamond" w:hAnsi="Garamond"/>
                <w:sz w:val="24"/>
                <w:szCs w:val="24"/>
              </w:rPr>
              <w:t>5,59</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sz w:val="24"/>
                <w:szCs w:val="24"/>
              </w:rPr>
            </w:pPr>
            <w:r w:rsidRPr="00C37B9B">
              <w:rPr>
                <w:rFonts w:ascii="Garamond" w:hAnsi="Garamond"/>
                <w:sz w:val="24"/>
                <w:szCs w:val="24"/>
              </w:rPr>
              <w:t>6,20</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sz w:val="24"/>
                <w:szCs w:val="24"/>
              </w:rPr>
            </w:pPr>
            <w:r w:rsidRPr="00C37B9B">
              <w:rPr>
                <w:rFonts w:ascii="Garamond" w:hAnsi="Garamond"/>
                <w:sz w:val="24"/>
                <w:szCs w:val="24"/>
              </w:rPr>
              <w:t>6,88</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sz w:val="24"/>
                <w:szCs w:val="24"/>
              </w:rPr>
            </w:pPr>
            <w:r w:rsidRPr="00C37B9B">
              <w:rPr>
                <w:rFonts w:ascii="Garamond" w:hAnsi="Garamond"/>
                <w:sz w:val="24"/>
                <w:szCs w:val="24"/>
              </w:rPr>
              <w:t>7,63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3B39C1" w:rsidRPr="00C37B9B" w:rsidRDefault="003B39C1" w:rsidP="003B39C1">
            <w:pPr>
              <w:spacing w:after="0"/>
              <w:rPr>
                <w:rFonts w:ascii="Garamond" w:hAnsi="Garamond"/>
                <w:sz w:val="24"/>
                <w:szCs w:val="24"/>
              </w:rPr>
            </w:pPr>
            <w:r w:rsidRPr="00C37B9B">
              <w:rPr>
                <w:rFonts w:ascii="Garamond" w:hAnsi="Garamond"/>
                <w:sz w:val="24"/>
                <w:szCs w:val="24"/>
              </w:rPr>
              <w:t>50</w:t>
            </w:r>
          </w:p>
        </w:tc>
      </w:tr>
    </w:tbl>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r w:rsidRPr="00C37B9B">
        <w:rPr>
          <w:rFonts w:ascii="Garamond" w:hAnsi="Garamond"/>
          <w:sz w:val="24"/>
          <w:szCs w:val="24"/>
        </w:rPr>
        <w:t>Vlerat e shprehura në këtë shtojcë janë në miliardë lekë.</w:t>
      </w: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p>
    <w:p w:rsidR="003B39C1" w:rsidRPr="00C37B9B" w:rsidRDefault="003B39C1" w:rsidP="003B39C1">
      <w:pPr>
        <w:spacing w:after="0"/>
        <w:rPr>
          <w:rFonts w:ascii="Garamond" w:hAnsi="Garamond"/>
          <w:sz w:val="24"/>
          <w:szCs w:val="24"/>
        </w:rPr>
      </w:pPr>
    </w:p>
    <w:p w:rsidR="006F0D63" w:rsidRPr="00C37B9B" w:rsidRDefault="006F0D63" w:rsidP="003B39C1">
      <w:pPr>
        <w:spacing w:after="0"/>
        <w:rPr>
          <w:rFonts w:ascii="Garamond" w:hAnsi="Garamond"/>
          <w:sz w:val="24"/>
          <w:szCs w:val="24"/>
        </w:rPr>
      </w:pPr>
    </w:p>
    <w:sectPr w:rsidR="006F0D63" w:rsidRPr="00C37B9B" w:rsidSect="003B39C1">
      <w:headerReference w:type="even" r:id="rId6"/>
      <w:footerReference w:type="even" r:id="rId7"/>
      <w:footerReference w:type="default" r:id="rId8"/>
      <w:headerReference w:type="firs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6960" w:rsidRDefault="003B6960" w:rsidP="003B39C1">
      <w:pPr>
        <w:spacing w:after="0" w:line="240" w:lineRule="auto"/>
      </w:pPr>
      <w:r>
        <w:separator/>
      </w:r>
    </w:p>
  </w:endnote>
  <w:endnote w:type="continuationSeparator" w:id="0">
    <w:p w:rsidR="003B6960" w:rsidRDefault="003B6960" w:rsidP="003B3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6F0D63" w:rsidRPr="00B4283E" w:rsidRDefault="006F0D63" w:rsidP="006F0D63">
        <w:pPr>
          <w:pStyle w:val="Footer"/>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18050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515122380"/>
      <w:docPartObj>
        <w:docPartGallery w:val="Page Numbers (Bottom of Page)"/>
        <w:docPartUnique/>
      </w:docPartObj>
    </w:sdtPr>
    <w:sdtEndPr>
      <w:rPr>
        <w:noProof/>
      </w:rPr>
    </w:sdtEndPr>
    <w:sdtContent>
      <w:p w:rsidR="006F0D63" w:rsidRPr="005B4361" w:rsidRDefault="003B6960" w:rsidP="006F0D63">
        <w:pPr>
          <w:pStyle w:val="Footer"/>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6F0D63" w:rsidRPr="00B4283E">
              <w:rPr>
                <w:rFonts w:ascii="Garamond" w:hAnsi="Garamond"/>
                <w:sz w:val="24"/>
                <w:szCs w:val="24"/>
              </w:rPr>
              <w:t>Faqe|</w:t>
            </w:r>
            <w:r w:rsidR="006F0D63" w:rsidRPr="00B4283E">
              <w:rPr>
                <w:rFonts w:ascii="Garamond" w:hAnsi="Garamond"/>
                <w:sz w:val="24"/>
                <w:szCs w:val="24"/>
              </w:rPr>
              <w:fldChar w:fldCharType="begin"/>
            </w:r>
            <w:r w:rsidR="006F0D63" w:rsidRPr="00B4283E">
              <w:rPr>
                <w:rFonts w:ascii="Garamond" w:hAnsi="Garamond"/>
                <w:sz w:val="24"/>
                <w:szCs w:val="24"/>
              </w:rPr>
              <w:instrText xml:space="preserve"> PAGE   \* MERGEFORMAT </w:instrText>
            </w:r>
            <w:r w:rsidR="006F0D63" w:rsidRPr="00B4283E">
              <w:rPr>
                <w:rFonts w:ascii="Garamond" w:hAnsi="Garamond"/>
                <w:sz w:val="24"/>
                <w:szCs w:val="24"/>
              </w:rPr>
              <w:fldChar w:fldCharType="separate"/>
            </w:r>
            <w:r w:rsidR="00C37B9B">
              <w:rPr>
                <w:rFonts w:ascii="Garamond" w:hAnsi="Garamond"/>
                <w:noProof/>
                <w:sz w:val="24"/>
                <w:szCs w:val="24"/>
              </w:rPr>
              <w:t>1</w:t>
            </w:r>
            <w:r w:rsidR="006F0D63"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6F0D63" w:rsidRPr="00833610" w:rsidRDefault="006F0D6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F0D63" w:rsidRDefault="006F0D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6960" w:rsidRDefault="003B6960" w:rsidP="003B39C1">
      <w:pPr>
        <w:spacing w:after="0" w:line="240" w:lineRule="auto"/>
      </w:pPr>
      <w:r>
        <w:separator/>
      </w:r>
    </w:p>
  </w:footnote>
  <w:footnote w:type="continuationSeparator" w:id="0">
    <w:p w:rsidR="003B6960" w:rsidRDefault="003B6960" w:rsidP="003B39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F0D63" w:rsidRPr="00EB260B" w:rsidTr="006F0D63">
      <w:trPr>
        <w:trHeight w:val="936"/>
        <w:jc w:val="center"/>
      </w:trPr>
      <w:tc>
        <w:tcPr>
          <w:tcW w:w="2811" w:type="dxa"/>
          <w:shd w:val="pct5" w:color="auto" w:fill="F2F2F2"/>
          <w:vAlign w:val="center"/>
        </w:tcPr>
        <w:p w:rsidR="006F0D63" w:rsidRPr="00EB260B" w:rsidRDefault="006F0D63" w:rsidP="006F0D6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6F0D63" w:rsidRPr="00EB260B" w:rsidRDefault="006F0D63" w:rsidP="006F0D63">
          <w:pPr>
            <w:pStyle w:val="NoSpacing"/>
            <w:spacing w:before="100" w:after="100"/>
            <w:jc w:val="center"/>
            <w:rPr>
              <w:rFonts w:ascii="Garamond" w:hAnsi="Garamond"/>
              <w:b/>
              <w:sz w:val="28"/>
              <w:szCs w:val="28"/>
            </w:rPr>
          </w:pPr>
          <w:r>
            <w:rPr>
              <w:noProof/>
              <w:lang w:val="en-US"/>
            </w:rPr>
            <w:drawing>
              <wp:inline distT="0" distB="0" distL="0" distR="0" wp14:anchorId="759884CB" wp14:editId="772B5D66">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6F0D63" w:rsidRPr="00EB260B" w:rsidRDefault="006F0D63" w:rsidP="006F0D63">
          <w:pPr>
            <w:pStyle w:val="NoSpacing"/>
            <w:spacing w:before="100" w:after="100"/>
            <w:jc w:val="center"/>
            <w:rPr>
              <w:rFonts w:ascii="Garamond" w:hAnsi="Garamond"/>
              <w:b/>
              <w:sz w:val="28"/>
              <w:szCs w:val="28"/>
            </w:rPr>
          </w:pPr>
          <w:r>
            <w:rPr>
              <w:rFonts w:ascii="Garamond" w:hAnsi="Garamond"/>
              <w:b/>
              <w:sz w:val="28"/>
              <w:szCs w:val="28"/>
            </w:rPr>
            <w:t xml:space="preserve"> Viti 2015 – Numri 255</w:t>
          </w:r>
        </w:p>
      </w:tc>
    </w:tr>
  </w:tbl>
  <w:p w:rsidR="006F0D63" w:rsidRPr="00385E2C" w:rsidRDefault="006F0D63" w:rsidP="006F0D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D63" w:rsidRDefault="006F0D63" w:rsidP="006F0D63">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A4E"/>
    <w:rsid w:val="000F0F2E"/>
    <w:rsid w:val="00103917"/>
    <w:rsid w:val="001549D2"/>
    <w:rsid w:val="00232581"/>
    <w:rsid w:val="003B39C1"/>
    <w:rsid w:val="003B6960"/>
    <w:rsid w:val="003C3287"/>
    <w:rsid w:val="00410A4E"/>
    <w:rsid w:val="004C2102"/>
    <w:rsid w:val="005A5A2E"/>
    <w:rsid w:val="00696D71"/>
    <w:rsid w:val="006E2601"/>
    <w:rsid w:val="006F0D63"/>
    <w:rsid w:val="0079086E"/>
    <w:rsid w:val="00A443ED"/>
    <w:rsid w:val="00A70B7B"/>
    <w:rsid w:val="00AB3832"/>
    <w:rsid w:val="00BA35CB"/>
    <w:rsid w:val="00BB5D2A"/>
    <w:rsid w:val="00C37B9B"/>
    <w:rsid w:val="00CC5E31"/>
    <w:rsid w:val="00F35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DAC68E-C4D8-4F76-A529-B6D97B70C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39C1"/>
    <w:pPr>
      <w:spacing w:after="0" w:line="240" w:lineRule="auto"/>
    </w:pPr>
    <w:rPr>
      <w:lang w:val="sq-AL"/>
    </w:rPr>
  </w:style>
  <w:style w:type="paragraph" w:styleId="Header">
    <w:name w:val="header"/>
    <w:basedOn w:val="Normal"/>
    <w:link w:val="HeaderChar"/>
    <w:uiPriority w:val="99"/>
    <w:semiHidden/>
    <w:unhideWhenUsed/>
    <w:rsid w:val="003B39C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B39C1"/>
    <w:rPr>
      <w:lang w:val="sq-AL"/>
    </w:rPr>
  </w:style>
  <w:style w:type="paragraph" w:styleId="Footer">
    <w:name w:val="footer"/>
    <w:basedOn w:val="Normal"/>
    <w:link w:val="FooterChar"/>
    <w:uiPriority w:val="99"/>
    <w:semiHidden/>
    <w:unhideWhenUsed/>
    <w:rsid w:val="003B39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B39C1"/>
    <w:rPr>
      <w:lang w:val="sq-AL"/>
    </w:rPr>
  </w:style>
  <w:style w:type="paragraph" w:styleId="BalloonText">
    <w:name w:val="Balloon Text"/>
    <w:basedOn w:val="Normal"/>
    <w:link w:val="BalloonTextChar"/>
    <w:uiPriority w:val="99"/>
    <w:semiHidden/>
    <w:unhideWhenUsed/>
    <w:rsid w:val="003B3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9C1"/>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22</Pages>
  <Words>8459</Words>
  <Characters>48219</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Sara Mborja</cp:lastModifiedBy>
  <cp:revision>4</cp:revision>
  <dcterms:created xsi:type="dcterms:W3CDTF">2023-01-16T11:09:00Z</dcterms:created>
  <dcterms:modified xsi:type="dcterms:W3CDTF">2023-01-24T12:55:00Z</dcterms:modified>
</cp:coreProperties>
</file>