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C87" w:rsidRPr="00BB54DA" w:rsidRDefault="00FA2C87" w:rsidP="00FA2C87">
      <w:pPr>
        <w:pStyle w:val="Akti"/>
        <w:keepNext w:val="0"/>
        <w:rPr>
          <w:lang w:val="sq-AL"/>
        </w:rPr>
      </w:pPr>
      <w:r w:rsidRPr="00BB54DA">
        <w:rPr>
          <w:lang w:val="sq-AL"/>
        </w:rPr>
        <w:t>LIGJ</w:t>
      </w:r>
    </w:p>
    <w:p w:rsidR="00FA2C87" w:rsidRPr="00BB54DA" w:rsidRDefault="00FA2C87" w:rsidP="00FA2C87">
      <w:pPr>
        <w:pStyle w:val="NumriData"/>
        <w:keepNext w:val="0"/>
        <w:rPr>
          <w:lang w:val="sq-AL"/>
        </w:rPr>
      </w:pPr>
      <w:bookmarkStart w:id="0" w:name="_GoBack"/>
      <w:r w:rsidRPr="00BB54DA">
        <w:rPr>
          <w:lang w:val="sq-AL"/>
        </w:rPr>
        <w:t>Nr. 142/2015</w:t>
      </w:r>
    </w:p>
    <w:bookmarkEnd w:id="0"/>
    <w:p w:rsidR="00FA2C87" w:rsidRPr="00BB54DA" w:rsidRDefault="00FA2C87" w:rsidP="00FA2C87">
      <w:pPr>
        <w:pStyle w:val="Paragrafi"/>
        <w:rPr>
          <w:sz w:val="16"/>
          <w:lang w:val="sq-AL"/>
        </w:rPr>
      </w:pPr>
    </w:p>
    <w:p w:rsidR="00FA2C87" w:rsidRPr="00BB54DA" w:rsidRDefault="00FA2C87" w:rsidP="00FA2C87">
      <w:pPr>
        <w:pStyle w:val="Titull-Titull"/>
        <w:rPr>
          <w:b/>
          <w:lang w:val="sq-AL"/>
        </w:rPr>
      </w:pPr>
      <w:r w:rsidRPr="00BB54DA">
        <w:rPr>
          <w:b/>
          <w:lang w:val="sq-AL"/>
        </w:rPr>
        <w:t>PËR DISA NDRYSHIME DHE SHTESA NË LIGJIN NR. 9632, DATË 30.10.2006, “PËR SISTEMIN E TAKSAVE VENDORE”, TË NDRYSHUAR</w:t>
      </w:r>
    </w:p>
    <w:p w:rsidR="00FA2C87" w:rsidRPr="00BB54DA" w:rsidRDefault="00FA2C87" w:rsidP="00FA2C87">
      <w:pPr>
        <w:widowControl w:val="0"/>
        <w:spacing w:after="0" w:line="240" w:lineRule="auto"/>
        <w:rPr>
          <w:rFonts w:ascii="Garamond" w:hAnsi="Garamond"/>
          <w:sz w:val="16"/>
          <w:szCs w:val="24"/>
          <w:u w:val="single"/>
          <w:lang w:val="sq-AL"/>
        </w:rPr>
      </w:pPr>
    </w:p>
    <w:p w:rsidR="00FA2C87" w:rsidRPr="00BB54DA" w:rsidRDefault="00FA2C87" w:rsidP="00FA2C87">
      <w:pPr>
        <w:widowControl w:val="0"/>
        <w:spacing w:after="0" w:line="240" w:lineRule="auto"/>
        <w:rPr>
          <w:rFonts w:ascii="Garamond" w:hAnsi="Garamond"/>
          <w:sz w:val="24"/>
          <w:szCs w:val="24"/>
          <w:lang w:val="sq-AL"/>
        </w:rPr>
      </w:pPr>
      <w:r w:rsidRPr="00BB54DA">
        <w:rPr>
          <w:rFonts w:ascii="Garamond" w:hAnsi="Garamond"/>
          <w:sz w:val="24"/>
          <w:szCs w:val="24"/>
          <w:lang w:val="sq-AL"/>
        </w:rPr>
        <w:tab/>
        <w:t xml:space="preserve">Në mbështetje të neneve 78, 83, pika 1, 113, pika 1, shkronja “ç”, 155 dhe 157, pika 3, të Kushtetutës, me propozimin e Këshillit të Ministrave, </w:t>
      </w:r>
    </w:p>
    <w:p w:rsidR="00FA2C87" w:rsidRPr="00BB54DA" w:rsidRDefault="00FA2C87" w:rsidP="00FA2C87">
      <w:pPr>
        <w:widowControl w:val="0"/>
        <w:spacing w:after="0" w:line="240" w:lineRule="auto"/>
        <w:rPr>
          <w:rFonts w:ascii="Garamond" w:hAnsi="Garamond"/>
          <w:sz w:val="16"/>
          <w:szCs w:val="24"/>
          <w:lang w:val="sq-AL"/>
        </w:rPr>
      </w:pPr>
    </w:p>
    <w:p w:rsidR="00FA2C87" w:rsidRPr="00BB54DA" w:rsidRDefault="00FA2C87" w:rsidP="00FA2C87">
      <w:pPr>
        <w:pStyle w:val="Titull-Titull"/>
        <w:rPr>
          <w:lang w:val="sq-AL"/>
        </w:rPr>
      </w:pPr>
      <w:r w:rsidRPr="00BB54DA">
        <w:rPr>
          <w:lang w:val="sq-AL"/>
        </w:rPr>
        <w:t>KUVENDI</w:t>
      </w:r>
    </w:p>
    <w:p w:rsidR="00FA2C87" w:rsidRPr="00BB54DA" w:rsidRDefault="00FA2C87" w:rsidP="00FA2C87">
      <w:pPr>
        <w:pStyle w:val="Titull-Titull"/>
        <w:rPr>
          <w:lang w:val="sq-AL"/>
        </w:rPr>
      </w:pPr>
      <w:r w:rsidRPr="00BB54DA">
        <w:rPr>
          <w:lang w:val="sq-AL"/>
        </w:rPr>
        <w:t>I</w:t>
      </w:r>
      <w:r w:rsidRPr="00BB54DA">
        <w:rPr>
          <w:b/>
          <w:lang w:val="sq-AL"/>
        </w:rPr>
        <w:t xml:space="preserve"> </w:t>
      </w:r>
      <w:r w:rsidRPr="00BB54DA">
        <w:rPr>
          <w:lang w:val="sq-AL"/>
        </w:rPr>
        <w:t>REPUBLIKËS SË SHQIPËRISË</w:t>
      </w:r>
    </w:p>
    <w:p w:rsidR="00FA2C87" w:rsidRPr="00BB54DA" w:rsidRDefault="00FA2C87" w:rsidP="00FA2C87">
      <w:pPr>
        <w:pStyle w:val="Titull-Titull"/>
        <w:rPr>
          <w:b/>
          <w:sz w:val="14"/>
          <w:lang w:val="sq-AL"/>
        </w:rPr>
      </w:pPr>
    </w:p>
    <w:p w:rsidR="00FA2C87" w:rsidRPr="00BB54DA" w:rsidRDefault="00FA2C87" w:rsidP="00FA2C87">
      <w:pPr>
        <w:pStyle w:val="Titull-Titull"/>
        <w:rPr>
          <w:lang w:val="sq-AL"/>
        </w:rPr>
      </w:pPr>
      <w:r w:rsidRPr="00BB54DA">
        <w:rPr>
          <w:lang w:val="sq-AL"/>
        </w:rPr>
        <w:t>VENDOSI:</w:t>
      </w:r>
    </w:p>
    <w:p w:rsidR="00FA2C87" w:rsidRPr="00BB54DA" w:rsidRDefault="00FA2C87" w:rsidP="00FA2C87">
      <w:pPr>
        <w:widowControl w:val="0"/>
        <w:spacing w:after="0" w:line="240" w:lineRule="auto"/>
        <w:rPr>
          <w:rFonts w:ascii="Garamond" w:hAnsi="Garamond"/>
          <w:sz w:val="14"/>
          <w:szCs w:val="24"/>
          <w:lang w:val="sq-AL"/>
        </w:rPr>
      </w:pPr>
    </w:p>
    <w:p w:rsidR="00FA2C87" w:rsidRDefault="00FA2C87" w:rsidP="00FA2C87">
      <w:pPr>
        <w:widowControl w:val="0"/>
        <w:autoSpaceDE w:val="0"/>
        <w:autoSpaceDN w:val="0"/>
        <w:adjustRightInd w:val="0"/>
        <w:spacing w:after="0" w:line="240" w:lineRule="auto"/>
        <w:rPr>
          <w:rFonts w:ascii="Garamond" w:eastAsia="Batang" w:hAnsi="Garamond"/>
          <w:sz w:val="24"/>
          <w:szCs w:val="24"/>
          <w:lang w:val="sq-AL"/>
        </w:rPr>
      </w:pPr>
      <w:r w:rsidRPr="00BB54DA">
        <w:rPr>
          <w:rFonts w:ascii="Garamond" w:eastAsia="Batang" w:hAnsi="Garamond"/>
          <w:sz w:val="24"/>
          <w:szCs w:val="24"/>
          <w:lang w:val="sq-AL"/>
        </w:rPr>
        <w:tab/>
        <w:t xml:space="preserve">Në </w:t>
      </w:r>
      <w:r w:rsidRPr="00BB54DA">
        <w:rPr>
          <w:rFonts w:ascii="Garamond" w:hAnsi="Garamond"/>
          <w:bCs/>
          <w:sz w:val="24"/>
          <w:szCs w:val="24"/>
          <w:lang w:val="sq-AL"/>
        </w:rPr>
        <w:t>ligjin nr. 9632, datë 30.10.2006, “Për sistemin e taksave vendore”,</w:t>
      </w:r>
      <w:r w:rsidRPr="00BB54DA">
        <w:rPr>
          <w:rFonts w:ascii="Garamond" w:hAnsi="Garamond"/>
          <w:sz w:val="24"/>
          <w:szCs w:val="24"/>
          <w:lang w:val="sq-AL"/>
        </w:rPr>
        <w:t xml:space="preserve"> të</w:t>
      </w:r>
      <w:r w:rsidRPr="00BB54DA">
        <w:rPr>
          <w:rFonts w:ascii="Garamond" w:hAnsi="Garamond"/>
          <w:bCs/>
          <w:sz w:val="24"/>
          <w:szCs w:val="24"/>
          <w:lang w:val="sq-AL"/>
        </w:rPr>
        <w:t xml:space="preserve"> ndryshuar,</w:t>
      </w:r>
      <w:r w:rsidRPr="00BB54DA">
        <w:rPr>
          <w:rFonts w:ascii="Garamond" w:eastAsia="Batang" w:hAnsi="Garamond"/>
          <w:sz w:val="24"/>
          <w:szCs w:val="24"/>
          <w:lang w:val="sq-AL"/>
        </w:rPr>
        <w:t xml:space="preserve"> bëhen këto ndryshime dhe shtesa:</w:t>
      </w:r>
    </w:p>
    <w:p w:rsidR="00FA2C87" w:rsidRPr="00BA2F19" w:rsidRDefault="00FA2C87" w:rsidP="00FA2C87">
      <w:pPr>
        <w:widowControl w:val="0"/>
        <w:autoSpaceDE w:val="0"/>
        <w:autoSpaceDN w:val="0"/>
        <w:adjustRightInd w:val="0"/>
        <w:spacing w:after="0" w:line="240" w:lineRule="auto"/>
        <w:rPr>
          <w:rFonts w:ascii="Garamond" w:eastAsia="Batang" w:hAnsi="Garamond"/>
          <w:sz w:val="14"/>
          <w:szCs w:val="24"/>
          <w:lang w:val="sq-AL"/>
        </w:rPr>
      </w:pPr>
    </w:p>
    <w:p w:rsidR="00FA2C87" w:rsidRPr="00BB54DA" w:rsidRDefault="00FA2C87" w:rsidP="00FA2C87">
      <w:pPr>
        <w:widowControl w:val="0"/>
        <w:spacing w:after="0" w:line="240" w:lineRule="auto"/>
        <w:jc w:val="center"/>
        <w:rPr>
          <w:rFonts w:ascii="Garamond" w:eastAsia="Batang" w:hAnsi="Garamond"/>
          <w:sz w:val="24"/>
          <w:szCs w:val="24"/>
          <w:lang w:val="sq-AL"/>
        </w:rPr>
      </w:pPr>
      <w:r w:rsidRPr="00BB54DA">
        <w:rPr>
          <w:rFonts w:ascii="Garamond" w:eastAsia="Batang" w:hAnsi="Garamond"/>
          <w:sz w:val="24"/>
          <w:szCs w:val="24"/>
          <w:lang w:val="sq-AL"/>
        </w:rPr>
        <w:t>Neni 1</w:t>
      </w:r>
    </w:p>
    <w:p w:rsidR="00FA2C87" w:rsidRPr="00BB54DA" w:rsidRDefault="00FA2C87" w:rsidP="00FA2C87">
      <w:pPr>
        <w:widowControl w:val="0"/>
        <w:spacing w:after="0" w:line="240" w:lineRule="auto"/>
        <w:jc w:val="center"/>
        <w:rPr>
          <w:rFonts w:ascii="Garamond" w:eastAsia="Batang" w:hAnsi="Garamond"/>
          <w:b/>
          <w:sz w:val="14"/>
          <w:szCs w:val="24"/>
          <w:lang w:val="sq-AL"/>
        </w:rPr>
      </w:pPr>
    </w:p>
    <w:p w:rsidR="00FA2C87" w:rsidRPr="00BB54DA" w:rsidRDefault="00FA2C87" w:rsidP="00FA2C87">
      <w:pPr>
        <w:widowControl w:val="0"/>
        <w:spacing w:after="0" w:line="240" w:lineRule="auto"/>
        <w:rPr>
          <w:rFonts w:ascii="Garamond" w:eastAsia="Batang" w:hAnsi="Garamond"/>
          <w:sz w:val="24"/>
          <w:szCs w:val="24"/>
          <w:lang w:val="sq-AL"/>
        </w:rPr>
      </w:pPr>
      <w:r w:rsidRPr="00BB54DA">
        <w:rPr>
          <w:rFonts w:ascii="Garamond" w:eastAsia="Batang" w:hAnsi="Garamond"/>
          <w:sz w:val="24"/>
          <w:szCs w:val="24"/>
          <w:lang w:val="sq-AL"/>
        </w:rPr>
        <w:tab/>
        <w:t>Kudo në përmbajtje të ligjit hiqen fjalët “komuna” dhe “këshilli i komunës”.</w:t>
      </w:r>
    </w:p>
    <w:p w:rsidR="00FA2C87" w:rsidRPr="00BB54DA" w:rsidRDefault="00FA2C87" w:rsidP="00FA2C87">
      <w:pPr>
        <w:widowControl w:val="0"/>
        <w:spacing w:after="0" w:line="240" w:lineRule="auto"/>
        <w:rPr>
          <w:rFonts w:ascii="Garamond" w:eastAsia="Batang" w:hAnsi="Garamond"/>
          <w:sz w:val="14"/>
          <w:szCs w:val="24"/>
          <w:lang w:val="sq-AL"/>
        </w:rPr>
      </w:pPr>
    </w:p>
    <w:p w:rsidR="00FA2C87" w:rsidRPr="00BB54DA" w:rsidRDefault="00FA2C87" w:rsidP="00FA2C87">
      <w:pPr>
        <w:widowControl w:val="0"/>
        <w:spacing w:after="0" w:line="240" w:lineRule="auto"/>
        <w:jc w:val="center"/>
        <w:rPr>
          <w:rFonts w:ascii="Garamond" w:eastAsia="Batang" w:hAnsi="Garamond"/>
          <w:sz w:val="24"/>
          <w:szCs w:val="24"/>
          <w:lang w:val="sq-AL"/>
        </w:rPr>
      </w:pPr>
      <w:r w:rsidRPr="00BB54DA">
        <w:rPr>
          <w:rFonts w:ascii="Garamond" w:eastAsia="Batang" w:hAnsi="Garamond"/>
          <w:sz w:val="24"/>
          <w:szCs w:val="24"/>
          <w:lang w:val="sq-AL"/>
        </w:rPr>
        <w:t>Neni 2</w:t>
      </w:r>
    </w:p>
    <w:p w:rsidR="00FA2C87" w:rsidRPr="00BB54DA" w:rsidRDefault="00FA2C87" w:rsidP="00FA2C87">
      <w:pPr>
        <w:widowControl w:val="0"/>
        <w:spacing w:after="0" w:line="240" w:lineRule="auto"/>
        <w:jc w:val="center"/>
        <w:rPr>
          <w:rFonts w:ascii="Garamond" w:eastAsia="Batang" w:hAnsi="Garamond"/>
          <w:sz w:val="14"/>
          <w:szCs w:val="24"/>
          <w:lang w:val="sq-AL"/>
        </w:rPr>
      </w:pPr>
    </w:p>
    <w:p w:rsidR="00FA2C87" w:rsidRPr="00BB54DA" w:rsidRDefault="00FA2C87" w:rsidP="00FA2C87">
      <w:pPr>
        <w:widowControl w:val="0"/>
        <w:spacing w:after="0" w:line="240" w:lineRule="auto"/>
        <w:rPr>
          <w:rFonts w:ascii="Garamond" w:eastAsia="Batang" w:hAnsi="Garamond"/>
          <w:sz w:val="24"/>
          <w:szCs w:val="24"/>
          <w:lang w:val="sq-AL"/>
        </w:rPr>
      </w:pPr>
      <w:r w:rsidRPr="00BB54DA">
        <w:rPr>
          <w:rFonts w:ascii="Garamond" w:eastAsia="Batang" w:hAnsi="Garamond"/>
          <w:sz w:val="24"/>
          <w:szCs w:val="24"/>
          <w:lang w:val="sq-AL"/>
        </w:rPr>
        <w:tab/>
        <w:t>Në nenin 3 shtohet pika 7 me këtë përmbajtje:</w:t>
      </w:r>
    </w:p>
    <w:p w:rsidR="00FA2C87" w:rsidRPr="00BB54DA" w:rsidRDefault="00FA2C87" w:rsidP="00FA2C87">
      <w:pPr>
        <w:widowControl w:val="0"/>
        <w:autoSpaceDE w:val="0"/>
        <w:autoSpaceDN w:val="0"/>
        <w:adjustRightInd w:val="0"/>
        <w:spacing w:after="0" w:line="240" w:lineRule="auto"/>
        <w:rPr>
          <w:rFonts w:ascii="Garamond" w:hAnsi="Garamond"/>
          <w:sz w:val="24"/>
          <w:szCs w:val="24"/>
          <w:lang w:val="sq-AL"/>
        </w:rPr>
      </w:pPr>
      <w:r w:rsidRPr="00BB54DA">
        <w:rPr>
          <w:rFonts w:ascii="Garamond" w:hAnsi="Garamond"/>
          <w:sz w:val="24"/>
          <w:szCs w:val="24"/>
          <w:lang w:val="sq-AL"/>
        </w:rPr>
        <w:tab/>
        <w:t>“7. “Truall” është një sipërfaqe toke, jobujqësore, që ndodhet brenda vijës kufizuese të ndërtimit, e përcaktuar nëpërmjet dokumenteve ligjore të planifikimit, e miratuar për të ndërtuar mbi të.”.</w:t>
      </w:r>
    </w:p>
    <w:p w:rsidR="00FA2C87" w:rsidRPr="00BB54DA" w:rsidRDefault="00FA2C87" w:rsidP="00FA2C87">
      <w:pPr>
        <w:widowControl w:val="0"/>
        <w:spacing w:after="0" w:line="240" w:lineRule="auto"/>
        <w:jc w:val="center"/>
        <w:rPr>
          <w:rFonts w:ascii="Garamond" w:eastAsia="Batang" w:hAnsi="Garamond"/>
          <w:sz w:val="24"/>
          <w:szCs w:val="24"/>
          <w:lang w:val="sq-AL"/>
        </w:rPr>
      </w:pPr>
      <w:r w:rsidRPr="00BB54DA">
        <w:rPr>
          <w:rFonts w:ascii="Garamond" w:eastAsia="Batang" w:hAnsi="Garamond"/>
          <w:sz w:val="24"/>
          <w:szCs w:val="24"/>
          <w:lang w:val="sq-AL"/>
        </w:rPr>
        <w:t>Neni 3</w:t>
      </w:r>
    </w:p>
    <w:p w:rsidR="00FA2C87" w:rsidRPr="00BB54DA" w:rsidRDefault="00FA2C87" w:rsidP="00FA2C87">
      <w:pPr>
        <w:widowControl w:val="0"/>
        <w:spacing w:after="0" w:line="240" w:lineRule="auto"/>
        <w:rPr>
          <w:rFonts w:ascii="Garamond" w:eastAsia="Batang" w:hAnsi="Garamond"/>
          <w:sz w:val="14"/>
          <w:szCs w:val="24"/>
          <w:lang w:val="sq-AL"/>
        </w:rPr>
      </w:pPr>
    </w:p>
    <w:p w:rsidR="00FA2C87" w:rsidRPr="00BB54DA" w:rsidRDefault="00FA2C87" w:rsidP="00FA2C87">
      <w:pPr>
        <w:widowControl w:val="0"/>
        <w:spacing w:after="0" w:line="240" w:lineRule="auto"/>
        <w:rPr>
          <w:rFonts w:ascii="Garamond" w:eastAsia="Batang" w:hAnsi="Garamond"/>
          <w:sz w:val="24"/>
          <w:szCs w:val="24"/>
          <w:lang w:val="sq-AL"/>
        </w:rPr>
      </w:pPr>
      <w:r w:rsidRPr="00BB54DA">
        <w:rPr>
          <w:rFonts w:ascii="Garamond" w:eastAsia="Batang" w:hAnsi="Garamond"/>
          <w:sz w:val="24"/>
          <w:szCs w:val="24"/>
          <w:lang w:val="sq-AL"/>
        </w:rPr>
        <w:tab/>
        <w:t>Në nenin 4, pika 6 riformulohet si më poshtë:</w:t>
      </w:r>
    </w:p>
    <w:p w:rsidR="00FA2C87" w:rsidRPr="00BB54DA" w:rsidRDefault="00FA2C87" w:rsidP="00FA2C87">
      <w:pPr>
        <w:widowControl w:val="0"/>
        <w:spacing w:after="0" w:line="240" w:lineRule="auto"/>
        <w:rPr>
          <w:rFonts w:ascii="Garamond" w:eastAsia="Batang" w:hAnsi="Garamond"/>
          <w:sz w:val="24"/>
          <w:szCs w:val="24"/>
          <w:lang w:val="sq-AL"/>
        </w:rPr>
      </w:pPr>
      <w:r w:rsidRPr="00BB54DA">
        <w:rPr>
          <w:rFonts w:ascii="Garamond" w:eastAsia="Batang" w:hAnsi="Garamond"/>
          <w:sz w:val="24"/>
          <w:szCs w:val="24"/>
          <w:lang w:val="sq-AL"/>
        </w:rPr>
        <w:tab/>
        <w:t xml:space="preserve">“6. </w:t>
      </w:r>
      <w:r w:rsidRPr="00BB54DA">
        <w:rPr>
          <w:rFonts w:ascii="Garamond" w:hAnsi="Garamond"/>
          <w:sz w:val="24"/>
          <w:szCs w:val="24"/>
          <w:lang w:val="sq-AL"/>
        </w:rPr>
        <w:t>Zgjidhja e mosmarrëveshjeve ndërmjet bashkive dhe organeve tatimore të pushtetit qendror, për çështje që kanë të bëjnë me kompetencën e juridiksionit mbi taksën vendore, bëhet me mirëkuptim. Në të kundërt, palët i drejtohen gjykatës.”.</w:t>
      </w:r>
    </w:p>
    <w:p w:rsidR="00FA2C87" w:rsidRPr="00BB54DA" w:rsidRDefault="00FA2C87" w:rsidP="00FA2C87">
      <w:pPr>
        <w:widowControl w:val="0"/>
        <w:spacing w:after="0" w:line="240" w:lineRule="auto"/>
        <w:jc w:val="center"/>
        <w:rPr>
          <w:rFonts w:ascii="Garamond" w:eastAsia="Batang" w:hAnsi="Garamond"/>
          <w:b/>
          <w:sz w:val="14"/>
          <w:szCs w:val="24"/>
          <w:lang w:val="sq-AL"/>
        </w:rPr>
      </w:pPr>
    </w:p>
    <w:p w:rsidR="00FA2C87" w:rsidRPr="00BB54DA" w:rsidRDefault="00FA2C87" w:rsidP="00FA2C87">
      <w:pPr>
        <w:widowControl w:val="0"/>
        <w:spacing w:after="0" w:line="240" w:lineRule="auto"/>
        <w:jc w:val="center"/>
        <w:rPr>
          <w:rFonts w:ascii="Garamond" w:eastAsia="Batang" w:hAnsi="Garamond"/>
          <w:sz w:val="24"/>
          <w:szCs w:val="24"/>
          <w:lang w:val="sq-AL"/>
        </w:rPr>
      </w:pPr>
      <w:r w:rsidRPr="00BB54DA">
        <w:rPr>
          <w:rFonts w:ascii="Garamond" w:eastAsia="Batang" w:hAnsi="Garamond"/>
          <w:sz w:val="24"/>
          <w:szCs w:val="24"/>
          <w:lang w:val="sq-AL"/>
        </w:rPr>
        <w:t>Neni 4</w:t>
      </w:r>
    </w:p>
    <w:p w:rsidR="00FA2C87" w:rsidRPr="00BB54DA" w:rsidRDefault="00FA2C87" w:rsidP="00FA2C87">
      <w:pPr>
        <w:widowControl w:val="0"/>
        <w:spacing w:after="0" w:line="240" w:lineRule="auto"/>
        <w:rPr>
          <w:rFonts w:ascii="Garamond" w:eastAsia="Batang" w:hAnsi="Garamond"/>
          <w:sz w:val="14"/>
          <w:szCs w:val="24"/>
          <w:lang w:val="sq-AL"/>
        </w:rPr>
      </w:pPr>
    </w:p>
    <w:p w:rsidR="00FA2C87" w:rsidRDefault="00FA2C87" w:rsidP="00FA2C87">
      <w:pPr>
        <w:pStyle w:val="ListParagraph"/>
        <w:widowControl w:val="0"/>
        <w:spacing w:after="0" w:line="240" w:lineRule="auto"/>
        <w:ind w:left="0"/>
        <w:jc w:val="both"/>
        <w:rPr>
          <w:rFonts w:ascii="Garamond" w:eastAsia="Batang" w:hAnsi="Garamond"/>
          <w:sz w:val="24"/>
          <w:szCs w:val="24"/>
          <w:lang w:val="sq-AL"/>
        </w:rPr>
      </w:pPr>
      <w:r w:rsidRPr="00BB54DA">
        <w:rPr>
          <w:rFonts w:ascii="Garamond" w:eastAsia="Batang" w:hAnsi="Garamond"/>
          <w:sz w:val="24"/>
          <w:szCs w:val="24"/>
          <w:lang w:val="sq-AL"/>
        </w:rPr>
        <w:tab/>
        <w:t>Në nenin 9 bëhen këto ndryshime:</w:t>
      </w:r>
      <w:r w:rsidRPr="00BB54DA">
        <w:rPr>
          <w:rFonts w:ascii="Garamond" w:eastAsia="Batang" w:hAnsi="Garamond"/>
          <w:sz w:val="24"/>
          <w:szCs w:val="24"/>
          <w:lang w:val="sq-AL"/>
        </w:rPr>
        <w:tab/>
      </w:r>
    </w:p>
    <w:p w:rsidR="00FA2C87" w:rsidRPr="00BB54DA" w:rsidRDefault="00FA2C87" w:rsidP="00FA2C87">
      <w:pPr>
        <w:pStyle w:val="ListParagraph"/>
        <w:widowControl w:val="0"/>
        <w:spacing w:after="0" w:line="240" w:lineRule="auto"/>
        <w:ind w:left="270"/>
        <w:jc w:val="both"/>
        <w:rPr>
          <w:rFonts w:ascii="Garamond" w:eastAsia="Batang" w:hAnsi="Garamond"/>
          <w:sz w:val="24"/>
          <w:szCs w:val="24"/>
          <w:lang w:val="sq-AL"/>
        </w:rPr>
      </w:pPr>
      <w:r>
        <w:rPr>
          <w:rFonts w:ascii="Garamond" w:eastAsia="Batang" w:hAnsi="Garamond"/>
          <w:sz w:val="24"/>
          <w:szCs w:val="24"/>
          <w:lang w:val="sq-AL"/>
        </w:rPr>
        <w:tab/>
      </w:r>
      <w:r>
        <w:rPr>
          <w:rFonts w:ascii="Garamond" w:eastAsia="Batang" w:hAnsi="Garamond"/>
          <w:sz w:val="24"/>
          <w:szCs w:val="24"/>
          <w:lang w:val="sq-AL"/>
        </w:rPr>
        <w:tab/>
      </w:r>
      <w:r>
        <w:rPr>
          <w:rFonts w:ascii="Garamond" w:eastAsia="Batang" w:hAnsi="Garamond"/>
          <w:sz w:val="24"/>
          <w:szCs w:val="24"/>
          <w:lang w:val="sq-AL"/>
        </w:rPr>
        <w:tab/>
      </w:r>
      <w:r>
        <w:rPr>
          <w:rFonts w:ascii="Garamond" w:eastAsia="Batang" w:hAnsi="Garamond"/>
          <w:sz w:val="24"/>
          <w:szCs w:val="24"/>
          <w:lang w:val="sq-AL"/>
        </w:rPr>
        <w:tab/>
      </w:r>
      <w:r>
        <w:rPr>
          <w:rFonts w:ascii="Garamond" w:eastAsia="Batang" w:hAnsi="Garamond"/>
          <w:sz w:val="24"/>
          <w:szCs w:val="24"/>
          <w:lang w:val="sq-AL"/>
        </w:rPr>
        <w:tab/>
      </w:r>
      <w:r w:rsidRPr="00BB54DA">
        <w:rPr>
          <w:rFonts w:ascii="Garamond" w:eastAsia="Batang" w:hAnsi="Garamond"/>
          <w:sz w:val="24"/>
          <w:szCs w:val="24"/>
          <w:lang w:val="sq-AL"/>
        </w:rPr>
        <w:t>1. Pika 2 ndryshohet si më poshtë:</w:t>
      </w:r>
    </w:p>
    <w:p w:rsidR="00FA2C87" w:rsidRDefault="00FA2C87" w:rsidP="00FA2C87">
      <w:pPr>
        <w:widowControl w:val="0"/>
        <w:spacing w:after="0" w:line="240" w:lineRule="auto"/>
        <w:rPr>
          <w:rFonts w:ascii="Garamond" w:hAnsi="Garamond"/>
          <w:sz w:val="24"/>
          <w:szCs w:val="24"/>
          <w:lang w:val="sq-AL"/>
        </w:rPr>
      </w:pPr>
      <w:r w:rsidRPr="00BB54DA">
        <w:rPr>
          <w:rFonts w:ascii="Garamond" w:hAnsi="Garamond"/>
          <w:sz w:val="24"/>
          <w:szCs w:val="24"/>
          <w:lang w:val="sq-AL"/>
        </w:rPr>
        <w:tab/>
        <w:t>“2. Taksa mbi pasurinë e paluajtshme, në të cilën përfshihen taksa mbi ndërtesat, taksa mbi tokën bujqësore dhe taksa mbi truallin.”.</w:t>
      </w:r>
    </w:p>
    <w:p w:rsidR="00FA2C87" w:rsidRPr="00BB54DA" w:rsidRDefault="00FA2C87" w:rsidP="00FA2C87">
      <w:pPr>
        <w:widowControl w:val="0"/>
        <w:spacing w:after="0" w:line="240" w:lineRule="auto"/>
        <w:rPr>
          <w:rFonts w:ascii="Garamond" w:hAnsi="Garamond"/>
          <w:sz w:val="24"/>
          <w:szCs w:val="24"/>
          <w:lang w:val="sq-AL"/>
        </w:rPr>
      </w:pPr>
      <w:r w:rsidRPr="00BB54DA">
        <w:rPr>
          <w:rFonts w:ascii="Garamond" w:eastAsiaTheme="minorHAnsi" w:hAnsi="Garamond"/>
          <w:sz w:val="24"/>
          <w:szCs w:val="24"/>
          <w:lang w:val="sq-AL"/>
        </w:rPr>
        <w:t xml:space="preserve">2. Pika 7 “Taksa për zënien e hapësirave publike”, shfuqizohet. </w:t>
      </w:r>
    </w:p>
    <w:p w:rsidR="00FA2C87" w:rsidRPr="00BB54DA" w:rsidRDefault="00FA2C87" w:rsidP="00FA2C87">
      <w:pPr>
        <w:widowControl w:val="0"/>
        <w:spacing w:after="0" w:line="240" w:lineRule="auto"/>
        <w:jc w:val="center"/>
        <w:rPr>
          <w:rFonts w:ascii="Garamond" w:hAnsi="Garamond"/>
          <w:sz w:val="14"/>
          <w:szCs w:val="24"/>
          <w:lang w:val="sq-AL"/>
        </w:rPr>
      </w:pPr>
    </w:p>
    <w:p w:rsidR="00FA2C87" w:rsidRPr="00BB54DA" w:rsidRDefault="00FA2C87" w:rsidP="00FA2C87">
      <w:pPr>
        <w:widowControl w:val="0"/>
        <w:spacing w:after="0" w:line="240" w:lineRule="auto"/>
        <w:jc w:val="center"/>
        <w:rPr>
          <w:rFonts w:ascii="Garamond" w:hAnsi="Garamond"/>
          <w:sz w:val="24"/>
          <w:szCs w:val="24"/>
          <w:lang w:val="sq-AL"/>
        </w:rPr>
      </w:pPr>
      <w:r w:rsidRPr="00BB54DA">
        <w:rPr>
          <w:rFonts w:ascii="Garamond" w:hAnsi="Garamond"/>
          <w:sz w:val="24"/>
          <w:szCs w:val="24"/>
          <w:lang w:val="sq-AL"/>
        </w:rPr>
        <w:t>Neni 5</w:t>
      </w:r>
    </w:p>
    <w:p w:rsidR="00FA2C87" w:rsidRPr="00BB54DA" w:rsidRDefault="00FA2C87" w:rsidP="00FA2C87">
      <w:pPr>
        <w:widowControl w:val="0"/>
        <w:spacing w:after="0" w:line="240" w:lineRule="auto"/>
        <w:jc w:val="center"/>
        <w:rPr>
          <w:rFonts w:ascii="Garamond" w:hAnsi="Garamond"/>
          <w:b/>
          <w:sz w:val="14"/>
          <w:szCs w:val="24"/>
          <w:lang w:val="sq-AL"/>
        </w:rPr>
      </w:pPr>
    </w:p>
    <w:p w:rsidR="00FA2C87" w:rsidRPr="00BB54DA" w:rsidRDefault="00FA2C87" w:rsidP="00FA2C87">
      <w:pPr>
        <w:widowControl w:val="0"/>
        <w:autoSpaceDE w:val="0"/>
        <w:autoSpaceDN w:val="0"/>
        <w:adjustRightInd w:val="0"/>
        <w:spacing w:after="0" w:line="240" w:lineRule="auto"/>
        <w:rPr>
          <w:rFonts w:ascii="Garamond" w:hAnsi="Garamond"/>
          <w:bCs/>
          <w:sz w:val="24"/>
          <w:szCs w:val="24"/>
          <w:lang w:val="sq-AL"/>
        </w:rPr>
      </w:pPr>
      <w:r w:rsidRPr="00BB54DA">
        <w:rPr>
          <w:rFonts w:ascii="Garamond" w:hAnsi="Garamond"/>
          <w:bCs/>
          <w:sz w:val="24"/>
          <w:szCs w:val="24"/>
          <w:lang w:val="sq-AL"/>
        </w:rPr>
        <w:tab/>
        <w:t>Neni 11 ndryshohet si më poshtë:</w:t>
      </w:r>
    </w:p>
    <w:p w:rsidR="00FA2C87" w:rsidRPr="00BB54DA" w:rsidRDefault="00FA2C87" w:rsidP="00FA2C87">
      <w:pPr>
        <w:widowControl w:val="0"/>
        <w:autoSpaceDE w:val="0"/>
        <w:autoSpaceDN w:val="0"/>
        <w:adjustRightInd w:val="0"/>
        <w:spacing w:after="0" w:line="240" w:lineRule="auto"/>
        <w:rPr>
          <w:rFonts w:ascii="Garamond" w:hAnsi="Garamond"/>
          <w:b/>
          <w:bCs/>
          <w:sz w:val="14"/>
          <w:szCs w:val="24"/>
          <w:lang w:val="sq-AL"/>
        </w:rPr>
      </w:pPr>
    </w:p>
    <w:p w:rsidR="00FA2C87" w:rsidRPr="00BB54DA" w:rsidRDefault="00FA2C87" w:rsidP="00FA2C87">
      <w:pPr>
        <w:widowControl w:val="0"/>
        <w:autoSpaceDE w:val="0"/>
        <w:autoSpaceDN w:val="0"/>
        <w:adjustRightInd w:val="0"/>
        <w:spacing w:after="0" w:line="240" w:lineRule="auto"/>
        <w:jc w:val="center"/>
        <w:rPr>
          <w:rFonts w:ascii="Garamond" w:hAnsi="Garamond"/>
          <w:bCs/>
          <w:sz w:val="24"/>
          <w:szCs w:val="24"/>
          <w:lang w:val="sq-AL"/>
        </w:rPr>
      </w:pPr>
      <w:r w:rsidRPr="00BB54DA">
        <w:rPr>
          <w:rFonts w:ascii="Garamond" w:hAnsi="Garamond"/>
          <w:bCs/>
          <w:sz w:val="24"/>
          <w:szCs w:val="24"/>
          <w:lang w:val="sq-AL"/>
        </w:rPr>
        <w:t>“Neni 11</w:t>
      </w:r>
    </w:p>
    <w:p w:rsidR="00FA2C87" w:rsidRPr="00BB54DA" w:rsidRDefault="00FA2C87" w:rsidP="00FA2C87">
      <w:pPr>
        <w:widowControl w:val="0"/>
        <w:autoSpaceDE w:val="0"/>
        <w:autoSpaceDN w:val="0"/>
        <w:adjustRightInd w:val="0"/>
        <w:spacing w:after="0" w:line="240" w:lineRule="auto"/>
        <w:jc w:val="center"/>
        <w:rPr>
          <w:rFonts w:ascii="Garamond" w:hAnsi="Garamond"/>
          <w:b/>
          <w:sz w:val="24"/>
          <w:szCs w:val="24"/>
          <w:lang w:val="sq-AL"/>
        </w:rPr>
      </w:pPr>
      <w:r w:rsidRPr="00BB54DA">
        <w:rPr>
          <w:rFonts w:ascii="Garamond" w:hAnsi="Garamond"/>
          <w:b/>
          <w:bCs/>
          <w:sz w:val="24"/>
          <w:szCs w:val="24"/>
          <w:lang w:val="sq-AL"/>
        </w:rPr>
        <w:lastRenderedPageBreak/>
        <w:t>Shkalla tatimore</w:t>
      </w:r>
    </w:p>
    <w:p w:rsidR="00FA2C87" w:rsidRPr="00BB54DA" w:rsidRDefault="00FA2C87" w:rsidP="00FA2C87">
      <w:pPr>
        <w:widowControl w:val="0"/>
        <w:autoSpaceDE w:val="0"/>
        <w:autoSpaceDN w:val="0"/>
        <w:adjustRightInd w:val="0"/>
        <w:spacing w:after="0" w:line="240" w:lineRule="auto"/>
        <w:rPr>
          <w:rFonts w:ascii="Garamond" w:hAnsi="Garamond"/>
          <w:sz w:val="16"/>
          <w:szCs w:val="24"/>
          <w:lang w:val="sq-AL"/>
        </w:rPr>
      </w:pPr>
    </w:p>
    <w:p w:rsidR="00FA2C87" w:rsidRPr="00BB54DA" w:rsidRDefault="00FA2C87" w:rsidP="00FA2C87">
      <w:pPr>
        <w:pStyle w:val="ListParagraph"/>
        <w:widowControl w:val="0"/>
        <w:autoSpaceDE w:val="0"/>
        <w:autoSpaceDN w:val="0"/>
        <w:adjustRightInd w:val="0"/>
        <w:spacing w:after="0" w:line="240" w:lineRule="auto"/>
        <w:ind w:left="0" w:firstLine="284"/>
        <w:jc w:val="both"/>
        <w:rPr>
          <w:rFonts w:ascii="Garamond" w:hAnsi="Garamond"/>
          <w:sz w:val="24"/>
          <w:szCs w:val="24"/>
          <w:lang w:val="sq-AL"/>
        </w:rPr>
      </w:pPr>
      <w:r w:rsidRPr="00BB54DA">
        <w:rPr>
          <w:rFonts w:ascii="Garamond" w:hAnsi="Garamond"/>
          <w:sz w:val="24"/>
          <w:szCs w:val="24"/>
          <w:lang w:val="sq-AL"/>
        </w:rPr>
        <w:tab/>
        <w:t>1. Shkalla tatimore e aplikueshme mbi fitimin e tatueshëm, për tatimpaguesit që i nënshtrohen tatimit të thjeshtuar mbi fitimin e biznesit të vogël, me qarkullim vjetor nga 5 (pesë) deri në 8 (tetë) milionë lekë, është 5 për qind.</w:t>
      </w:r>
    </w:p>
    <w:p w:rsidR="00FA2C87" w:rsidRPr="00BB54DA" w:rsidRDefault="00FA2C87" w:rsidP="00FA2C87">
      <w:pPr>
        <w:pStyle w:val="ListParagraph"/>
        <w:widowControl w:val="0"/>
        <w:autoSpaceDE w:val="0"/>
        <w:autoSpaceDN w:val="0"/>
        <w:adjustRightInd w:val="0"/>
        <w:spacing w:after="0" w:line="240" w:lineRule="auto"/>
        <w:ind w:left="0" w:firstLine="284"/>
        <w:jc w:val="both"/>
        <w:rPr>
          <w:rFonts w:ascii="Garamond" w:hAnsi="Garamond"/>
          <w:sz w:val="24"/>
          <w:szCs w:val="24"/>
          <w:lang w:val="sq-AL"/>
        </w:rPr>
      </w:pPr>
      <w:r w:rsidRPr="00BB54DA">
        <w:rPr>
          <w:rFonts w:ascii="Garamond" w:hAnsi="Garamond"/>
          <w:sz w:val="24"/>
          <w:szCs w:val="24"/>
          <w:lang w:val="sq-AL"/>
        </w:rPr>
        <w:tab/>
        <w:t xml:space="preserve">2. Tatimi i thjeshtuar mbi fitimin, për tatimpaguesit me qarkullim vjetor nga 0 (zero) deri në 5 (pesë) milionë lekë, është 0 (zero) lekë në vit.”. </w:t>
      </w:r>
    </w:p>
    <w:p w:rsidR="00FA2C87" w:rsidRPr="00BB54DA" w:rsidRDefault="00FA2C87" w:rsidP="00FA2C87">
      <w:pPr>
        <w:widowControl w:val="0"/>
        <w:spacing w:after="0" w:line="240" w:lineRule="auto"/>
        <w:rPr>
          <w:rFonts w:ascii="Garamond" w:hAnsi="Garamond"/>
          <w:sz w:val="14"/>
          <w:szCs w:val="24"/>
          <w:lang w:val="sq-AL"/>
        </w:rPr>
      </w:pPr>
    </w:p>
    <w:p w:rsidR="00FA2C87" w:rsidRPr="00BB54DA" w:rsidRDefault="00FA2C87" w:rsidP="00FA2C87">
      <w:pPr>
        <w:widowControl w:val="0"/>
        <w:spacing w:after="0" w:line="240" w:lineRule="auto"/>
        <w:jc w:val="center"/>
        <w:rPr>
          <w:rFonts w:ascii="Garamond" w:hAnsi="Garamond"/>
          <w:sz w:val="24"/>
          <w:szCs w:val="24"/>
          <w:lang w:val="sq-AL"/>
        </w:rPr>
      </w:pPr>
      <w:r w:rsidRPr="00BB54DA">
        <w:rPr>
          <w:rFonts w:ascii="Garamond" w:hAnsi="Garamond"/>
          <w:sz w:val="24"/>
          <w:szCs w:val="24"/>
          <w:lang w:val="sq-AL"/>
        </w:rPr>
        <w:t>Neni 6</w:t>
      </w:r>
    </w:p>
    <w:p w:rsidR="00FA2C87" w:rsidRPr="00BB54DA" w:rsidRDefault="00FA2C87" w:rsidP="00FA2C87">
      <w:pPr>
        <w:widowControl w:val="0"/>
        <w:spacing w:after="0" w:line="240" w:lineRule="auto"/>
        <w:rPr>
          <w:rFonts w:ascii="Garamond" w:hAnsi="Garamond"/>
          <w:sz w:val="14"/>
          <w:szCs w:val="24"/>
          <w:lang w:val="sq-AL"/>
        </w:rPr>
      </w:pPr>
    </w:p>
    <w:p w:rsidR="00FA2C87" w:rsidRPr="00BB54DA" w:rsidRDefault="00FA2C87" w:rsidP="00FA2C87">
      <w:pPr>
        <w:widowControl w:val="0"/>
        <w:spacing w:after="0" w:line="240" w:lineRule="auto"/>
        <w:rPr>
          <w:rFonts w:ascii="Garamond" w:hAnsi="Garamond"/>
          <w:sz w:val="24"/>
          <w:szCs w:val="24"/>
          <w:lang w:val="sq-AL"/>
        </w:rPr>
      </w:pPr>
      <w:r w:rsidRPr="00BB54DA">
        <w:rPr>
          <w:rFonts w:ascii="Garamond" w:hAnsi="Garamond"/>
          <w:sz w:val="24"/>
          <w:szCs w:val="24"/>
          <w:lang w:val="sq-AL"/>
        </w:rPr>
        <w:tab/>
        <w:t>Në nenin 15 bëhen këto ndryshime:</w:t>
      </w:r>
    </w:p>
    <w:p w:rsidR="00FA2C87" w:rsidRPr="00BB54DA" w:rsidRDefault="00FA2C87" w:rsidP="00FA2C87">
      <w:pPr>
        <w:pStyle w:val="ListParagraph"/>
        <w:widowControl w:val="0"/>
        <w:spacing w:after="0" w:line="240" w:lineRule="auto"/>
        <w:ind w:left="0" w:firstLine="284"/>
        <w:jc w:val="both"/>
        <w:rPr>
          <w:rFonts w:ascii="Garamond" w:hAnsi="Garamond"/>
          <w:sz w:val="24"/>
          <w:szCs w:val="24"/>
          <w:lang w:val="sq-AL"/>
        </w:rPr>
      </w:pPr>
      <w:r w:rsidRPr="00BB54DA">
        <w:rPr>
          <w:rFonts w:ascii="Garamond" w:hAnsi="Garamond"/>
          <w:sz w:val="24"/>
          <w:szCs w:val="24"/>
          <w:lang w:val="sq-AL"/>
        </w:rPr>
        <w:tab/>
        <w:t>1. Pika 1 ndryshohet si më poshtë:</w:t>
      </w:r>
    </w:p>
    <w:p w:rsidR="00FA2C87" w:rsidRPr="00BB54DA" w:rsidRDefault="00FA2C87" w:rsidP="00FA2C87">
      <w:pPr>
        <w:widowControl w:val="0"/>
        <w:spacing w:after="0" w:line="240" w:lineRule="auto"/>
        <w:rPr>
          <w:rFonts w:ascii="Garamond" w:hAnsi="Garamond"/>
          <w:sz w:val="24"/>
          <w:szCs w:val="24"/>
          <w:lang w:val="sq-AL"/>
        </w:rPr>
      </w:pPr>
      <w:r w:rsidRPr="00BB54DA">
        <w:rPr>
          <w:rFonts w:ascii="Garamond" w:hAnsi="Garamond"/>
          <w:sz w:val="24"/>
          <w:szCs w:val="24"/>
          <w:lang w:val="sq-AL"/>
        </w:rPr>
        <w:tab/>
        <w:t>“1. Këstet e parapagimit të tatimit të thjeshtuar mbi fitimin, për vitin vijues, për tatimpaguesit me qarkullim vjetor nga 5 (pesë) deri në 8 (tetë) milionë lekë, llogariten në bazë të të dhënave të deklaratës tatimore të një viti më parë. Forma dhe përmbajtja e deklaratës tatimore vjetore përcaktohen me udhëzim të Ministrit të Financave. Gjatë periudhës vijuese tatimore, tatimpaguesi parapaguan, në llogarinë e organeve tatimore ose në Postën Shqiptare, këstet tremujore të tatimit të thjeshtuar mbi fitimin, të biznesit të vogël, brenda datës 20 prill, për muajt: janar, shkurt e mars; brenda datës 20 korrik, për muajt: prill, maj e qershor; brenda datës 20 tetor, për muajt: korrik, gusht e shtator; dhe brenda datës 20 dhjetor, për muajt: tetor, nëntor dhe dhjetor.”</w:t>
      </w:r>
    </w:p>
    <w:p w:rsidR="00FA2C87" w:rsidRPr="00BB54DA" w:rsidRDefault="00FA2C87" w:rsidP="00FA2C87">
      <w:pPr>
        <w:pStyle w:val="ListParagraph"/>
        <w:widowControl w:val="0"/>
        <w:spacing w:after="0" w:line="240" w:lineRule="auto"/>
        <w:ind w:left="0" w:firstLine="284"/>
        <w:jc w:val="both"/>
        <w:rPr>
          <w:rFonts w:ascii="Garamond" w:hAnsi="Garamond"/>
          <w:sz w:val="24"/>
          <w:szCs w:val="24"/>
          <w:lang w:val="sq-AL"/>
        </w:rPr>
      </w:pPr>
      <w:r w:rsidRPr="00BB54DA">
        <w:rPr>
          <w:rFonts w:ascii="Garamond" w:hAnsi="Garamond"/>
          <w:sz w:val="24"/>
          <w:szCs w:val="24"/>
          <w:lang w:val="sq-AL"/>
        </w:rPr>
        <w:tab/>
        <w:t>2. Në pikën 4, fjalia “Tatimpaguesit, me qarkullim nga 0 deri në 2 milionë lekë në vit, paguajnë tatimin fiks, në masën 25 000 lekë në vit, te drejtoritë rajonale tatimore, brenda gjashtëmujorit të parë të çdo viti, te bankat e nivelit të dytë dhe Postës Shqiptare, për llogari të drejtorisë rajonale tatimore” shfuqizohet.</w:t>
      </w:r>
    </w:p>
    <w:p w:rsidR="00FA2C87" w:rsidRPr="00BB54DA" w:rsidRDefault="00FA2C87" w:rsidP="00FA2C87">
      <w:pPr>
        <w:widowControl w:val="0"/>
        <w:spacing w:after="0" w:line="240" w:lineRule="auto"/>
        <w:rPr>
          <w:rFonts w:ascii="Garamond" w:hAnsi="Garamond"/>
          <w:sz w:val="24"/>
          <w:szCs w:val="24"/>
          <w:lang w:val="sq-AL"/>
        </w:rPr>
      </w:pPr>
    </w:p>
    <w:p w:rsidR="00FA2C87" w:rsidRPr="00BB54DA" w:rsidRDefault="00FA2C87" w:rsidP="00FA2C87">
      <w:pPr>
        <w:widowControl w:val="0"/>
        <w:spacing w:after="0" w:line="240" w:lineRule="auto"/>
        <w:jc w:val="center"/>
        <w:rPr>
          <w:rFonts w:ascii="Garamond" w:hAnsi="Garamond"/>
          <w:sz w:val="24"/>
          <w:szCs w:val="24"/>
          <w:lang w:val="sq-AL"/>
        </w:rPr>
      </w:pPr>
      <w:r w:rsidRPr="00BB54DA">
        <w:rPr>
          <w:rFonts w:ascii="Garamond" w:hAnsi="Garamond"/>
          <w:sz w:val="24"/>
          <w:szCs w:val="24"/>
          <w:lang w:val="sq-AL"/>
        </w:rPr>
        <w:t>Neni 7</w:t>
      </w:r>
    </w:p>
    <w:p w:rsidR="00FA2C87" w:rsidRPr="00BB54DA" w:rsidRDefault="00FA2C87" w:rsidP="00FA2C87">
      <w:pPr>
        <w:widowControl w:val="0"/>
        <w:spacing w:after="0" w:line="240" w:lineRule="auto"/>
        <w:rPr>
          <w:rFonts w:ascii="Garamond" w:hAnsi="Garamond"/>
          <w:sz w:val="14"/>
          <w:szCs w:val="24"/>
          <w:lang w:val="sq-AL"/>
        </w:rPr>
      </w:pPr>
    </w:p>
    <w:p w:rsidR="00FA2C87" w:rsidRPr="00BB54DA" w:rsidRDefault="00FA2C87" w:rsidP="00FA2C87">
      <w:pPr>
        <w:widowControl w:val="0"/>
        <w:spacing w:after="0" w:line="240" w:lineRule="auto"/>
        <w:rPr>
          <w:rFonts w:ascii="Garamond" w:hAnsi="Garamond"/>
          <w:sz w:val="24"/>
          <w:szCs w:val="24"/>
          <w:lang w:val="sq-AL"/>
        </w:rPr>
      </w:pPr>
      <w:r w:rsidRPr="00BB54DA">
        <w:rPr>
          <w:rFonts w:ascii="Garamond" w:hAnsi="Garamond"/>
          <w:sz w:val="24"/>
          <w:szCs w:val="24"/>
          <w:lang w:val="sq-AL"/>
        </w:rPr>
        <w:tab/>
        <w:t>Në nenin 16 bëhen këto ndryshime:</w:t>
      </w:r>
    </w:p>
    <w:p w:rsidR="00FA2C87" w:rsidRPr="00BB54DA" w:rsidRDefault="00FA2C87" w:rsidP="00FA2C87">
      <w:pPr>
        <w:pStyle w:val="ListParagraph"/>
        <w:widowControl w:val="0"/>
        <w:spacing w:after="0" w:line="240" w:lineRule="auto"/>
        <w:ind w:left="0" w:firstLine="284"/>
        <w:jc w:val="both"/>
        <w:rPr>
          <w:rFonts w:ascii="Garamond" w:hAnsi="Garamond"/>
          <w:sz w:val="24"/>
          <w:szCs w:val="24"/>
          <w:lang w:val="sq-AL"/>
        </w:rPr>
      </w:pPr>
      <w:r w:rsidRPr="00BB54DA">
        <w:rPr>
          <w:rFonts w:ascii="Garamond" w:hAnsi="Garamond"/>
          <w:sz w:val="24"/>
          <w:szCs w:val="24"/>
          <w:lang w:val="sq-AL"/>
        </w:rPr>
        <w:tab/>
        <w:t xml:space="preserve">1. Në fjalinë e parë, fjalët “me qarkullim nga 2 (dy) deri në 8 (tetë) milionë lekë” zëvendësohet me fjalët “me qarkullim nga 5 (pesë) deri në 8 (tetë) milionë lekë”. </w:t>
      </w:r>
    </w:p>
    <w:p w:rsidR="00FA2C87" w:rsidRPr="00BB54DA" w:rsidRDefault="00FA2C87" w:rsidP="00FA2C87">
      <w:pPr>
        <w:pStyle w:val="Default"/>
        <w:widowControl w:val="0"/>
        <w:ind w:firstLine="284"/>
        <w:jc w:val="both"/>
        <w:rPr>
          <w:rFonts w:ascii="Garamond" w:hAnsi="Garamond"/>
          <w:color w:val="auto"/>
          <w:lang w:val="sq-AL"/>
        </w:rPr>
      </w:pPr>
      <w:r w:rsidRPr="00BB54DA">
        <w:rPr>
          <w:rFonts w:ascii="Garamond" w:hAnsi="Garamond"/>
          <w:color w:val="auto"/>
          <w:lang w:val="sq-AL"/>
        </w:rPr>
        <w:tab/>
        <w:t>2. Në fjalinë e dytë, fjalët “me qarkullim vjetor nga 0 (zero) deri në 2 (dy) milionë lekë” zëvendësohen me fjalët “me qarkullim vjetor nga 0 (zero) deri në 5 (pesë) milionë lekë”.</w:t>
      </w:r>
    </w:p>
    <w:p w:rsidR="00FA2C87" w:rsidRPr="00BB54DA" w:rsidRDefault="00FA2C87" w:rsidP="00FA2C87">
      <w:pPr>
        <w:pStyle w:val="Default"/>
        <w:widowControl w:val="0"/>
        <w:ind w:firstLine="284"/>
        <w:jc w:val="center"/>
        <w:rPr>
          <w:rFonts w:ascii="Garamond" w:hAnsi="Garamond"/>
          <w:color w:val="auto"/>
          <w:sz w:val="14"/>
          <w:lang w:val="sq-AL"/>
        </w:rPr>
      </w:pPr>
    </w:p>
    <w:p w:rsidR="00FA2C87" w:rsidRPr="00BB54DA" w:rsidRDefault="00FA2C87" w:rsidP="00FA2C87">
      <w:pPr>
        <w:pStyle w:val="Default"/>
        <w:widowControl w:val="0"/>
        <w:ind w:firstLine="284"/>
        <w:jc w:val="center"/>
        <w:rPr>
          <w:rFonts w:ascii="Garamond" w:hAnsi="Garamond"/>
          <w:color w:val="auto"/>
          <w:lang w:val="sq-AL"/>
        </w:rPr>
      </w:pPr>
      <w:r w:rsidRPr="00BB54DA">
        <w:rPr>
          <w:rFonts w:ascii="Garamond" w:hAnsi="Garamond"/>
          <w:color w:val="auto"/>
          <w:lang w:val="sq-AL"/>
        </w:rPr>
        <w:t>Neni 8</w:t>
      </w:r>
    </w:p>
    <w:p w:rsidR="00FA2C87" w:rsidRPr="00BB54DA" w:rsidRDefault="00FA2C87" w:rsidP="00FA2C87">
      <w:pPr>
        <w:pStyle w:val="Default"/>
        <w:widowControl w:val="0"/>
        <w:ind w:firstLine="284"/>
        <w:jc w:val="center"/>
        <w:rPr>
          <w:rFonts w:ascii="Garamond" w:hAnsi="Garamond"/>
          <w:b/>
          <w:color w:val="auto"/>
          <w:sz w:val="14"/>
          <w:lang w:val="sq-AL"/>
        </w:rPr>
      </w:pPr>
    </w:p>
    <w:p w:rsidR="00FA2C87" w:rsidRPr="00BB54DA" w:rsidRDefault="00FA2C87" w:rsidP="00FA2C87">
      <w:pPr>
        <w:pStyle w:val="Default"/>
        <w:widowControl w:val="0"/>
        <w:ind w:firstLine="284"/>
        <w:jc w:val="both"/>
        <w:rPr>
          <w:rFonts w:ascii="Garamond" w:hAnsi="Garamond"/>
          <w:bCs/>
          <w:color w:val="auto"/>
          <w:lang w:val="sq-AL"/>
        </w:rPr>
      </w:pPr>
      <w:r w:rsidRPr="00BB54DA">
        <w:rPr>
          <w:rFonts w:ascii="Garamond" w:hAnsi="Garamond"/>
          <w:color w:val="auto"/>
          <w:lang w:val="sq-AL"/>
        </w:rPr>
        <w:tab/>
        <w:t>Në nenin 20</w:t>
      </w:r>
      <w:r w:rsidRPr="00BB54DA">
        <w:rPr>
          <w:rFonts w:ascii="Garamond" w:hAnsi="Garamond"/>
          <w:bCs/>
          <w:color w:val="auto"/>
          <w:lang w:val="sq-AL"/>
        </w:rPr>
        <w:t xml:space="preserve"> bëhen këto ndryshime dhe shtesa:</w:t>
      </w:r>
    </w:p>
    <w:p w:rsidR="00FA2C87" w:rsidRPr="00BB54DA" w:rsidRDefault="00FA2C87" w:rsidP="00FA2C87">
      <w:pPr>
        <w:pStyle w:val="Default"/>
        <w:widowControl w:val="0"/>
        <w:ind w:firstLine="284"/>
        <w:rPr>
          <w:rFonts w:ascii="Garamond" w:hAnsi="Garamond"/>
          <w:bCs/>
          <w:color w:val="auto"/>
          <w:lang w:val="sq-AL"/>
        </w:rPr>
      </w:pPr>
      <w:r w:rsidRPr="00BB54DA">
        <w:rPr>
          <w:rFonts w:ascii="Garamond" w:hAnsi="Garamond"/>
          <w:bCs/>
          <w:color w:val="auto"/>
          <w:lang w:val="sq-AL"/>
        </w:rPr>
        <w:tab/>
        <w:t>1. Pika 1 ndryshohet si më poshtë:</w:t>
      </w:r>
    </w:p>
    <w:p w:rsidR="00FA2C87" w:rsidRPr="00BB54DA" w:rsidRDefault="00FA2C87" w:rsidP="00FA2C87">
      <w:pPr>
        <w:pStyle w:val="Default"/>
        <w:widowControl w:val="0"/>
        <w:ind w:firstLine="284"/>
        <w:jc w:val="both"/>
        <w:rPr>
          <w:rFonts w:ascii="Garamond" w:hAnsi="Garamond"/>
          <w:b/>
          <w:bCs/>
          <w:color w:val="auto"/>
          <w:lang w:val="sq-AL"/>
        </w:rPr>
      </w:pPr>
      <w:r w:rsidRPr="00BB54DA">
        <w:rPr>
          <w:rFonts w:ascii="Garamond" w:hAnsi="Garamond"/>
          <w:bCs/>
          <w:color w:val="auto"/>
          <w:lang w:val="sq-AL"/>
        </w:rPr>
        <w:lastRenderedPageBreak/>
        <w:tab/>
        <w:t>“</w:t>
      </w:r>
      <w:r w:rsidRPr="00BB54DA">
        <w:rPr>
          <w:rFonts w:ascii="Garamond" w:hAnsi="Garamond"/>
          <w:color w:val="auto"/>
          <w:lang w:val="sq-AL"/>
        </w:rPr>
        <w:t>1. Taksës mbi pasurinë e paluajtshme i nënshtrohen të gjithë personat fizikë ose juridikë, vendas ose të huaj, pronarë apo përdorues të pasurive të mësipërme, në territorin e Republikës së Shqipërisë, pavarësisht nga niveli i shfrytëzimit të këtyre pasurive. Bëjnë përjashtim rastet kur në ligj parashikohet ndryshe. Detyrimin për taksën mbi pasurinë e paluajtshme e ka, sipas rastit, pronari ose bashkëpronari, sipas pjesës që zotëron, apo përdoruesi i pasurisë së paluajtshme, për pasuritë që nuk janë të pajisura me dokumente pronësie.”.</w:t>
      </w:r>
    </w:p>
    <w:p w:rsidR="00FA2C87" w:rsidRPr="00BB54DA" w:rsidRDefault="00FA2C87" w:rsidP="00FA2C87">
      <w:pPr>
        <w:pStyle w:val="Default"/>
        <w:widowControl w:val="0"/>
        <w:ind w:firstLine="284"/>
        <w:rPr>
          <w:rFonts w:ascii="Garamond" w:hAnsi="Garamond"/>
          <w:bCs/>
          <w:color w:val="auto"/>
          <w:lang w:val="sq-AL"/>
        </w:rPr>
      </w:pPr>
      <w:r w:rsidRPr="00BB54DA">
        <w:rPr>
          <w:rFonts w:ascii="Garamond" w:hAnsi="Garamond"/>
          <w:bCs/>
          <w:color w:val="auto"/>
          <w:lang w:val="sq-AL"/>
        </w:rPr>
        <w:tab/>
        <w:t>2. Në pikën 2, pas shkronjës “b” shtohet shkronja “c” me këtë përmbajtje:</w:t>
      </w:r>
    </w:p>
    <w:p w:rsidR="00FA2C87" w:rsidRPr="00BB54DA" w:rsidRDefault="00FA2C87" w:rsidP="00FA2C87">
      <w:pPr>
        <w:pStyle w:val="Default"/>
        <w:widowControl w:val="0"/>
        <w:ind w:firstLine="284"/>
        <w:rPr>
          <w:rFonts w:ascii="Garamond" w:hAnsi="Garamond"/>
          <w:bCs/>
          <w:color w:val="auto"/>
          <w:lang w:val="sq-AL"/>
        </w:rPr>
      </w:pPr>
      <w:r w:rsidRPr="00BB54DA">
        <w:rPr>
          <w:rFonts w:ascii="Garamond" w:hAnsi="Garamond"/>
          <w:bCs/>
          <w:color w:val="auto"/>
          <w:lang w:val="sq-AL"/>
        </w:rPr>
        <w:tab/>
        <w:t>“c) taksa mbi truallin.”.</w:t>
      </w:r>
    </w:p>
    <w:p w:rsidR="00FA2C87" w:rsidRPr="00BB54DA" w:rsidRDefault="00FA2C87" w:rsidP="00FA2C87">
      <w:pPr>
        <w:pStyle w:val="Default"/>
        <w:widowControl w:val="0"/>
        <w:ind w:firstLine="284"/>
        <w:rPr>
          <w:rFonts w:ascii="Garamond" w:hAnsi="Garamond"/>
          <w:bCs/>
          <w:color w:val="auto"/>
          <w:sz w:val="14"/>
          <w:lang w:val="sq-AL"/>
        </w:rPr>
      </w:pPr>
    </w:p>
    <w:p w:rsidR="00FA2C87" w:rsidRPr="00BB54DA" w:rsidRDefault="00FA2C87" w:rsidP="00FA2C87">
      <w:pPr>
        <w:pStyle w:val="Default"/>
        <w:widowControl w:val="0"/>
        <w:ind w:firstLine="284"/>
        <w:jc w:val="center"/>
        <w:rPr>
          <w:rFonts w:ascii="Garamond" w:hAnsi="Garamond"/>
          <w:bCs/>
          <w:color w:val="auto"/>
          <w:lang w:val="sq-AL"/>
        </w:rPr>
      </w:pPr>
      <w:r w:rsidRPr="00BB54DA">
        <w:rPr>
          <w:rFonts w:ascii="Garamond" w:hAnsi="Garamond"/>
          <w:bCs/>
          <w:color w:val="auto"/>
          <w:lang w:val="sq-AL"/>
        </w:rPr>
        <w:t>Neni 9</w:t>
      </w:r>
    </w:p>
    <w:p w:rsidR="00FA2C87" w:rsidRPr="00BB54DA" w:rsidRDefault="00FA2C87" w:rsidP="00FA2C87">
      <w:pPr>
        <w:pStyle w:val="Default"/>
        <w:widowControl w:val="0"/>
        <w:ind w:firstLine="284"/>
        <w:jc w:val="center"/>
        <w:rPr>
          <w:rFonts w:ascii="Garamond" w:hAnsi="Garamond"/>
          <w:b/>
          <w:bCs/>
          <w:color w:val="auto"/>
          <w:sz w:val="14"/>
          <w:lang w:val="sq-AL"/>
        </w:rPr>
      </w:pPr>
    </w:p>
    <w:p w:rsidR="00FA2C87" w:rsidRPr="00BB54DA" w:rsidRDefault="00FA2C87" w:rsidP="00FA2C87">
      <w:pPr>
        <w:pStyle w:val="Default"/>
        <w:widowControl w:val="0"/>
        <w:ind w:firstLine="284"/>
        <w:jc w:val="both"/>
        <w:rPr>
          <w:rFonts w:ascii="Garamond" w:hAnsi="Garamond"/>
          <w:b/>
          <w:bCs/>
          <w:color w:val="auto"/>
          <w:lang w:val="sq-AL"/>
        </w:rPr>
      </w:pPr>
      <w:r w:rsidRPr="00BB54DA">
        <w:rPr>
          <w:rFonts w:ascii="Garamond" w:hAnsi="Garamond"/>
          <w:bCs/>
          <w:color w:val="auto"/>
          <w:lang w:val="sq-AL"/>
        </w:rPr>
        <w:tab/>
        <w:t>Në nenin 21, pika 2 ndryshohet si më poshtë:</w:t>
      </w:r>
    </w:p>
    <w:p w:rsidR="00FA2C87" w:rsidRPr="00BB54DA" w:rsidRDefault="00FA2C87" w:rsidP="00FA2C87">
      <w:pPr>
        <w:pStyle w:val="Default"/>
        <w:widowControl w:val="0"/>
        <w:ind w:firstLine="284"/>
        <w:jc w:val="both"/>
        <w:rPr>
          <w:rFonts w:ascii="Garamond" w:hAnsi="Garamond"/>
          <w:color w:val="auto"/>
          <w:lang w:val="sq-AL"/>
        </w:rPr>
      </w:pPr>
      <w:r w:rsidRPr="00BB54DA">
        <w:rPr>
          <w:rFonts w:ascii="Garamond" w:hAnsi="Garamond"/>
          <w:bCs/>
          <w:color w:val="auto"/>
          <w:lang w:val="sq-AL"/>
        </w:rPr>
        <w:tab/>
        <w:t>“</w:t>
      </w:r>
      <w:r w:rsidRPr="00BB54DA">
        <w:rPr>
          <w:rFonts w:ascii="Garamond" w:hAnsi="Garamond"/>
          <w:color w:val="auto"/>
          <w:lang w:val="sq-AL"/>
        </w:rPr>
        <w:t>2. Kategoritë minimale të bazës së taksës dhe nivelet treguese të taksës, për çdo kategori minimale të bazës për taksën mbi ndërtesën, për taksën mbi tokën bujqësore dhe për taksën mbi truallin (jo hapësirë publike), jepen, përkatësisht, në anekset 1, 2 dhe 2.1, që i bashkëlidhen dhe janë pjesë përbërëse e këtij ligji.”.</w:t>
      </w:r>
    </w:p>
    <w:p w:rsidR="00FA2C87" w:rsidRPr="00BB54DA" w:rsidRDefault="00FA2C87" w:rsidP="00FA2C87">
      <w:pPr>
        <w:pStyle w:val="Default"/>
        <w:widowControl w:val="0"/>
        <w:ind w:firstLine="284"/>
        <w:jc w:val="both"/>
        <w:rPr>
          <w:rFonts w:ascii="Garamond" w:hAnsi="Garamond"/>
          <w:b/>
          <w:bCs/>
          <w:color w:val="auto"/>
          <w:sz w:val="14"/>
          <w:lang w:val="sq-AL"/>
        </w:rPr>
      </w:pPr>
    </w:p>
    <w:p w:rsidR="00FA2C87" w:rsidRPr="00BB54DA" w:rsidRDefault="00FA2C87" w:rsidP="00FA2C87">
      <w:pPr>
        <w:pStyle w:val="Default"/>
        <w:widowControl w:val="0"/>
        <w:ind w:firstLine="284"/>
        <w:jc w:val="center"/>
        <w:rPr>
          <w:rFonts w:ascii="Garamond" w:hAnsi="Garamond"/>
          <w:color w:val="auto"/>
          <w:lang w:val="sq-AL"/>
        </w:rPr>
      </w:pPr>
      <w:r w:rsidRPr="00BB54DA">
        <w:rPr>
          <w:rFonts w:ascii="Garamond" w:hAnsi="Garamond"/>
          <w:color w:val="auto"/>
          <w:lang w:val="sq-AL"/>
        </w:rPr>
        <w:t>Neni 10</w:t>
      </w:r>
    </w:p>
    <w:p w:rsidR="00FA2C87" w:rsidRPr="00BB54DA" w:rsidRDefault="00FA2C87" w:rsidP="00FA2C87">
      <w:pPr>
        <w:widowControl w:val="0"/>
        <w:shd w:val="clear" w:color="auto" w:fill="FFFFFF"/>
        <w:spacing w:after="0" w:line="240" w:lineRule="auto"/>
        <w:rPr>
          <w:rFonts w:ascii="Garamond" w:hAnsi="Garamond"/>
          <w:sz w:val="14"/>
          <w:szCs w:val="24"/>
          <w:lang w:val="sq-AL"/>
        </w:rPr>
      </w:pPr>
    </w:p>
    <w:p w:rsidR="00FA2C87" w:rsidRPr="00BB54DA" w:rsidRDefault="00FA2C87" w:rsidP="00FA2C87">
      <w:pPr>
        <w:widowControl w:val="0"/>
        <w:shd w:val="clear" w:color="auto" w:fill="FFFFFF"/>
        <w:spacing w:after="0" w:line="240" w:lineRule="auto"/>
        <w:rPr>
          <w:rFonts w:ascii="Garamond" w:hAnsi="Garamond"/>
          <w:sz w:val="24"/>
          <w:szCs w:val="24"/>
          <w:lang w:val="sq-AL"/>
        </w:rPr>
      </w:pPr>
      <w:r w:rsidRPr="00BB54DA">
        <w:rPr>
          <w:rFonts w:ascii="Garamond" w:hAnsi="Garamond"/>
          <w:sz w:val="24"/>
          <w:szCs w:val="24"/>
          <w:lang w:val="sq-AL"/>
        </w:rPr>
        <w:tab/>
        <w:t>Në nenin 22, paragrafi i parë, pas fjalisë së dytë shtohet fjalia me këtë përmbajtje:</w:t>
      </w:r>
    </w:p>
    <w:p w:rsidR="00FA2C87" w:rsidRPr="00BB54DA" w:rsidRDefault="00FA2C87" w:rsidP="00FA2C87">
      <w:pPr>
        <w:widowControl w:val="0"/>
        <w:shd w:val="clear" w:color="auto" w:fill="FFFFFF"/>
        <w:spacing w:after="0" w:line="240" w:lineRule="auto"/>
        <w:rPr>
          <w:rFonts w:ascii="Garamond" w:hAnsi="Garamond"/>
          <w:sz w:val="24"/>
          <w:szCs w:val="24"/>
          <w:lang w:val="sq-AL"/>
        </w:rPr>
      </w:pPr>
      <w:r w:rsidRPr="00BB54DA">
        <w:rPr>
          <w:rFonts w:ascii="Garamond" w:hAnsi="Garamond"/>
          <w:sz w:val="24"/>
          <w:szCs w:val="24"/>
          <w:lang w:val="sq-AL"/>
        </w:rPr>
        <w:tab/>
        <w:t>“Në rast të mungesës së dokumentacionit të pronësisë, përdoruesi i ndërtesës bën një vetëdeklarim të sipërfaqes së ndërtesës, pranë bashkisë ku ndodhet ndërtesa.”.</w:t>
      </w:r>
    </w:p>
    <w:p w:rsidR="00FA2C87" w:rsidRPr="00BB54DA" w:rsidRDefault="00FA2C87" w:rsidP="00FA2C87">
      <w:pPr>
        <w:pStyle w:val="Default"/>
        <w:widowControl w:val="0"/>
        <w:ind w:firstLine="284"/>
        <w:rPr>
          <w:rFonts w:ascii="Garamond" w:hAnsi="Garamond"/>
          <w:color w:val="auto"/>
          <w:sz w:val="14"/>
          <w:lang w:val="sq-AL"/>
        </w:rPr>
      </w:pPr>
    </w:p>
    <w:p w:rsidR="00FA2C87" w:rsidRPr="00BB54DA" w:rsidRDefault="00FA2C87" w:rsidP="00FA2C87">
      <w:pPr>
        <w:pStyle w:val="Default"/>
        <w:widowControl w:val="0"/>
        <w:ind w:firstLine="284"/>
        <w:jc w:val="center"/>
        <w:rPr>
          <w:rFonts w:ascii="Garamond" w:hAnsi="Garamond"/>
          <w:color w:val="auto"/>
          <w:lang w:val="sq-AL"/>
        </w:rPr>
      </w:pPr>
      <w:r w:rsidRPr="00BB54DA">
        <w:rPr>
          <w:rFonts w:ascii="Garamond" w:hAnsi="Garamond"/>
          <w:color w:val="auto"/>
          <w:lang w:val="sq-AL"/>
        </w:rPr>
        <w:t>Neni 11</w:t>
      </w:r>
    </w:p>
    <w:p w:rsidR="00FA2C87" w:rsidRPr="00BB54DA" w:rsidRDefault="00FA2C87" w:rsidP="00FA2C87">
      <w:pPr>
        <w:pStyle w:val="Default"/>
        <w:widowControl w:val="0"/>
        <w:ind w:firstLine="284"/>
        <w:jc w:val="center"/>
        <w:rPr>
          <w:rFonts w:ascii="Garamond" w:hAnsi="Garamond"/>
          <w:b/>
          <w:color w:val="auto"/>
          <w:sz w:val="16"/>
          <w:lang w:val="sq-AL"/>
        </w:rPr>
      </w:pPr>
    </w:p>
    <w:p w:rsidR="00FA2C87" w:rsidRPr="00BB54DA" w:rsidRDefault="00FA2C87" w:rsidP="00FA2C87">
      <w:pPr>
        <w:pStyle w:val="Default"/>
        <w:widowControl w:val="0"/>
        <w:ind w:firstLine="284"/>
        <w:jc w:val="both"/>
        <w:rPr>
          <w:rFonts w:ascii="Garamond" w:hAnsi="Garamond"/>
          <w:color w:val="auto"/>
          <w:lang w:val="sq-AL"/>
        </w:rPr>
      </w:pPr>
      <w:r w:rsidRPr="00BB54DA">
        <w:rPr>
          <w:rFonts w:ascii="Garamond" w:hAnsi="Garamond"/>
          <w:color w:val="auto"/>
          <w:lang w:val="sq-AL"/>
        </w:rPr>
        <w:tab/>
        <w:t>Në nenin 23, pika 1, në fjalinë e parë, pas fjalëve “në pronësi” shtohen fjalët “në përdorim” dhe pas fjalisë së dytë shtohet fjalia me këtë përmbajtje:</w:t>
      </w:r>
    </w:p>
    <w:p w:rsidR="00FA2C87" w:rsidRPr="00BB54DA" w:rsidRDefault="00FA2C87" w:rsidP="00FA2C87">
      <w:pPr>
        <w:pStyle w:val="Default"/>
        <w:widowControl w:val="0"/>
        <w:ind w:firstLine="284"/>
        <w:jc w:val="both"/>
        <w:rPr>
          <w:rFonts w:ascii="Garamond" w:hAnsi="Garamond"/>
          <w:color w:val="auto"/>
          <w:lang w:val="sq-AL"/>
        </w:rPr>
      </w:pPr>
      <w:r w:rsidRPr="00BB54DA">
        <w:rPr>
          <w:rFonts w:ascii="Garamond" w:hAnsi="Garamond"/>
          <w:color w:val="auto"/>
          <w:lang w:val="sq-AL"/>
        </w:rPr>
        <w:tab/>
        <w:t>“Në rast të mungesës së dokumentacionit të pronësisë, përdoruesi i tokës bujqësore bën një vetëdeklarim të sipërfaqes së tokës bujqësore, pranë bashkisë ku ndodhet toka.”.</w:t>
      </w:r>
    </w:p>
    <w:p w:rsidR="00FA2C87" w:rsidRPr="00BB54DA" w:rsidRDefault="00FA2C87" w:rsidP="00FA2C87">
      <w:pPr>
        <w:pStyle w:val="Default"/>
        <w:widowControl w:val="0"/>
        <w:ind w:firstLine="284"/>
        <w:rPr>
          <w:rFonts w:ascii="Garamond" w:hAnsi="Garamond"/>
          <w:color w:val="auto"/>
          <w:sz w:val="14"/>
          <w:lang w:val="sq-AL"/>
        </w:rPr>
      </w:pPr>
    </w:p>
    <w:p w:rsidR="00FA2C87" w:rsidRPr="00BB54DA" w:rsidRDefault="00FA2C87" w:rsidP="00FA2C87">
      <w:pPr>
        <w:pStyle w:val="Default"/>
        <w:widowControl w:val="0"/>
        <w:ind w:firstLine="284"/>
        <w:jc w:val="center"/>
        <w:rPr>
          <w:rFonts w:ascii="Garamond" w:hAnsi="Garamond"/>
          <w:color w:val="auto"/>
          <w:lang w:val="sq-AL"/>
        </w:rPr>
      </w:pPr>
      <w:r w:rsidRPr="00BB54DA">
        <w:rPr>
          <w:rFonts w:ascii="Garamond" w:hAnsi="Garamond"/>
          <w:color w:val="auto"/>
          <w:lang w:val="sq-AL"/>
        </w:rPr>
        <w:t>Neni 12</w:t>
      </w:r>
    </w:p>
    <w:p w:rsidR="00FA2C87" w:rsidRPr="00BB54DA" w:rsidRDefault="00FA2C87" w:rsidP="00FA2C87">
      <w:pPr>
        <w:pStyle w:val="Default"/>
        <w:widowControl w:val="0"/>
        <w:ind w:firstLine="284"/>
        <w:jc w:val="center"/>
        <w:rPr>
          <w:rFonts w:ascii="Garamond" w:hAnsi="Garamond"/>
          <w:color w:val="auto"/>
          <w:sz w:val="14"/>
          <w:lang w:val="sq-AL"/>
        </w:rPr>
      </w:pPr>
    </w:p>
    <w:p w:rsidR="00FA2C87" w:rsidRPr="00BB54DA" w:rsidRDefault="00FA2C87" w:rsidP="00FA2C87">
      <w:pPr>
        <w:widowControl w:val="0"/>
        <w:autoSpaceDE w:val="0"/>
        <w:autoSpaceDN w:val="0"/>
        <w:adjustRightInd w:val="0"/>
        <w:spacing w:after="0" w:line="240" w:lineRule="auto"/>
        <w:rPr>
          <w:rFonts w:ascii="Garamond" w:hAnsi="Garamond"/>
          <w:bCs/>
          <w:sz w:val="24"/>
          <w:szCs w:val="24"/>
          <w:lang w:val="sq-AL"/>
        </w:rPr>
      </w:pPr>
      <w:r w:rsidRPr="00BB54DA">
        <w:rPr>
          <w:rFonts w:ascii="Garamond" w:hAnsi="Garamond"/>
          <w:bCs/>
          <w:sz w:val="24"/>
          <w:szCs w:val="24"/>
          <w:lang w:val="sq-AL"/>
        </w:rPr>
        <w:tab/>
        <w:t>Pas nenit 23 shtohet neni 23/1 me këtë përmbajtje:</w:t>
      </w:r>
    </w:p>
    <w:p w:rsidR="00FA2C87" w:rsidRPr="00BB54DA" w:rsidRDefault="00FA2C87" w:rsidP="00FA2C87">
      <w:pPr>
        <w:widowControl w:val="0"/>
        <w:autoSpaceDE w:val="0"/>
        <w:autoSpaceDN w:val="0"/>
        <w:adjustRightInd w:val="0"/>
        <w:spacing w:after="0" w:line="240" w:lineRule="auto"/>
        <w:jc w:val="center"/>
        <w:rPr>
          <w:rFonts w:ascii="Garamond" w:hAnsi="Garamond"/>
          <w:bCs/>
          <w:sz w:val="24"/>
          <w:szCs w:val="24"/>
          <w:lang w:val="sq-AL"/>
        </w:rPr>
      </w:pPr>
      <w:r w:rsidRPr="00BB54DA">
        <w:rPr>
          <w:rFonts w:ascii="Garamond" w:hAnsi="Garamond"/>
          <w:bCs/>
          <w:sz w:val="24"/>
          <w:szCs w:val="24"/>
          <w:lang w:val="sq-AL"/>
        </w:rPr>
        <w:t>“Neni 23/1</w:t>
      </w:r>
    </w:p>
    <w:p w:rsidR="00FA2C87" w:rsidRPr="00BB54DA" w:rsidRDefault="00FA2C87" w:rsidP="00FA2C87">
      <w:pPr>
        <w:widowControl w:val="0"/>
        <w:autoSpaceDE w:val="0"/>
        <w:autoSpaceDN w:val="0"/>
        <w:adjustRightInd w:val="0"/>
        <w:spacing w:after="0" w:line="240" w:lineRule="auto"/>
        <w:jc w:val="center"/>
        <w:rPr>
          <w:rFonts w:ascii="Garamond" w:hAnsi="Garamond"/>
          <w:b/>
          <w:bCs/>
          <w:sz w:val="24"/>
          <w:szCs w:val="24"/>
          <w:lang w:val="sq-AL"/>
        </w:rPr>
      </w:pPr>
      <w:r w:rsidRPr="00BB54DA">
        <w:rPr>
          <w:rFonts w:ascii="Garamond" w:hAnsi="Garamond"/>
          <w:b/>
          <w:bCs/>
          <w:sz w:val="24"/>
          <w:szCs w:val="24"/>
          <w:lang w:val="sq-AL"/>
        </w:rPr>
        <w:t>Taksa mbi truallin</w:t>
      </w:r>
    </w:p>
    <w:p w:rsidR="00FA2C87" w:rsidRPr="00BB54DA" w:rsidRDefault="00FA2C87" w:rsidP="00FA2C87">
      <w:pPr>
        <w:widowControl w:val="0"/>
        <w:autoSpaceDE w:val="0"/>
        <w:autoSpaceDN w:val="0"/>
        <w:adjustRightInd w:val="0"/>
        <w:spacing w:after="0" w:line="240" w:lineRule="auto"/>
        <w:rPr>
          <w:rFonts w:ascii="Garamond" w:hAnsi="Garamond"/>
          <w:sz w:val="14"/>
          <w:szCs w:val="24"/>
          <w:lang w:val="sq-AL"/>
        </w:rPr>
      </w:pPr>
    </w:p>
    <w:p w:rsidR="00FA2C87" w:rsidRPr="00BB54DA" w:rsidRDefault="00FA2C87" w:rsidP="00FA2C87">
      <w:pPr>
        <w:pStyle w:val="Default"/>
        <w:widowControl w:val="0"/>
        <w:ind w:firstLine="284"/>
        <w:jc w:val="both"/>
        <w:rPr>
          <w:rFonts w:ascii="Garamond" w:eastAsiaTheme="minorHAnsi" w:hAnsi="Garamond"/>
          <w:color w:val="auto"/>
          <w:lang w:val="sq-AL"/>
        </w:rPr>
      </w:pPr>
      <w:r w:rsidRPr="00BB54DA">
        <w:rPr>
          <w:rFonts w:ascii="Garamond" w:hAnsi="Garamond"/>
          <w:color w:val="auto"/>
          <w:lang w:val="sq-AL"/>
        </w:rPr>
        <w:tab/>
        <w:t xml:space="preserve">1. </w:t>
      </w:r>
      <w:r w:rsidRPr="00BB54DA">
        <w:rPr>
          <w:rFonts w:ascii="Garamond" w:eastAsiaTheme="minorHAnsi" w:hAnsi="Garamond"/>
          <w:color w:val="auto"/>
          <w:lang w:val="sq-AL"/>
        </w:rPr>
        <w:t xml:space="preserve">Baza e taksës mbi truallin është sipërfaqja e truallit, në metër katror, në pronësi apo përdorim të taksapaguesit. </w:t>
      </w:r>
      <w:r w:rsidRPr="00BB54DA">
        <w:rPr>
          <w:rFonts w:ascii="Garamond" w:hAnsi="Garamond"/>
          <w:color w:val="auto"/>
          <w:lang w:val="sq-AL"/>
        </w:rPr>
        <w:t xml:space="preserve">Sipërfaqja e truallit në pronësi përcaktohet sipas </w:t>
      </w:r>
      <w:r w:rsidRPr="00BB54DA">
        <w:rPr>
          <w:rFonts w:ascii="Garamond" w:hAnsi="Garamond"/>
          <w:color w:val="auto"/>
          <w:lang w:val="sq-AL"/>
        </w:rPr>
        <w:lastRenderedPageBreak/>
        <w:t xml:space="preserve">dokumenteve që e vërtetojnë atë. Në rast të mungesës së dokumentacionit të pronësisë, përdoruesi i truallit bën një vetëdeklarim të sipërfaqes së truallit në përdorim, pranë bashkisë ku ndodhet trualli. Kategoritë minimale të truallit jepen në aneksin 2.1, që i bashkëlidhet këtij ligji. Për çdo kategori minimale të truallit, këshilli bashkiak mund të miratojë nënkategorizime. </w:t>
      </w:r>
    </w:p>
    <w:p w:rsidR="00FA2C87" w:rsidRPr="00BB54DA" w:rsidRDefault="00FA2C87" w:rsidP="00FA2C87">
      <w:pPr>
        <w:pStyle w:val="Default"/>
        <w:widowControl w:val="0"/>
        <w:ind w:firstLine="284"/>
        <w:jc w:val="both"/>
        <w:rPr>
          <w:rFonts w:ascii="Garamond" w:eastAsiaTheme="minorHAnsi" w:hAnsi="Garamond"/>
          <w:color w:val="auto"/>
          <w:lang w:val="sq-AL"/>
        </w:rPr>
      </w:pPr>
      <w:r w:rsidRPr="00BB54DA">
        <w:rPr>
          <w:rFonts w:ascii="Garamond" w:hAnsi="Garamond"/>
          <w:color w:val="auto"/>
          <w:lang w:val="sq-AL"/>
        </w:rPr>
        <w:tab/>
        <w:t xml:space="preserve">2. </w:t>
      </w:r>
      <w:r w:rsidRPr="00BB54DA">
        <w:rPr>
          <w:rFonts w:ascii="Garamond" w:eastAsiaTheme="minorHAnsi" w:hAnsi="Garamond"/>
          <w:color w:val="auto"/>
          <w:lang w:val="sq-AL"/>
        </w:rPr>
        <w:t xml:space="preserve">Niveli i taksës caktohet në lekë për metër katror. </w:t>
      </w:r>
      <w:r w:rsidRPr="00BB54DA">
        <w:rPr>
          <w:rFonts w:ascii="Garamond" w:hAnsi="Garamond"/>
          <w:color w:val="auto"/>
          <w:lang w:val="sq-AL"/>
        </w:rPr>
        <w:t xml:space="preserve">Detyrimi i taksës llogaritet si shumëzim i nivelit të taksës me bazën e tatueshme. Nivelet treguese të taksës, për çdo kategori minimale të bazës së taksës, jepen në aneksin 2.1, të këtij ligji. </w:t>
      </w:r>
    </w:p>
    <w:p w:rsidR="00FA2C87" w:rsidRPr="00BB54DA" w:rsidRDefault="00FA2C87" w:rsidP="00FA2C87">
      <w:pPr>
        <w:pStyle w:val="Default"/>
        <w:widowControl w:val="0"/>
        <w:ind w:firstLine="284"/>
        <w:jc w:val="both"/>
        <w:rPr>
          <w:rFonts w:ascii="Garamond" w:hAnsi="Garamond"/>
          <w:color w:val="auto"/>
          <w:lang w:val="sq-AL"/>
        </w:rPr>
      </w:pPr>
      <w:r w:rsidRPr="00BB54DA">
        <w:rPr>
          <w:rFonts w:ascii="Garamond" w:hAnsi="Garamond"/>
          <w:color w:val="auto"/>
          <w:lang w:val="sq-AL"/>
        </w:rPr>
        <w:tab/>
        <w:t>3. Taksa e mbledhur, në mbështetje të këtij ligji, paguhet në buxhetin e bashkisë, në territorin e së cilës ndodhet prona e taksueshme.”.</w:t>
      </w:r>
    </w:p>
    <w:p w:rsidR="00FA2C87" w:rsidRPr="00BB54DA" w:rsidRDefault="00FA2C87" w:rsidP="00FA2C87">
      <w:pPr>
        <w:widowControl w:val="0"/>
        <w:spacing w:after="0" w:line="240" w:lineRule="auto"/>
        <w:jc w:val="center"/>
        <w:rPr>
          <w:rFonts w:ascii="Garamond" w:hAnsi="Garamond"/>
          <w:sz w:val="24"/>
          <w:szCs w:val="24"/>
          <w:lang w:val="sq-AL"/>
        </w:rPr>
      </w:pPr>
      <w:r w:rsidRPr="00BB54DA">
        <w:rPr>
          <w:rFonts w:ascii="Garamond" w:hAnsi="Garamond"/>
          <w:sz w:val="24"/>
          <w:szCs w:val="24"/>
          <w:lang w:val="sq-AL"/>
        </w:rPr>
        <w:t>Neni 13</w:t>
      </w:r>
    </w:p>
    <w:p w:rsidR="00FA2C87" w:rsidRPr="00BB54DA" w:rsidRDefault="00FA2C87" w:rsidP="00FA2C87">
      <w:pPr>
        <w:widowControl w:val="0"/>
        <w:spacing w:after="0" w:line="240" w:lineRule="auto"/>
        <w:rPr>
          <w:rFonts w:ascii="Garamond" w:hAnsi="Garamond"/>
          <w:sz w:val="14"/>
          <w:szCs w:val="24"/>
          <w:lang w:val="sq-AL"/>
        </w:rPr>
      </w:pPr>
    </w:p>
    <w:p w:rsidR="00FA2C87" w:rsidRPr="00BB54DA" w:rsidRDefault="00FA2C87" w:rsidP="00FA2C87">
      <w:pPr>
        <w:widowControl w:val="0"/>
        <w:spacing w:after="0" w:line="240" w:lineRule="auto"/>
        <w:rPr>
          <w:rFonts w:ascii="Garamond" w:hAnsi="Garamond"/>
          <w:sz w:val="24"/>
          <w:szCs w:val="24"/>
          <w:lang w:val="sq-AL"/>
        </w:rPr>
      </w:pPr>
      <w:r w:rsidRPr="00BB54DA">
        <w:rPr>
          <w:rFonts w:ascii="Garamond" w:hAnsi="Garamond"/>
          <w:sz w:val="24"/>
          <w:szCs w:val="24"/>
          <w:lang w:val="sq-AL"/>
        </w:rPr>
        <w:tab/>
        <w:t xml:space="preserve">Në nenin 26 bëhen këto ndryshime: </w:t>
      </w:r>
    </w:p>
    <w:p w:rsidR="00FA2C87" w:rsidRPr="00BB54DA" w:rsidRDefault="00FA2C87" w:rsidP="00FA2C87">
      <w:pPr>
        <w:widowControl w:val="0"/>
        <w:spacing w:after="0" w:line="240" w:lineRule="auto"/>
        <w:rPr>
          <w:rFonts w:ascii="Garamond" w:hAnsi="Garamond"/>
          <w:sz w:val="24"/>
          <w:szCs w:val="24"/>
          <w:lang w:val="sq-AL"/>
        </w:rPr>
      </w:pPr>
      <w:r w:rsidRPr="00BB54DA">
        <w:rPr>
          <w:rFonts w:ascii="Garamond" w:hAnsi="Garamond"/>
          <w:sz w:val="24"/>
          <w:szCs w:val="24"/>
          <w:lang w:val="sq-AL"/>
        </w:rPr>
        <w:tab/>
        <w:t>a) Pikat 2 dhe 3 ndryshohen si më poshtë:</w:t>
      </w:r>
    </w:p>
    <w:p w:rsidR="00FA2C87" w:rsidRPr="00BB54DA" w:rsidRDefault="00FA2C87" w:rsidP="00FA2C87">
      <w:pPr>
        <w:widowControl w:val="0"/>
        <w:autoSpaceDE w:val="0"/>
        <w:autoSpaceDN w:val="0"/>
        <w:adjustRightInd w:val="0"/>
        <w:spacing w:after="0" w:line="240" w:lineRule="auto"/>
        <w:rPr>
          <w:rFonts w:ascii="Garamond" w:hAnsi="Garamond"/>
          <w:sz w:val="24"/>
          <w:szCs w:val="24"/>
          <w:lang w:val="sq-AL"/>
        </w:rPr>
      </w:pPr>
      <w:r w:rsidRPr="00BB54DA">
        <w:rPr>
          <w:rFonts w:ascii="Garamond" w:hAnsi="Garamond"/>
          <w:sz w:val="24"/>
          <w:szCs w:val="24"/>
          <w:lang w:val="sq-AL"/>
        </w:rPr>
        <w:tab/>
        <w:t>“2. Baza e taksës së fjetjes në hotel është numri i netëve të qëndruara në hotel.</w:t>
      </w:r>
    </w:p>
    <w:p w:rsidR="00FA2C87" w:rsidRPr="00BB54DA" w:rsidRDefault="00FA2C87" w:rsidP="00FA2C87">
      <w:pPr>
        <w:pStyle w:val="Default"/>
        <w:widowControl w:val="0"/>
        <w:ind w:firstLine="284"/>
        <w:jc w:val="both"/>
        <w:rPr>
          <w:rFonts w:ascii="Garamond" w:eastAsiaTheme="minorHAnsi" w:hAnsi="Garamond"/>
          <w:color w:val="auto"/>
          <w:lang w:val="sq-AL"/>
        </w:rPr>
      </w:pPr>
      <w:r w:rsidRPr="00BB54DA">
        <w:rPr>
          <w:rFonts w:ascii="Garamond" w:hAnsi="Garamond"/>
          <w:color w:val="auto"/>
          <w:lang w:val="sq-AL"/>
        </w:rPr>
        <w:tab/>
        <w:t>3.</w:t>
      </w:r>
      <w:r w:rsidRPr="00BB54DA">
        <w:rPr>
          <w:rFonts w:ascii="Garamond" w:eastAsiaTheme="minorHAnsi" w:hAnsi="Garamond"/>
          <w:color w:val="auto"/>
          <w:lang w:val="sq-AL"/>
        </w:rPr>
        <w:t xml:space="preserve"> Niveli tregues i taksës është sipas aneksit 8 bashkëlidhur këtij ligji.”. </w:t>
      </w:r>
    </w:p>
    <w:p w:rsidR="00FA2C87" w:rsidRPr="00BB54DA" w:rsidRDefault="00FA2C87" w:rsidP="00FA2C87">
      <w:pPr>
        <w:widowControl w:val="0"/>
        <w:autoSpaceDE w:val="0"/>
        <w:autoSpaceDN w:val="0"/>
        <w:adjustRightInd w:val="0"/>
        <w:spacing w:after="0" w:line="240" w:lineRule="auto"/>
        <w:rPr>
          <w:rFonts w:ascii="Garamond" w:hAnsi="Garamond"/>
          <w:sz w:val="24"/>
          <w:szCs w:val="24"/>
          <w:lang w:val="sq-AL"/>
        </w:rPr>
      </w:pPr>
      <w:r w:rsidRPr="00BB54DA">
        <w:rPr>
          <w:rFonts w:ascii="Garamond" w:hAnsi="Garamond"/>
          <w:sz w:val="24"/>
          <w:szCs w:val="24"/>
          <w:lang w:val="sq-AL"/>
        </w:rPr>
        <w:tab/>
        <w:t xml:space="preserve">b) Pika 4 shfuqizohet. </w:t>
      </w:r>
    </w:p>
    <w:p w:rsidR="00FA2C87" w:rsidRPr="00BB54DA" w:rsidRDefault="00FA2C87" w:rsidP="00FA2C87">
      <w:pPr>
        <w:widowControl w:val="0"/>
        <w:spacing w:after="0" w:line="240" w:lineRule="auto"/>
        <w:rPr>
          <w:rFonts w:ascii="Garamond" w:hAnsi="Garamond"/>
          <w:sz w:val="24"/>
          <w:szCs w:val="24"/>
          <w:lang w:val="sq-AL"/>
        </w:rPr>
      </w:pPr>
      <w:r w:rsidRPr="00BB54DA">
        <w:rPr>
          <w:rFonts w:ascii="Garamond" w:hAnsi="Garamond"/>
          <w:sz w:val="24"/>
          <w:szCs w:val="24"/>
          <w:lang w:val="sq-AL"/>
        </w:rPr>
        <w:tab/>
        <w:t xml:space="preserve">c) Pika 5 numërtohet “pika 4” dhe ndryshohet si më poshtë: </w:t>
      </w:r>
      <w:r w:rsidRPr="00BB54DA">
        <w:rPr>
          <w:rFonts w:ascii="Garamond" w:hAnsi="Garamond"/>
          <w:sz w:val="24"/>
          <w:szCs w:val="24"/>
          <w:lang w:val="sq-AL"/>
        </w:rPr>
        <w:tab/>
      </w:r>
    </w:p>
    <w:p w:rsidR="00FA2C87" w:rsidRPr="00BB54DA" w:rsidRDefault="00FA2C87" w:rsidP="00FA2C87">
      <w:pPr>
        <w:widowControl w:val="0"/>
        <w:spacing w:after="0" w:line="240" w:lineRule="auto"/>
        <w:rPr>
          <w:rFonts w:ascii="Garamond" w:hAnsi="Garamond"/>
          <w:sz w:val="24"/>
          <w:szCs w:val="24"/>
          <w:lang w:val="sq-AL"/>
        </w:rPr>
      </w:pPr>
      <w:r w:rsidRPr="00BB54DA">
        <w:rPr>
          <w:rFonts w:ascii="Garamond" w:hAnsi="Garamond"/>
          <w:sz w:val="24"/>
          <w:szCs w:val="24"/>
          <w:lang w:val="sq-AL"/>
        </w:rPr>
        <w:tab/>
        <w:t>“4. Detyrimi për taksën llogaritet si shumëzim i nivelit të taksës së vendosur nga bashkia, për natë qëndrimi, me numrin e netëve të qëndrimit në hotel.”.</w:t>
      </w:r>
    </w:p>
    <w:p w:rsidR="00FA2C87" w:rsidRPr="00BB54DA" w:rsidRDefault="00FA2C87" w:rsidP="00FA2C87">
      <w:pPr>
        <w:pStyle w:val="Default"/>
        <w:widowControl w:val="0"/>
        <w:ind w:firstLine="284"/>
        <w:jc w:val="center"/>
        <w:rPr>
          <w:rFonts w:ascii="Garamond" w:hAnsi="Garamond"/>
          <w:color w:val="auto"/>
          <w:lang w:val="sq-AL"/>
        </w:rPr>
      </w:pPr>
      <w:r w:rsidRPr="00BB54DA">
        <w:rPr>
          <w:rFonts w:ascii="Garamond" w:hAnsi="Garamond"/>
          <w:color w:val="auto"/>
          <w:lang w:val="sq-AL"/>
        </w:rPr>
        <w:t>Neni 14</w:t>
      </w:r>
    </w:p>
    <w:p w:rsidR="00FA2C87" w:rsidRPr="00BB54DA" w:rsidRDefault="00FA2C87" w:rsidP="00FA2C87">
      <w:pPr>
        <w:pStyle w:val="Default"/>
        <w:widowControl w:val="0"/>
        <w:ind w:firstLine="284"/>
        <w:jc w:val="center"/>
        <w:rPr>
          <w:rFonts w:ascii="Garamond" w:hAnsi="Garamond"/>
          <w:color w:val="auto"/>
          <w:sz w:val="14"/>
          <w:lang w:val="sq-AL"/>
        </w:rPr>
      </w:pPr>
    </w:p>
    <w:p w:rsidR="00FA2C87" w:rsidRPr="00BB54DA" w:rsidRDefault="00FA2C87" w:rsidP="00FA2C87">
      <w:pPr>
        <w:pStyle w:val="Default"/>
        <w:widowControl w:val="0"/>
        <w:ind w:firstLine="284"/>
        <w:jc w:val="both"/>
        <w:rPr>
          <w:rFonts w:ascii="Garamond" w:hAnsi="Garamond"/>
          <w:color w:val="auto"/>
          <w:lang w:val="sq-AL"/>
        </w:rPr>
      </w:pPr>
      <w:r w:rsidRPr="00BB54DA">
        <w:rPr>
          <w:rFonts w:ascii="Garamond" w:hAnsi="Garamond"/>
          <w:color w:val="auto"/>
          <w:lang w:val="sq-AL"/>
        </w:rPr>
        <w:tab/>
        <w:t>Neni 27 ndryshohet si më poshtë:</w:t>
      </w:r>
    </w:p>
    <w:p w:rsidR="00FA2C87" w:rsidRPr="00BB54DA" w:rsidRDefault="00FA2C87" w:rsidP="00FA2C87">
      <w:pPr>
        <w:pStyle w:val="Default"/>
        <w:widowControl w:val="0"/>
        <w:ind w:firstLine="284"/>
        <w:jc w:val="both"/>
        <w:rPr>
          <w:rFonts w:ascii="Garamond" w:hAnsi="Garamond"/>
          <w:color w:val="auto"/>
          <w:sz w:val="14"/>
          <w:lang w:val="sq-AL"/>
        </w:rPr>
      </w:pPr>
    </w:p>
    <w:p w:rsidR="00FA2C87" w:rsidRPr="00BB54DA" w:rsidRDefault="00FA2C87" w:rsidP="00FA2C87">
      <w:pPr>
        <w:pStyle w:val="Default"/>
        <w:widowControl w:val="0"/>
        <w:ind w:firstLine="284"/>
        <w:jc w:val="center"/>
        <w:rPr>
          <w:rFonts w:ascii="Garamond" w:eastAsiaTheme="minorHAnsi" w:hAnsi="Garamond"/>
          <w:color w:val="auto"/>
          <w:lang w:val="sq-AL"/>
        </w:rPr>
      </w:pPr>
      <w:r w:rsidRPr="00BB54DA">
        <w:rPr>
          <w:rFonts w:ascii="Garamond" w:eastAsiaTheme="minorHAnsi" w:hAnsi="Garamond"/>
          <w:color w:val="auto"/>
          <w:lang w:val="sq-AL"/>
        </w:rPr>
        <w:t>“Neni 27</w:t>
      </w:r>
    </w:p>
    <w:p w:rsidR="00FA2C87" w:rsidRPr="00BB54DA" w:rsidRDefault="00FA2C87" w:rsidP="00FA2C87">
      <w:pPr>
        <w:widowControl w:val="0"/>
        <w:autoSpaceDE w:val="0"/>
        <w:autoSpaceDN w:val="0"/>
        <w:adjustRightInd w:val="0"/>
        <w:spacing w:after="0" w:line="240" w:lineRule="auto"/>
        <w:jc w:val="center"/>
        <w:rPr>
          <w:rFonts w:ascii="Garamond" w:eastAsiaTheme="minorHAnsi" w:hAnsi="Garamond"/>
          <w:b/>
          <w:sz w:val="24"/>
          <w:szCs w:val="24"/>
          <w:lang w:val="sq-AL"/>
        </w:rPr>
      </w:pPr>
      <w:r w:rsidRPr="00BB54DA">
        <w:rPr>
          <w:rFonts w:ascii="Garamond" w:eastAsiaTheme="minorHAnsi" w:hAnsi="Garamond"/>
          <w:b/>
          <w:sz w:val="24"/>
          <w:szCs w:val="24"/>
          <w:lang w:val="sq-AL"/>
        </w:rPr>
        <w:t>Taksa e ndikimit në infrastrukturë</w:t>
      </w:r>
    </w:p>
    <w:p w:rsidR="00FA2C87" w:rsidRPr="00BB54DA" w:rsidRDefault="00FA2C87" w:rsidP="00FA2C87">
      <w:pPr>
        <w:widowControl w:val="0"/>
        <w:autoSpaceDE w:val="0"/>
        <w:autoSpaceDN w:val="0"/>
        <w:adjustRightInd w:val="0"/>
        <w:spacing w:after="0" w:line="240" w:lineRule="auto"/>
        <w:jc w:val="center"/>
        <w:rPr>
          <w:rFonts w:ascii="Garamond" w:eastAsiaTheme="minorHAnsi" w:hAnsi="Garamond"/>
          <w:sz w:val="14"/>
          <w:szCs w:val="24"/>
          <w:lang w:val="sq-AL"/>
        </w:rPr>
      </w:pPr>
    </w:p>
    <w:p w:rsidR="00FA2C87" w:rsidRPr="00BB54DA" w:rsidRDefault="00FA2C87" w:rsidP="00FA2C87">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sidRPr="00BB54DA">
        <w:rPr>
          <w:rFonts w:ascii="Garamond" w:eastAsiaTheme="minorHAnsi" w:hAnsi="Garamond"/>
          <w:sz w:val="24"/>
          <w:szCs w:val="24"/>
          <w:lang w:val="sq-AL"/>
        </w:rPr>
        <w:tab/>
        <w:t xml:space="preserve">1. Baza e taksës është vlera në lekë e investimit të ri që kërkohet të kryhet ose vlera në lekë e çmimit të shitjes për metër katror të investimit të ri. Klasifikimi si investim i ri përcaktohet në përputhje me legjislacionin në fuqi për dhënien e lejes së ndërtimit. </w:t>
      </w:r>
    </w:p>
    <w:p w:rsidR="00FA2C87" w:rsidRPr="00BB54DA" w:rsidRDefault="00FA2C87" w:rsidP="00FA2C87">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sidRPr="00BB54DA">
        <w:rPr>
          <w:rFonts w:ascii="Garamond" w:eastAsiaTheme="minorHAnsi" w:hAnsi="Garamond"/>
          <w:sz w:val="24"/>
          <w:szCs w:val="24"/>
          <w:lang w:val="sq-AL"/>
        </w:rPr>
        <w:tab/>
        <w:t xml:space="preserve">2. Në rastin e ndërtimeve për qëllime banimi apo njësi shërbimi nga shoqëritë e ndërtimit, të cilat nuk destinohen për përdorim në sektorin e turizmit, industrisë apo përdorim publik, taksa e ndikimit në infrastrukturë është në masën 4 për qind deri 8 për qind të çmimit të shitjes për metër katror. Baza e taksës është vlera në lekë për metër katror e çmimit të shitjes së njësive të shërbimit apo ndërtesave për qëllime banimi. Çmimi i shitjes për metër katror bazohet në vlerën referuese të vlerës së tregut, sipas </w:t>
      </w:r>
      <w:r w:rsidRPr="00BB54DA">
        <w:rPr>
          <w:rFonts w:ascii="Garamond" w:eastAsiaTheme="minorHAnsi" w:hAnsi="Garamond"/>
          <w:sz w:val="24"/>
          <w:szCs w:val="24"/>
          <w:lang w:val="sq-AL"/>
        </w:rPr>
        <w:lastRenderedPageBreak/>
        <w:t xml:space="preserve">përcaktimeve në udhëzimin e Këshillit të Ministrave, “Për miratimin e kostos mesatare të ndërtimit të banesave nga Enti Kombëtar i Banesave”, që miratohet çdo vit. </w:t>
      </w:r>
    </w:p>
    <w:p w:rsidR="00FA2C87" w:rsidRPr="00BB54DA" w:rsidRDefault="00FA2C87" w:rsidP="00FA2C87">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sidRPr="00BB54DA">
        <w:rPr>
          <w:rFonts w:ascii="Garamond" w:eastAsiaTheme="minorHAnsi" w:hAnsi="Garamond"/>
          <w:sz w:val="24"/>
          <w:szCs w:val="24"/>
          <w:lang w:val="sq-AL"/>
        </w:rPr>
        <w:tab/>
        <w:t xml:space="preserve">3. Në rastin e ndërtimeve të ndryshme nga ato të përcaktuara në pikën 2, të këtij neni, niveli i taksës shprehet si përqindje e vlerës së investimit dhe është 1 deri në 3 për qind e kësaj vlere, ndërsa për Bashkinë e Tiranës është 2 deri 4 për qind e saj. </w:t>
      </w:r>
    </w:p>
    <w:p w:rsidR="00FA2C87" w:rsidRPr="00BB54DA" w:rsidRDefault="00FA2C87" w:rsidP="00FA2C87">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sidRPr="00BB54DA">
        <w:rPr>
          <w:rFonts w:ascii="Garamond" w:eastAsiaTheme="minorHAnsi" w:hAnsi="Garamond"/>
          <w:sz w:val="24"/>
          <w:szCs w:val="24"/>
          <w:lang w:val="sq-AL"/>
        </w:rPr>
        <w:tab/>
        <w:t xml:space="preserve">Për projektet e infrastrukturës, për ndërtimin e rrugëve kombëtare, të porteve, aeroporteve, tuneleve, digave, ndërtimit të infrastrukturës në energji, përfshirë makineritë dhe pajisjet për këto projekte, taksa e ndikimit në infrastrukturë të ndërtimeve të reja është 0,1 për qind e vlerës së investimit, por jo më pak se kostoja e rehabilitimit të infrastrukturës së dëmtuar, kur kjo kosto nuk është përfshirë në preventivin e investimit. </w:t>
      </w:r>
    </w:p>
    <w:p w:rsidR="00FA2C87" w:rsidRPr="00BB54DA" w:rsidRDefault="00FA2C87" w:rsidP="00FA2C87">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sidRPr="00BB54DA">
        <w:rPr>
          <w:rFonts w:ascii="Garamond" w:eastAsiaTheme="minorHAnsi" w:hAnsi="Garamond"/>
          <w:sz w:val="24"/>
          <w:szCs w:val="24"/>
          <w:lang w:val="sq-AL"/>
        </w:rPr>
        <w:tab/>
        <w:t xml:space="preserve">Për ndërtesat, të cilat janë në proces legalizimi, taksa e ndikimit në infrastrukturë e ndërtimeve të reja është 0,5 për qind e vlerës së investimit. </w:t>
      </w:r>
    </w:p>
    <w:p w:rsidR="00FA2C87" w:rsidRPr="00BB54DA" w:rsidRDefault="00FA2C87" w:rsidP="00FA2C87">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sidRPr="00BB54DA">
        <w:rPr>
          <w:rFonts w:ascii="Garamond" w:eastAsiaTheme="minorHAnsi" w:hAnsi="Garamond"/>
          <w:sz w:val="24"/>
          <w:szCs w:val="24"/>
          <w:lang w:val="sq-AL"/>
        </w:rPr>
        <w:tab/>
        <w:t xml:space="preserve">4. Këshilli bashkiak miraton kategori dhe nënkategori për klasifikimin e investimeve, të cilat mund të përdoren për vendosjen e nivelit të taksës. </w:t>
      </w:r>
    </w:p>
    <w:p w:rsidR="00FA2C87" w:rsidRPr="00BB54DA" w:rsidRDefault="00FA2C87" w:rsidP="00FA2C87">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sidRPr="00BB54DA">
        <w:rPr>
          <w:rFonts w:ascii="Garamond" w:eastAsiaTheme="minorHAnsi" w:hAnsi="Garamond"/>
          <w:sz w:val="24"/>
          <w:szCs w:val="24"/>
          <w:lang w:val="sq-AL"/>
        </w:rPr>
        <w:tab/>
        <w:t xml:space="preserve">5. Detyrimi për pagesën e taksës i takon investitorit. E ardhura nga taksa, për çdo rast, mblidhet nga organi që lëshon lejen e ndërtimit dhe arkëtohet, për çdo rast, për llogari të bashkisë, që mbulon territorin ku do të bëhet investimi. </w:t>
      </w:r>
    </w:p>
    <w:p w:rsidR="00FA2C87" w:rsidRPr="00BB54DA" w:rsidRDefault="00FA2C87" w:rsidP="00FA2C87">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sidRPr="00BB54DA">
        <w:rPr>
          <w:rFonts w:ascii="Garamond" w:eastAsiaTheme="minorHAnsi" w:hAnsi="Garamond"/>
          <w:sz w:val="24"/>
          <w:szCs w:val="24"/>
          <w:lang w:val="sq-AL"/>
        </w:rPr>
        <w:tab/>
        <w:t>6. Nëse objekti, për të cilin do të bëhet investimi, shtrihet në territorin e më shumë se një bashkie ose kur objekti ndikon në infrastrukturën e një bashkie tjetër, të ardhurat nga taksa ndahen proporcionalisht ndërmjet tyre, në përputhje me raportet përkatëse të shtrirjes së objektit dhe të ndikimit të investimit në infrastrukturën e secilës bashki.”.</w:t>
      </w:r>
    </w:p>
    <w:p w:rsidR="00FA2C87" w:rsidRPr="00BB54DA" w:rsidRDefault="00FA2C87" w:rsidP="00FA2C87">
      <w:pPr>
        <w:pStyle w:val="ListParagraph"/>
        <w:widowControl w:val="0"/>
        <w:spacing w:after="0" w:line="240" w:lineRule="auto"/>
        <w:ind w:left="0" w:firstLine="284"/>
        <w:rPr>
          <w:rFonts w:ascii="Garamond" w:eastAsiaTheme="minorHAnsi" w:hAnsi="Garamond"/>
          <w:sz w:val="14"/>
          <w:szCs w:val="24"/>
          <w:lang w:val="sq-AL"/>
        </w:rPr>
      </w:pPr>
    </w:p>
    <w:p w:rsidR="00FA2C87" w:rsidRPr="00BB54DA" w:rsidRDefault="00FA2C87" w:rsidP="00FA2C87">
      <w:pPr>
        <w:widowControl w:val="0"/>
        <w:autoSpaceDE w:val="0"/>
        <w:autoSpaceDN w:val="0"/>
        <w:adjustRightInd w:val="0"/>
        <w:spacing w:after="0" w:line="240" w:lineRule="auto"/>
        <w:jc w:val="center"/>
        <w:rPr>
          <w:rFonts w:ascii="Garamond" w:eastAsiaTheme="minorHAnsi" w:hAnsi="Garamond"/>
          <w:bCs/>
          <w:sz w:val="24"/>
          <w:szCs w:val="24"/>
          <w:lang w:val="sq-AL"/>
        </w:rPr>
      </w:pPr>
      <w:r w:rsidRPr="00BB54DA">
        <w:rPr>
          <w:rFonts w:ascii="Garamond" w:eastAsiaTheme="minorHAnsi" w:hAnsi="Garamond"/>
          <w:bCs/>
          <w:sz w:val="24"/>
          <w:szCs w:val="24"/>
          <w:lang w:val="sq-AL"/>
        </w:rPr>
        <w:t xml:space="preserve">Neni 15 </w:t>
      </w:r>
    </w:p>
    <w:p w:rsidR="00FA2C87" w:rsidRPr="00BB54DA" w:rsidRDefault="00FA2C87" w:rsidP="00FA2C87">
      <w:pPr>
        <w:widowControl w:val="0"/>
        <w:autoSpaceDE w:val="0"/>
        <w:autoSpaceDN w:val="0"/>
        <w:adjustRightInd w:val="0"/>
        <w:spacing w:after="0" w:line="240" w:lineRule="auto"/>
        <w:jc w:val="center"/>
        <w:rPr>
          <w:rFonts w:ascii="Garamond" w:eastAsiaTheme="minorHAnsi" w:hAnsi="Garamond"/>
          <w:sz w:val="14"/>
          <w:szCs w:val="24"/>
          <w:lang w:val="sq-AL"/>
        </w:rPr>
      </w:pPr>
    </w:p>
    <w:p w:rsidR="00FA2C87" w:rsidRPr="00BB54DA" w:rsidRDefault="00FA2C87" w:rsidP="00FA2C87">
      <w:pPr>
        <w:widowControl w:val="0"/>
        <w:autoSpaceDE w:val="0"/>
        <w:autoSpaceDN w:val="0"/>
        <w:adjustRightInd w:val="0"/>
        <w:spacing w:after="0" w:line="240" w:lineRule="auto"/>
        <w:rPr>
          <w:rFonts w:ascii="Garamond" w:eastAsiaTheme="minorHAnsi" w:hAnsi="Garamond"/>
          <w:sz w:val="24"/>
          <w:szCs w:val="24"/>
          <w:lang w:val="sq-AL"/>
        </w:rPr>
      </w:pPr>
      <w:r w:rsidRPr="00BB54DA">
        <w:rPr>
          <w:rFonts w:ascii="Garamond" w:eastAsiaTheme="minorHAnsi" w:hAnsi="Garamond"/>
          <w:sz w:val="24"/>
          <w:szCs w:val="24"/>
          <w:lang w:val="sq-AL"/>
        </w:rPr>
        <w:tab/>
        <w:t>Neni 32, “Taksa të tjera”, ndryshohet si më poshtë:</w:t>
      </w:r>
    </w:p>
    <w:p w:rsidR="00FA2C87" w:rsidRPr="00BB54DA" w:rsidRDefault="00FA2C87" w:rsidP="00FA2C87">
      <w:pPr>
        <w:widowControl w:val="0"/>
        <w:autoSpaceDE w:val="0"/>
        <w:autoSpaceDN w:val="0"/>
        <w:adjustRightInd w:val="0"/>
        <w:spacing w:after="0" w:line="240" w:lineRule="auto"/>
        <w:jc w:val="center"/>
        <w:rPr>
          <w:rFonts w:ascii="Garamond" w:eastAsiaTheme="minorHAnsi" w:hAnsi="Garamond"/>
          <w:sz w:val="24"/>
          <w:szCs w:val="24"/>
          <w:lang w:val="sq-AL"/>
        </w:rPr>
      </w:pPr>
      <w:r w:rsidRPr="00BB54DA">
        <w:rPr>
          <w:rFonts w:ascii="Garamond" w:eastAsiaTheme="minorHAnsi" w:hAnsi="Garamond"/>
          <w:sz w:val="24"/>
          <w:szCs w:val="24"/>
          <w:lang w:val="sq-AL"/>
        </w:rPr>
        <w:t>“Neni 32</w:t>
      </w:r>
    </w:p>
    <w:p w:rsidR="00FA2C87" w:rsidRPr="00BB54DA" w:rsidRDefault="00FA2C87" w:rsidP="00FA2C87">
      <w:pPr>
        <w:widowControl w:val="0"/>
        <w:autoSpaceDE w:val="0"/>
        <w:autoSpaceDN w:val="0"/>
        <w:adjustRightInd w:val="0"/>
        <w:spacing w:after="0" w:line="240" w:lineRule="auto"/>
        <w:rPr>
          <w:rFonts w:ascii="Garamond" w:eastAsiaTheme="minorHAnsi" w:hAnsi="Garamond"/>
          <w:sz w:val="14"/>
          <w:szCs w:val="24"/>
          <w:lang w:val="sq-AL"/>
        </w:rPr>
      </w:pPr>
    </w:p>
    <w:p w:rsidR="00FA2C87" w:rsidRPr="00BB54DA" w:rsidRDefault="00FA2C87" w:rsidP="00FA2C87">
      <w:pPr>
        <w:widowControl w:val="0"/>
        <w:autoSpaceDE w:val="0"/>
        <w:autoSpaceDN w:val="0"/>
        <w:adjustRightInd w:val="0"/>
        <w:spacing w:after="0" w:line="240" w:lineRule="auto"/>
        <w:rPr>
          <w:rFonts w:ascii="Garamond" w:eastAsiaTheme="minorHAnsi" w:hAnsi="Garamond"/>
          <w:sz w:val="24"/>
          <w:szCs w:val="24"/>
          <w:lang w:val="sq-AL"/>
        </w:rPr>
      </w:pPr>
      <w:r w:rsidRPr="00BB54DA">
        <w:rPr>
          <w:rFonts w:ascii="Garamond" w:eastAsiaTheme="minorHAnsi" w:hAnsi="Garamond"/>
          <w:sz w:val="24"/>
          <w:szCs w:val="24"/>
          <w:lang w:val="sq-AL"/>
        </w:rPr>
        <w:tab/>
        <w:t xml:space="preserve">Këshilli bashkiak cakton bazën dhe nivelin e taksës së tabelës.”. </w:t>
      </w:r>
    </w:p>
    <w:p w:rsidR="00FA2C87" w:rsidRPr="00BB54DA" w:rsidRDefault="00FA2C87" w:rsidP="00FA2C87">
      <w:pPr>
        <w:widowControl w:val="0"/>
        <w:autoSpaceDE w:val="0"/>
        <w:autoSpaceDN w:val="0"/>
        <w:adjustRightInd w:val="0"/>
        <w:spacing w:after="0" w:line="240" w:lineRule="auto"/>
        <w:jc w:val="center"/>
        <w:rPr>
          <w:rFonts w:ascii="Garamond" w:eastAsiaTheme="minorHAnsi" w:hAnsi="Garamond"/>
          <w:bCs/>
          <w:sz w:val="24"/>
          <w:szCs w:val="24"/>
          <w:lang w:val="sq-AL"/>
        </w:rPr>
      </w:pPr>
      <w:r w:rsidRPr="00BB54DA">
        <w:rPr>
          <w:rFonts w:ascii="Garamond" w:eastAsiaTheme="minorHAnsi" w:hAnsi="Garamond"/>
          <w:bCs/>
          <w:sz w:val="24"/>
          <w:szCs w:val="24"/>
          <w:lang w:val="sq-AL"/>
        </w:rPr>
        <w:t>Neni 16</w:t>
      </w:r>
    </w:p>
    <w:p w:rsidR="00FA2C87" w:rsidRPr="00BB54DA" w:rsidRDefault="00FA2C87" w:rsidP="00FA2C87">
      <w:pPr>
        <w:widowControl w:val="0"/>
        <w:autoSpaceDE w:val="0"/>
        <w:autoSpaceDN w:val="0"/>
        <w:adjustRightInd w:val="0"/>
        <w:spacing w:after="0" w:line="240" w:lineRule="auto"/>
        <w:jc w:val="center"/>
        <w:rPr>
          <w:rFonts w:ascii="Garamond" w:eastAsiaTheme="minorHAnsi" w:hAnsi="Garamond"/>
          <w:sz w:val="16"/>
          <w:szCs w:val="24"/>
          <w:lang w:val="sq-AL"/>
        </w:rPr>
      </w:pPr>
    </w:p>
    <w:p w:rsidR="00FA2C87" w:rsidRPr="00BB54DA" w:rsidRDefault="00FA2C87" w:rsidP="00FA2C87">
      <w:pPr>
        <w:widowControl w:val="0"/>
        <w:autoSpaceDE w:val="0"/>
        <w:autoSpaceDN w:val="0"/>
        <w:adjustRightInd w:val="0"/>
        <w:spacing w:after="0" w:line="240" w:lineRule="auto"/>
        <w:rPr>
          <w:rFonts w:ascii="Garamond" w:eastAsiaTheme="minorHAnsi" w:hAnsi="Garamond"/>
          <w:sz w:val="24"/>
          <w:szCs w:val="24"/>
          <w:lang w:val="sq-AL"/>
        </w:rPr>
      </w:pPr>
      <w:r w:rsidRPr="00BB54DA">
        <w:rPr>
          <w:rFonts w:ascii="Garamond" w:eastAsiaTheme="minorHAnsi" w:hAnsi="Garamond"/>
          <w:sz w:val="24"/>
          <w:szCs w:val="24"/>
          <w:lang w:val="sq-AL"/>
        </w:rPr>
        <w:tab/>
        <w:t xml:space="preserve">Në nenin 35, “Tarifat vendore dhe administrimi i tyre”, pika 1, pas shkronjës “b” shtohet shkronja “c” me këtë përmbajtje: </w:t>
      </w:r>
    </w:p>
    <w:p w:rsidR="00FA2C87" w:rsidRPr="00BB54DA" w:rsidRDefault="00FA2C87" w:rsidP="00FA2C87">
      <w:pPr>
        <w:widowControl w:val="0"/>
        <w:autoSpaceDE w:val="0"/>
        <w:autoSpaceDN w:val="0"/>
        <w:adjustRightInd w:val="0"/>
        <w:spacing w:after="0" w:line="240" w:lineRule="auto"/>
        <w:rPr>
          <w:rFonts w:ascii="Garamond" w:eastAsiaTheme="minorHAnsi" w:hAnsi="Garamond"/>
          <w:sz w:val="24"/>
          <w:szCs w:val="24"/>
          <w:lang w:val="sq-AL"/>
        </w:rPr>
      </w:pPr>
      <w:r w:rsidRPr="00BB54DA">
        <w:rPr>
          <w:rFonts w:ascii="Garamond" w:eastAsiaTheme="minorHAnsi" w:hAnsi="Garamond"/>
          <w:sz w:val="24"/>
          <w:szCs w:val="24"/>
          <w:lang w:val="sq-AL"/>
        </w:rPr>
        <w:tab/>
        <w:t xml:space="preserve">“c) paguhet për zënien e hapësirave publike për qëllime biznesi. Tarifa llogaritet si </w:t>
      </w:r>
      <w:r w:rsidRPr="00BB54DA">
        <w:rPr>
          <w:rFonts w:ascii="Garamond" w:eastAsiaTheme="minorHAnsi" w:hAnsi="Garamond"/>
          <w:sz w:val="24"/>
          <w:szCs w:val="24"/>
          <w:lang w:val="sq-AL"/>
        </w:rPr>
        <w:lastRenderedPageBreak/>
        <w:t xml:space="preserve">detyrim mujor i tatimpaguesit. Këshilli Bashkiak vendos për nivelin, rregullat bazë për administrimin dhe mbledhjen e kësaj tarife, si dhe mund të caktojë nivele të ndryshme të kësaj tarife, sipas nivelit të zhvillimit të veprimtarisë së biznesit në zona të ndryshme të qendrës së banuar. </w:t>
      </w:r>
    </w:p>
    <w:p w:rsidR="00FA2C87" w:rsidRPr="00BB54DA" w:rsidRDefault="00FA2C87" w:rsidP="00FA2C87">
      <w:pPr>
        <w:pStyle w:val="Default"/>
        <w:widowControl w:val="0"/>
        <w:ind w:firstLine="284"/>
        <w:jc w:val="both"/>
        <w:rPr>
          <w:rFonts w:ascii="Garamond" w:hAnsi="Garamond"/>
          <w:b/>
          <w:color w:val="auto"/>
          <w:lang w:val="sq-AL"/>
        </w:rPr>
      </w:pPr>
      <w:r w:rsidRPr="00BB54DA">
        <w:rPr>
          <w:rFonts w:ascii="Garamond" w:eastAsiaTheme="minorHAnsi" w:hAnsi="Garamond"/>
          <w:color w:val="auto"/>
          <w:lang w:val="sq-AL"/>
        </w:rPr>
        <w:tab/>
        <w:t xml:space="preserve">Tarifa për zënien e hapësirës publike nuk zbatohet për hapësirat që nuk janë në pronësi dhe nën administrimin e pushtetit vendor.”. </w:t>
      </w:r>
    </w:p>
    <w:p w:rsidR="00FA2C87" w:rsidRPr="00C57F84" w:rsidRDefault="00FA2C87" w:rsidP="00FA2C87">
      <w:pPr>
        <w:pStyle w:val="Default"/>
        <w:widowControl w:val="0"/>
        <w:ind w:firstLine="284"/>
        <w:jc w:val="center"/>
        <w:rPr>
          <w:rFonts w:ascii="Garamond" w:hAnsi="Garamond"/>
          <w:color w:val="auto"/>
          <w:sz w:val="14"/>
          <w:lang w:val="sq-AL"/>
        </w:rPr>
      </w:pPr>
    </w:p>
    <w:p w:rsidR="00FA2C87" w:rsidRPr="00BB54DA" w:rsidRDefault="00FA2C87" w:rsidP="00FA2C87">
      <w:pPr>
        <w:pStyle w:val="Default"/>
        <w:widowControl w:val="0"/>
        <w:ind w:firstLine="284"/>
        <w:jc w:val="center"/>
        <w:rPr>
          <w:rFonts w:ascii="Garamond" w:hAnsi="Garamond"/>
          <w:color w:val="auto"/>
          <w:lang w:val="sq-AL"/>
        </w:rPr>
      </w:pPr>
      <w:r w:rsidRPr="00BB54DA">
        <w:rPr>
          <w:rFonts w:ascii="Garamond" w:hAnsi="Garamond"/>
          <w:color w:val="auto"/>
          <w:lang w:val="sq-AL"/>
        </w:rPr>
        <w:t>Neni 17</w:t>
      </w:r>
    </w:p>
    <w:p w:rsidR="00FA2C87" w:rsidRPr="00BB54DA" w:rsidRDefault="00FA2C87" w:rsidP="00FA2C87">
      <w:pPr>
        <w:pStyle w:val="Default"/>
        <w:widowControl w:val="0"/>
        <w:ind w:firstLine="284"/>
        <w:jc w:val="both"/>
        <w:rPr>
          <w:rFonts w:ascii="Garamond" w:hAnsi="Garamond"/>
          <w:color w:val="auto"/>
          <w:sz w:val="14"/>
          <w:lang w:val="sq-AL"/>
        </w:rPr>
      </w:pPr>
    </w:p>
    <w:p w:rsidR="00FA2C87" w:rsidRPr="00BB54DA" w:rsidRDefault="00FA2C87" w:rsidP="00FA2C87">
      <w:pPr>
        <w:pStyle w:val="Default"/>
        <w:widowControl w:val="0"/>
        <w:ind w:firstLine="284"/>
        <w:jc w:val="both"/>
        <w:rPr>
          <w:rFonts w:ascii="Garamond" w:hAnsi="Garamond"/>
          <w:color w:val="auto"/>
          <w:lang w:val="sq-AL"/>
        </w:rPr>
      </w:pPr>
      <w:r w:rsidRPr="00BB54DA">
        <w:rPr>
          <w:rFonts w:ascii="Garamond" w:hAnsi="Garamond"/>
          <w:color w:val="auto"/>
          <w:lang w:val="sq-AL"/>
        </w:rPr>
        <w:tab/>
        <w:t>1. Anekset nr. 1, 3 dhe 6 zëvendësohen me anekset nr. 1, 3 dhe 6, që i bashkëlidhen këtij ligji dhe janë pjesë përbërëse e tij.</w:t>
      </w:r>
    </w:p>
    <w:p w:rsidR="00FA2C87" w:rsidRPr="00BB54DA" w:rsidRDefault="00FA2C87" w:rsidP="00FA2C87">
      <w:pPr>
        <w:pStyle w:val="Default"/>
        <w:widowControl w:val="0"/>
        <w:ind w:firstLine="284"/>
        <w:jc w:val="both"/>
        <w:rPr>
          <w:rFonts w:ascii="Garamond" w:hAnsi="Garamond"/>
          <w:color w:val="auto"/>
          <w:lang w:val="sq-AL"/>
        </w:rPr>
      </w:pPr>
      <w:r w:rsidRPr="00BB54DA">
        <w:rPr>
          <w:rFonts w:ascii="Garamond" w:hAnsi="Garamond"/>
          <w:color w:val="auto"/>
          <w:lang w:val="sq-AL"/>
        </w:rPr>
        <w:tab/>
        <w:t>2. Pas aneksit nr. 2 shtohet aneksi nr. 2.1, që i bashkëlidhet këtij ligji dhe është pjesë përbërëse e tij.</w:t>
      </w:r>
    </w:p>
    <w:p w:rsidR="00FA2C87" w:rsidRPr="00BB54DA" w:rsidRDefault="00FA2C87" w:rsidP="00FA2C87">
      <w:pPr>
        <w:pStyle w:val="Default"/>
        <w:widowControl w:val="0"/>
        <w:ind w:firstLine="284"/>
        <w:jc w:val="both"/>
        <w:rPr>
          <w:rFonts w:ascii="Garamond" w:hAnsi="Garamond"/>
          <w:color w:val="auto"/>
          <w:lang w:val="sq-AL"/>
        </w:rPr>
      </w:pPr>
      <w:r w:rsidRPr="00BB54DA">
        <w:rPr>
          <w:rFonts w:ascii="Garamond" w:hAnsi="Garamond"/>
          <w:color w:val="auto"/>
          <w:lang w:val="sq-AL"/>
        </w:rPr>
        <w:tab/>
        <w:t xml:space="preserve">3. Pas aneksit nr. 6 shtohen anekset nr. 7 dhe 8, që i bashkëlidhen këtij ligji dhe janë pjesë përbërëse e tij. </w:t>
      </w:r>
    </w:p>
    <w:p w:rsidR="00FA2C87" w:rsidRPr="00BB54DA" w:rsidRDefault="00FA2C87" w:rsidP="00FA2C87">
      <w:pPr>
        <w:pStyle w:val="Default"/>
        <w:widowControl w:val="0"/>
        <w:ind w:firstLine="284"/>
        <w:jc w:val="center"/>
        <w:rPr>
          <w:rFonts w:ascii="Garamond" w:hAnsi="Garamond"/>
          <w:color w:val="auto"/>
          <w:lang w:val="sq-AL"/>
        </w:rPr>
      </w:pPr>
      <w:r w:rsidRPr="00BB54DA">
        <w:rPr>
          <w:rFonts w:ascii="Garamond" w:hAnsi="Garamond"/>
          <w:color w:val="auto"/>
          <w:lang w:val="sq-AL"/>
        </w:rPr>
        <w:t>Neni 18</w:t>
      </w:r>
    </w:p>
    <w:p w:rsidR="00FA2C87" w:rsidRPr="00BB54DA" w:rsidRDefault="00FA2C87" w:rsidP="00FA2C87">
      <w:pPr>
        <w:pStyle w:val="Default"/>
        <w:widowControl w:val="0"/>
        <w:ind w:firstLine="284"/>
        <w:jc w:val="both"/>
        <w:rPr>
          <w:rFonts w:ascii="Garamond" w:hAnsi="Garamond"/>
          <w:color w:val="auto"/>
          <w:sz w:val="14"/>
          <w:lang w:val="sq-AL"/>
        </w:rPr>
      </w:pPr>
    </w:p>
    <w:p w:rsidR="00FA2C87" w:rsidRPr="00BB54DA" w:rsidRDefault="00FA2C87" w:rsidP="00FA2C87">
      <w:pPr>
        <w:pStyle w:val="Default"/>
        <w:widowControl w:val="0"/>
        <w:ind w:firstLine="284"/>
        <w:jc w:val="both"/>
        <w:rPr>
          <w:rStyle w:val="Strong"/>
          <w:rFonts w:ascii="Garamond" w:hAnsi="Garamond"/>
          <w:b w:val="0"/>
          <w:bCs w:val="0"/>
          <w:color w:val="auto"/>
          <w:lang w:val="sq-AL"/>
        </w:rPr>
      </w:pPr>
      <w:r w:rsidRPr="00BB54DA">
        <w:rPr>
          <w:rFonts w:ascii="Garamond" w:hAnsi="Garamond"/>
          <w:color w:val="auto"/>
          <w:lang w:val="sq-AL"/>
        </w:rPr>
        <w:tab/>
        <w:t xml:space="preserve">Ky ligj botohet në Fletoren Zyrtare dhe hyn në fuqi më 1 janar 2016. </w:t>
      </w:r>
    </w:p>
    <w:p w:rsidR="00FA2C87" w:rsidRPr="00BB54DA" w:rsidRDefault="00FA2C87" w:rsidP="00FA2C87">
      <w:pPr>
        <w:widowControl w:val="0"/>
        <w:spacing w:after="0" w:line="240" w:lineRule="auto"/>
        <w:rPr>
          <w:rStyle w:val="Strong"/>
          <w:rFonts w:ascii="Garamond" w:hAnsi="Garamond"/>
          <w:bCs w:val="0"/>
          <w:sz w:val="16"/>
          <w:szCs w:val="24"/>
          <w:lang w:val="sq-AL"/>
        </w:rPr>
      </w:pPr>
    </w:p>
    <w:p w:rsidR="00FA2C87" w:rsidRPr="00BB54DA" w:rsidRDefault="00FA2C87" w:rsidP="00FA2C87">
      <w:pPr>
        <w:widowControl w:val="0"/>
        <w:spacing w:after="0" w:line="240" w:lineRule="auto"/>
        <w:rPr>
          <w:rFonts w:ascii="Garamond" w:hAnsi="Garamond"/>
          <w:sz w:val="24"/>
          <w:szCs w:val="24"/>
          <w:lang w:val="sq-AL"/>
        </w:rPr>
      </w:pPr>
      <w:r w:rsidRPr="00BB54DA">
        <w:rPr>
          <w:rFonts w:ascii="Garamond" w:hAnsi="Garamond"/>
          <w:sz w:val="24"/>
          <w:szCs w:val="24"/>
          <w:lang w:val="sq-AL"/>
        </w:rPr>
        <w:t>Miratuar në datën 17.12.2015</w:t>
      </w:r>
    </w:p>
    <w:p w:rsidR="00FA2C87" w:rsidRPr="00BB54DA" w:rsidRDefault="00FA2C87" w:rsidP="00FA2C87">
      <w:pPr>
        <w:widowControl w:val="0"/>
        <w:spacing w:after="0" w:line="240" w:lineRule="auto"/>
        <w:rPr>
          <w:rFonts w:ascii="Garamond" w:hAnsi="Garamond"/>
          <w:sz w:val="14"/>
          <w:szCs w:val="24"/>
          <w:lang w:val="sq-AL"/>
        </w:rPr>
      </w:pPr>
    </w:p>
    <w:p w:rsidR="00FA2C87" w:rsidRPr="00BB54DA" w:rsidRDefault="00FA2C87" w:rsidP="00FA2C87">
      <w:pPr>
        <w:widowControl w:val="0"/>
        <w:shd w:val="clear" w:color="auto" w:fill="FFFFFF"/>
        <w:spacing w:after="0" w:line="240" w:lineRule="auto"/>
        <w:jc w:val="right"/>
        <w:rPr>
          <w:rFonts w:ascii="Garamond" w:hAnsi="Garamond"/>
          <w:bCs/>
          <w:sz w:val="24"/>
          <w:szCs w:val="24"/>
          <w:lang w:val="sq-AL"/>
        </w:rPr>
      </w:pPr>
      <w:r w:rsidRPr="00BB54DA">
        <w:rPr>
          <w:rFonts w:ascii="Garamond" w:hAnsi="Garamond"/>
          <w:bCs/>
          <w:sz w:val="24"/>
          <w:szCs w:val="24"/>
          <w:lang w:val="sq-AL"/>
        </w:rPr>
        <w:t>KRYETARI</w:t>
      </w:r>
    </w:p>
    <w:p w:rsidR="00FA2C87" w:rsidRPr="00BB54DA" w:rsidRDefault="00FA2C87" w:rsidP="00FA2C87">
      <w:pPr>
        <w:widowControl w:val="0"/>
        <w:shd w:val="clear" w:color="auto" w:fill="FFFFFF"/>
        <w:spacing w:after="0" w:line="240" w:lineRule="auto"/>
        <w:jc w:val="right"/>
        <w:rPr>
          <w:rFonts w:ascii="Garamond" w:hAnsi="Garamond"/>
          <w:b/>
          <w:bCs/>
          <w:sz w:val="24"/>
          <w:szCs w:val="24"/>
          <w:lang w:val="sq-AL"/>
        </w:rPr>
      </w:pPr>
      <w:r w:rsidRPr="00BB54DA">
        <w:rPr>
          <w:rFonts w:ascii="Garamond" w:hAnsi="Garamond"/>
          <w:b/>
          <w:bCs/>
          <w:sz w:val="24"/>
          <w:szCs w:val="24"/>
          <w:lang w:val="sq-AL"/>
        </w:rPr>
        <w:t>Ilir Meta</w:t>
      </w:r>
    </w:p>
    <w:p w:rsidR="00FA2C87" w:rsidRDefault="00FA2C87" w:rsidP="00FA2C87">
      <w:pPr>
        <w:widowControl w:val="0"/>
        <w:ind w:firstLine="0"/>
        <w:jc w:val="center"/>
        <w:rPr>
          <w:lang w:val="sq-AL"/>
        </w:rPr>
        <w:sectPr w:rsidR="00FA2C87" w:rsidSect="00FA2C87">
          <w:pgSz w:w="11907" w:h="16840" w:code="9"/>
          <w:pgMar w:top="720" w:right="1134" w:bottom="720" w:left="1134" w:header="851" w:footer="851" w:gutter="0"/>
          <w:cols w:num="2" w:space="454"/>
          <w:docGrid w:linePitch="360"/>
        </w:sectPr>
      </w:pPr>
    </w:p>
    <w:p w:rsidR="00C038B6" w:rsidRDefault="00FA2C87"/>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C87"/>
    <w:rsid w:val="002D1BDF"/>
    <w:rsid w:val="00462D66"/>
    <w:rsid w:val="00FA2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C87"/>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A2C87"/>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A2C87"/>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A2C87"/>
    <w:rPr>
      <w:rFonts w:ascii="Garamond" w:eastAsia="MS Mincho" w:hAnsi="Garamond" w:cs="CG Times"/>
      <w:b/>
      <w:bCs/>
      <w:sz w:val="24"/>
      <w:lang w:val="en-GB"/>
    </w:rPr>
  </w:style>
  <w:style w:type="paragraph" w:customStyle="1" w:styleId="Paragrafi">
    <w:name w:val="Paragrafi"/>
    <w:link w:val="ParagrafiChar"/>
    <w:rsid w:val="00FA2C8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A2C87"/>
    <w:rPr>
      <w:rFonts w:ascii="Garamond" w:eastAsia="MS Mincho" w:hAnsi="Garamond" w:cs="CG Times"/>
      <w:sz w:val="24"/>
    </w:rPr>
  </w:style>
  <w:style w:type="character" w:customStyle="1" w:styleId="AktiChar">
    <w:name w:val="Akti Char"/>
    <w:basedOn w:val="DefaultParagraphFont"/>
    <w:link w:val="Akti"/>
    <w:rsid w:val="00FA2C87"/>
    <w:rPr>
      <w:rFonts w:ascii="Garamond" w:eastAsia="MS Mincho" w:hAnsi="Garamond" w:cs="CG Times"/>
      <w:b/>
      <w:bCs/>
      <w:caps/>
      <w:color w:val="000000"/>
      <w:sz w:val="24"/>
      <w:lang w:val="en-GB"/>
    </w:rPr>
  </w:style>
  <w:style w:type="paragraph" w:customStyle="1" w:styleId="Titull-Titull">
    <w:name w:val="Titull-Titull"/>
    <w:basedOn w:val="Paragrafi"/>
    <w:qFormat/>
    <w:rsid w:val="00FA2C87"/>
    <w:pPr>
      <w:ind w:firstLine="0"/>
      <w:jc w:val="center"/>
    </w:pPr>
    <w:rPr>
      <w:caps/>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FA2C87"/>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FA2C87"/>
    <w:rPr>
      <w:rFonts w:ascii="Calibri" w:eastAsia="Times New Roman" w:hAnsi="Calibri" w:cs="Times New Roman"/>
    </w:rPr>
  </w:style>
  <w:style w:type="character" w:styleId="Strong">
    <w:name w:val="Strong"/>
    <w:qFormat/>
    <w:rsid w:val="00FA2C87"/>
    <w:rPr>
      <w:b/>
      <w:bCs/>
    </w:rPr>
  </w:style>
  <w:style w:type="paragraph" w:customStyle="1" w:styleId="Default">
    <w:name w:val="Default"/>
    <w:uiPriority w:val="99"/>
    <w:rsid w:val="00FA2C8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C87"/>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A2C87"/>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A2C87"/>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A2C87"/>
    <w:rPr>
      <w:rFonts w:ascii="Garamond" w:eastAsia="MS Mincho" w:hAnsi="Garamond" w:cs="CG Times"/>
      <w:b/>
      <w:bCs/>
      <w:sz w:val="24"/>
      <w:lang w:val="en-GB"/>
    </w:rPr>
  </w:style>
  <w:style w:type="paragraph" w:customStyle="1" w:styleId="Paragrafi">
    <w:name w:val="Paragrafi"/>
    <w:link w:val="ParagrafiChar"/>
    <w:rsid w:val="00FA2C8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A2C87"/>
    <w:rPr>
      <w:rFonts w:ascii="Garamond" w:eastAsia="MS Mincho" w:hAnsi="Garamond" w:cs="CG Times"/>
      <w:sz w:val="24"/>
    </w:rPr>
  </w:style>
  <w:style w:type="character" w:customStyle="1" w:styleId="AktiChar">
    <w:name w:val="Akti Char"/>
    <w:basedOn w:val="DefaultParagraphFont"/>
    <w:link w:val="Akti"/>
    <w:rsid w:val="00FA2C87"/>
    <w:rPr>
      <w:rFonts w:ascii="Garamond" w:eastAsia="MS Mincho" w:hAnsi="Garamond" w:cs="CG Times"/>
      <w:b/>
      <w:bCs/>
      <w:caps/>
      <w:color w:val="000000"/>
      <w:sz w:val="24"/>
      <w:lang w:val="en-GB"/>
    </w:rPr>
  </w:style>
  <w:style w:type="paragraph" w:customStyle="1" w:styleId="Titull-Titull">
    <w:name w:val="Titull-Titull"/>
    <w:basedOn w:val="Paragrafi"/>
    <w:qFormat/>
    <w:rsid w:val="00FA2C87"/>
    <w:pPr>
      <w:ind w:firstLine="0"/>
      <w:jc w:val="center"/>
    </w:pPr>
    <w:rPr>
      <w:caps/>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FA2C87"/>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FA2C87"/>
    <w:rPr>
      <w:rFonts w:ascii="Calibri" w:eastAsia="Times New Roman" w:hAnsi="Calibri" w:cs="Times New Roman"/>
    </w:rPr>
  </w:style>
  <w:style w:type="character" w:styleId="Strong">
    <w:name w:val="Strong"/>
    <w:qFormat/>
    <w:rsid w:val="00FA2C87"/>
    <w:rPr>
      <w:b/>
      <w:bCs/>
    </w:rPr>
  </w:style>
  <w:style w:type="paragraph" w:customStyle="1" w:styleId="Default">
    <w:name w:val="Default"/>
    <w:uiPriority w:val="99"/>
    <w:rsid w:val="00FA2C8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1576</Words>
  <Characters>8985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2016-01-27T11:00:00Z</dcterms:created>
  <dcterms:modified xsi:type="dcterms:W3CDTF">2016-01-27T11:00:00Z</dcterms:modified>
</cp:coreProperties>
</file>