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C90" w:rsidRPr="00B947F4" w:rsidRDefault="00AA6C90" w:rsidP="00AA6C90">
      <w:pPr>
        <w:pStyle w:val="Heading2"/>
        <w:widowControl w:val="0"/>
        <w:tabs>
          <w:tab w:val="left" w:pos="11199"/>
        </w:tabs>
        <w:spacing w:before="0"/>
        <w:ind w:left="0" w:firstLine="0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B947F4">
        <w:rPr>
          <w:rFonts w:ascii="Garamond" w:hAnsi="Garamond"/>
          <w:spacing w:val="-4"/>
          <w:sz w:val="24"/>
          <w:szCs w:val="24"/>
          <w:lang w:val="sq-AL"/>
        </w:rPr>
        <w:t>LIGJ</w:t>
      </w:r>
    </w:p>
    <w:p w:rsidR="00AA6C90" w:rsidRPr="00B947F4" w:rsidRDefault="00AA6C90" w:rsidP="00AA6C90">
      <w:pPr>
        <w:pStyle w:val="Heading1"/>
        <w:keepNext w:val="0"/>
        <w:widowControl w:val="0"/>
        <w:spacing w:before="0" w:after="0"/>
        <w:ind w:left="0" w:firstLine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bookmarkStart w:id="0" w:name="_GoBack"/>
      <w:r w:rsidRPr="00B947F4">
        <w:rPr>
          <w:rFonts w:ascii="Garamond" w:hAnsi="Garamond"/>
          <w:spacing w:val="-4"/>
          <w:sz w:val="24"/>
          <w:szCs w:val="24"/>
          <w:lang w:val="sq-AL"/>
        </w:rPr>
        <w:t>Nr. 154/2015</w:t>
      </w:r>
    </w:p>
    <w:bookmarkEnd w:id="0"/>
    <w:p w:rsidR="00AA6C90" w:rsidRPr="00B947F4" w:rsidRDefault="00AA6C90" w:rsidP="00AA6C90">
      <w:pPr>
        <w:pStyle w:val="Hapesira7"/>
        <w:rPr>
          <w:spacing w:val="-4"/>
          <w:lang w:val="sq-AL"/>
        </w:rPr>
      </w:pPr>
    </w:p>
    <w:p w:rsidR="00AA6C90" w:rsidRPr="00B947F4" w:rsidRDefault="00AA6C90" w:rsidP="00AA6C90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B947F4">
        <w:rPr>
          <w:rFonts w:ascii="Garamond" w:hAnsi="Garamond"/>
          <w:b/>
          <w:bCs/>
          <w:spacing w:val="-4"/>
          <w:sz w:val="24"/>
          <w:szCs w:val="24"/>
          <w:lang w:val="sq-AL"/>
        </w:rPr>
        <w:t xml:space="preserve">PËR </w:t>
      </w:r>
      <w:r w:rsidRPr="00B947F4">
        <w:rPr>
          <w:rFonts w:ascii="Garamond" w:hAnsi="Garamond"/>
          <w:b/>
          <w:spacing w:val="-4"/>
          <w:sz w:val="24"/>
          <w:szCs w:val="24"/>
          <w:lang w:val="sq-AL"/>
        </w:rPr>
        <w:t>DHËNIE AMNISTIE</w:t>
      </w:r>
    </w:p>
    <w:p w:rsidR="00AA6C90" w:rsidRPr="00B947F4" w:rsidRDefault="00AA6C90" w:rsidP="00AA6C90">
      <w:pPr>
        <w:pStyle w:val="Hapesira7"/>
        <w:rPr>
          <w:spacing w:val="-4"/>
          <w:lang w:val="sq-AL"/>
        </w:rPr>
      </w:pP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 xml:space="preserve">Në mbështetje të neneve 81, pikat 1 e 2, shkronja “ë”, dhe 83, pika 1, të Kushtetutës, me propozimin e Këshillit të Ministrave, </w:t>
      </w:r>
    </w:p>
    <w:p w:rsidR="00AA6C90" w:rsidRPr="00B947F4" w:rsidRDefault="00AA6C90" w:rsidP="00AA6C90">
      <w:pPr>
        <w:pStyle w:val="Hapesira7"/>
        <w:rPr>
          <w:spacing w:val="-4"/>
          <w:lang w:val="sq-AL"/>
        </w:rPr>
      </w:pP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jc w:val="center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>KUVENDI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jc w:val="center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>I REPUBLIKËS SË SHQIPËRISË</w:t>
      </w:r>
    </w:p>
    <w:p w:rsidR="00AA6C90" w:rsidRPr="00B947F4" w:rsidRDefault="00AA6C90" w:rsidP="00AA6C90">
      <w:pPr>
        <w:pStyle w:val="Hapesira7"/>
        <w:rPr>
          <w:spacing w:val="-4"/>
          <w:lang w:val="sq-AL"/>
        </w:rPr>
      </w:pP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jc w:val="center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>VENDOSI:</w:t>
      </w:r>
    </w:p>
    <w:p w:rsidR="00AA6C90" w:rsidRPr="00B947F4" w:rsidRDefault="00AA6C90" w:rsidP="00AA6C90">
      <w:pPr>
        <w:pStyle w:val="Hapesira7"/>
        <w:rPr>
          <w:spacing w:val="-4"/>
          <w:sz w:val="10"/>
          <w:lang w:val="sq-AL"/>
        </w:rPr>
      </w:pPr>
    </w:p>
    <w:p w:rsidR="00AA6C90" w:rsidRPr="00B947F4" w:rsidRDefault="00AA6C90" w:rsidP="00AA6C90">
      <w:pPr>
        <w:pStyle w:val="NeniNr"/>
        <w:keepNext w:val="0"/>
        <w:rPr>
          <w:spacing w:val="-4"/>
          <w:lang w:val="sq-AL"/>
        </w:rPr>
      </w:pPr>
      <w:r w:rsidRPr="00B947F4">
        <w:rPr>
          <w:spacing w:val="-4"/>
          <w:lang w:val="sq-AL"/>
        </w:rPr>
        <w:t>Neni 1</w:t>
      </w:r>
    </w:p>
    <w:p w:rsidR="00AA6C90" w:rsidRPr="00B947F4" w:rsidRDefault="00AA6C90" w:rsidP="00AA6C90">
      <w:pPr>
        <w:pStyle w:val="NeniTitull"/>
        <w:rPr>
          <w:spacing w:val="-4"/>
          <w:lang w:val="sq-AL"/>
        </w:rPr>
      </w:pPr>
      <w:r w:rsidRPr="00B947F4">
        <w:rPr>
          <w:spacing w:val="-4"/>
          <w:lang w:val="sq-AL"/>
        </w:rPr>
        <w:t>Qëllimi dhe parimet e ligjit</w:t>
      </w:r>
    </w:p>
    <w:p w:rsidR="00AA6C90" w:rsidRPr="00B947F4" w:rsidRDefault="00AA6C90" w:rsidP="00AA6C90">
      <w:pPr>
        <w:pStyle w:val="Hapesira7"/>
        <w:rPr>
          <w:spacing w:val="-4"/>
          <w:sz w:val="10"/>
          <w:lang w:val="sq-AL"/>
        </w:rPr>
      </w:pP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1. Qëllimi i këtij ligji është të përjashtojë nga vuajtja tërësisht ose pjesërisht e dënimit të gjithë personat që plotësojnë kriteret, sipas dispozitave të këtij ligji.</w:t>
      </w:r>
    </w:p>
    <w:p w:rsidR="00AA6C90" w:rsidRPr="00B947F4" w:rsidRDefault="00AA6C90" w:rsidP="00AA6C90">
      <w:pPr>
        <w:pStyle w:val="NormalWeb"/>
        <w:widowControl w:val="0"/>
        <w:tabs>
          <w:tab w:val="left" w:pos="180"/>
        </w:tabs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2. Dhënia e amnistisë udhëhiqet nga parimet e humanizmit, arritjes së qëllimit të dënimit, rrezikshmërisë së ulët të personave që amnistohen, si dhe mbrojtjes së interesit publik.</w:t>
      </w:r>
    </w:p>
    <w:p w:rsidR="00AA6C90" w:rsidRPr="00B947F4" w:rsidRDefault="00AA6C90" w:rsidP="00AA6C90">
      <w:pPr>
        <w:pStyle w:val="Hapesira7"/>
        <w:rPr>
          <w:spacing w:val="-4"/>
          <w:sz w:val="10"/>
          <w:lang w:val="sq-AL"/>
        </w:rPr>
      </w:pPr>
    </w:p>
    <w:p w:rsidR="00AA6C90" w:rsidRPr="00B947F4" w:rsidRDefault="00AA6C90" w:rsidP="00AA6C90">
      <w:pPr>
        <w:pStyle w:val="NeniNr"/>
        <w:keepNext w:val="0"/>
        <w:rPr>
          <w:spacing w:val="-4"/>
          <w:lang w:val="sq-AL"/>
        </w:rPr>
      </w:pPr>
      <w:r w:rsidRPr="00B947F4">
        <w:rPr>
          <w:spacing w:val="-4"/>
          <w:lang w:val="sq-AL"/>
        </w:rPr>
        <w:t>Neni 2</w:t>
      </w:r>
    </w:p>
    <w:p w:rsidR="00AA6C90" w:rsidRPr="00B947F4" w:rsidRDefault="00AA6C90" w:rsidP="00AA6C90">
      <w:pPr>
        <w:pStyle w:val="NeniTitull"/>
        <w:rPr>
          <w:spacing w:val="-4"/>
          <w:lang w:val="sq-AL"/>
        </w:rPr>
      </w:pPr>
      <w:r w:rsidRPr="00B947F4">
        <w:rPr>
          <w:spacing w:val="-4"/>
          <w:lang w:val="sq-AL"/>
        </w:rPr>
        <w:t>I dënuar</w:t>
      </w:r>
    </w:p>
    <w:p w:rsidR="00AA6C90" w:rsidRPr="00B947F4" w:rsidRDefault="00AA6C90" w:rsidP="00AA6C90">
      <w:pPr>
        <w:pStyle w:val="Hapesira7"/>
        <w:rPr>
          <w:spacing w:val="-4"/>
          <w:sz w:val="10"/>
          <w:lang w:val="sq-AL"/>
        </w:rPr>
      </w:pP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I dënuar, në kuptim të këtij ligji, konsiderohet personi i dënuar nga gjykata me vendim gjyqësor të formës së prerë, deri në datën 30 nëntor 2015.</w:t>
      </w:r>
    </w:p>
    <w:p w:rsidR="00AA6C90" w:rsidRPr="00B947F4" w:rsidRDefault="00AA6C90" w:rsidP="00AA6C90">
      <w:pPr>
        <w:pStyle w:val="Hapesira7"/>
        <w:rPr>
          <w:spacing w:val="-4"/>
          <w:sz w:val="10"/>
          <w:lang w:val="sq-AL"/>
        </w:rPr>
      </w:pPr>
    </w:p>
    <w:p w:rsidR="00AA6C90" w:rsidRPr="00B947F4" w:rsidRDefault="00AA6C90" w:rsidP="00AA6C90">
      <w:pPr>
        <w:pStyle w:val="NeniNr"/>
        <w:keepNext w:val="0"/>
        <w:rPr>
          <w:spacing w:val="-4"/>
          <w:lang w:val="sq-AL"/>
        </w:rPr>
      </w:pPr>
      <w:r w:rsidRPr="00B947F4">
        <w:rPr>
          <w:spacing w:val="-4"/>
          <w:lang w:val="sq-AL"/>
        </w:rPr>
        <w:t>Neni 3</w:t>
      </w:r>
    </w:p>
    <w:p w:rsidR="00AA6C90" w:rsidRPr="00B947F4" w:rsidRDefault="00AA6C90" w:rsidP="00AA6C90">
      <w:pPr>
        <w:pStyle w:val="NeniTitull"/>
        <w:rPr>
          <w:spacing w:val="-4"/>
          <w:lang w:val="sq-AL"/>
        </w:rPr>
      </w:pPr>
      <w:r w:rsidRPr="00B947F4">
        <w:rPr>
          <w:spacing w:val="-4"/>
          <w:lang w:val="sq-AL"/>
        </w:rPr>
        <w:t>Kriteret për përfitimin e amnistisë</w:t>
      </w:r>
    </w:p>
    <w:p w:rsidR="00AA6C90" w:rsidRPr="00B947F4" w:rsidRDefault="00AA6C90" w:rsidP="00AA6C90">
      <w:pPr>
        <w:pStyle w:val="Hapesira7"/>
        <w:rPr>
          <w:spacing w:val="-4"/>
          <w:lang w:val="sq-AL"/>
        </w:rPr>
      </w:pP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Plotësojnë kriteret për të përfituar amnisti, sipas këtij ligji: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a) personat e dënuar vendim gjyqësor të formës së prerë, me burgim deri në 2 vjet për dënime të dhëna deri në datën 30 nëntor 2015, pavarësisht nga koha e mbetur nga dënimi, me përjashtim të personave të dënuar për veprat penale, të parashikuara në nenin 5 të këtij ligji;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b) personat e dënuar me vendim të formës së prerë, me gjobë (për pjesën financiare të pashlyer të dënimit deri në datën 30 nëntor 2015)</w:t>
      </w:r>
      <w:r w:rsidRPr="00B947F4">
        <w:rPr>
          <w:rFonts w:ascii="Garamond" w:hAnsi="Garamond"/>
          <w:i/>
          <w:spacing w:val="-4"/>
          <w:lang w:val="sq-AL"/>
        </w:rPr>
        <w:t xml:space="preserve"> </w:t>
      </w:r>
      <w:r w:rsidRPr="00B947F4">
        <w:rPr>
          <w:rFonts w:ascii="Garamond" w:hAnsi="Garamond"/>
          <w:spacing w:val="-4"/>
          <w:lang w:val="sq-AL"/>
        </w:rPr>
        <w:t>apo personat, për të cilët gjykata deri në datën 30 nëntor 2015 ka caktuar një nga llojet e alternativave të dënimit;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c) personat e dënuar me burgim, të cilëve, deri në datën e hyrjes në fuqi të këtij ligji, u kanë mbetur pa vuajtur nga ky dënim deri në 2 vjet, me përjashtim të personave të dënuar për veprat penale, të parashikuara në nenin 5 të këtij ligji;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ç) personat e dënuar femra, që, në datën e hyrjes në fuqi të këtij ligji,</w:t>
      </w:r>
      <w:r w:rsidRPr="00B947F4">
        <w:rPr>
          <w:rFonts w:ascii="Garamond" w:hAnsi="Garamond"/>
          <w:b/>
          <w:spacing w:val="-4"/>
          <w:lang w:val="sq-AL"/>
        </w:rPr>
        <w:t xml:space="preserve"> </w:t>
      </w:r>
      <w:r w:rsidRPr="00B947F4">
        <w:rPr>
          <w:rFonts w:ascii="Garamond" w:hAnsi="Garamond"/>
          <w:spacing w:val="-4"/>
          <w:lang w:val="sq-AL"/>
        </w:rPr>
        <w:t>janë baras ose mbi moshën 50 vjeç, me përjashtim të personave të dënuar për veprat penale, të parashikuara në nenin 5 të këtij ligji;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d) personat e dënuar meshkuj, që, në datën e hyrjes në fuqi të këtij ligji, janë baras ose mbi moshën 60 vjeç, me përjashtim të personave të dënuar për veprat penale, të parashikuara në nenin 5 të këtij ligji;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dh) personat e dënuar me burgim, të cilët, në kohën e kryerjes së veprës penale, kanë qenë baras ose nën moshën 18 vjeç, me përjashtim të atyre që janë dënuar për vepra penale, të parashikuara në nenet 76, 77, 78, 78/a, 79, 79/a, 79/b, 79/c, 81, 101, 103,</w:t>
      </w:r>
      <w:r>
        <w:rPr>
          <w:rFonts w:ascii="Garamond" w:hAnsi="Garamond"/>
          <w:spacing w:val="-4"/>
          <w:lang w:val="sq-AL"/>
        </w:rPr>
        <w:t xml:space="preserve"> </w:t>
      </w:r>
      <w:r w:rsidRPr="00B947F4">
        <w:rPr>
          <w:rFonts w:ascii="Garamond" w:hAnsi="Garamond"/>
          <w:spacing w:val="-4"/>
          <w:lang w:val="sq-AL"/>
        </w:rPr>
        <w:t>104,</w:t>
      </w:r>
      <w:r>
        <w:rPr>
          <w:rFonts w:ascii="Garamond" w:hAnsi="Garamond"/>
          <w:spacing w:val="-4"/>
          <w:lang w:val="sq-AL"/>
        </w:rPr>
        <w:t xml:space="preserve"> </w:t>
      </w:r>
      <w:r w:rsidRPr="00B947F4">
        <w:rPr>
          <w:rFonts w:ascii="Garamond" w:hAnsi="Garamond"/>
          <w:spacing w:val="-4"/>
          <w:lang w:val="sq-AL"/>
        </w:rPr>
        <w:t>110/a, 139, 140, 141, 234/a, 234/b, 278/a, 282/a, 283/a, 333, 333/a e 334 të Kodit Penal.</w:t>
      </w:r>
    </w:p>
    <w:p w:rsidR="00AA6C90" w:rsidRPr="00B947F4" w:rsidRDefault="00AA6C90" w:rsidP="00AA6C90">
      <w:pPr>
        <w:pStyle w:val="Hapesira7"/>
        <w:rPr>
          <w:spacing w:val="-4"/>
          <w:lang w:val="sq-AL"/>
        </w:rPr>
      </w:pPr>
    </w:p>
    <w:p w:rsidR="00AA6C90" w:rsidRPr="00B947F4" w:rsidRDefault="00AA6C90" w:rsidP="00AA6C90">
      <w:pPr>
        <w:pStyle w:val="NeniNr"/>
        <w:keepNext w:val="0"/>
        <w:rPr>
          <w:spacing w:val="-4"/>
          <w:lang w:val="sq-AL"/>
        </w:rPr>
      </w:pPr>
      <w:r w:rsidRPr="00B947F4">
        <w:rPr>
          <w:spacing w:val="-4"/>
          <w:lang w:val="sq-AL"/>
        </w:rPr>
        <w:t>Neni 4</w:t>
      </w:r>
    </w:p>
    <w:p w:rsidR="00AA6C90" w:rsidRPr="00B947F4" w:rsidRDefault="00AA6C90" w:rsidP="00AA6C90">
      <w:pPr>
        <w:pStyle w:val="NeniTitull"/>
        <w:rPr>
          <w:spacing w:val="-4"/>
          <w:lang w:val="sq-AL"/>
        </w:rPr>
      </w:pPr>
      <w:r w:rsidRPr="00B947F4">
        <w:rPr>
          <w:spacing w:val="-4"/>
          <w:lang w:val="sq-AL"/>
        </w:rPr>
        <w:t>Kushtet për dhënien e amnistisë nga vuajtja e dënimit</w:t>
      </w:r>
    </w:p>
    <w:p w:rsidR="00AA6C90" w:rsidRPr="00B947F4" w:rsidRDefault="00AA6C90" w:rsidP="00AA6C90">
      <w:pPr>
        <w:pStyle w:val="Hapesira7"/>
        <w:rPr>
          <w:spacing w:val="-4"/>
          <w:lang w:val="sq-AL"/>
        </w:rPr>
      </w:pP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lastRenderedPageBreak/>
        <w:tab/>
        <w:t>Të gjithë personave të dënuar, të cilët nuk përfitojnë nga parashikimi i nenit 3 dhe përjashtohen nga kriteret ndaluese, të parashikuara në nenin 5, të këtij ligji, u amnistohet: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a) 1,5 vjet të mbetura për personat e dënuar gra dhe personat që në kohën e kryerjes së veprës penale kanë qenë të mitur.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b) 1 vit</w:t>
      </w:r>
      <w:r w:rsidRPr="00B947F4">
        <w:rPr>
          <w:rFonts w:ascii="Garamond" w:hAnsi="Garamond"/>
          <w:color w:val="FF0000"/>
          <w:spacing w:val="-4"/>
          <w:lang w:val="sq-AL"/>
        </w:rPr>
        <w:t xml:space="preserve"> </w:t>
      </w:r>
      <w:r w:rsidRPr="00B947F4">
        <w:rPr>
          <w:rFonts w:ascii="Garamond" w:hAnsi="Garamond"/>
          <w:spacing w:val="-4"/>
          <w:lang w:val="sq-AL"/>
        </w:rPr>
        <w:t>të mbetur për personat e dënuar burra.</w:t>
      </w:r>
    </w:p>
    <w:p w:rsidR="00AA6C90" w:rsidRPr="00B947F4" w:rsidRDefault="00AA6C90" w:rsidP="00AA6C90">
      <w:pPr>
        <w:pStyle w:val="Hapesira7"/>
        <w:rPr>
          <w:spacing w:val="-4"/>
          <w:lang w:val="sq-AL"/>
        </w:rPr>
      </w:pPr>
      <w:r w:rsidRPr="00B947F4">
        <w:rPr>
          <w:spacing w:val="-4"/>
          <w:lang w:val="sq-AL"/>
        </w:rPr>
        <w:tab/>
      </w:r>
    </w:p>
    <w:p w:rsidR="00AA6C90" w:rsidRPr="00B947F4" w:rsidRDefault="00AA6C90" w:rsidP="00AA6C90">
      <w:pPr>
        <w:pStyle w:val="NeniNr"/>
        <w:keepNext w:val="0"/>
        <w:rPr>
          <w:spacing w:val="-4"/>
          <w:lang w:val="sq-AL"/>
        </w:rPr>
      </w:pPr>
      <w:r w:rsidRPr="00B947F4">
        <w:rPr>
          <w:spacing w:val="-4"/>
          <w:lang w:val="sq-AL"/>
        </w:rPr>
        <w:t>Neni 5</w:t>
      </w:r>
    </w:p>
    <w:p w:rsidR="00AA6C90" w:rsidRPr="00B947F4" w:rsidRDefault="00AA6C90" w:rsidP="00AA6C90">
      <w:pPr>
        <w:pStyle w:val="NeniTitull"/>
        <w:rPr>
          <w:spacing w:val="-4"/>
          <w:lang w:val="sq-AL"/>
        </w:rPr>
      </w:pPr>
      <w:r w:rsidRPr="00B947F4">
        <w:rPr>
          <w:spacing w:val="-4"/>
          <w:lang w:val="sq-AL"/>
        </w:rPr>
        <w:t>Kriteri ndalues për përfitimin e amnistisë</w:t>
      </w:r>
    </w:p>
    <w:p w:rsidR="00AA6C90" w:rsidRPr="00B947F4" w:rsidRDefault="00AA6C90" w:rsidP="00AA6C90">
      <w:pPr>
        <w:pStyle w:val="Hapesira7"/>
        <w:rPr>
          <w:spacing w:val="-4"/>
          <w:lang w:val="sq-AL"/>
        </w:rPr>
      </w:pP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1. Nuk përfitojnë nga kjo amnisti personat e dënuar për: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a) krime kundër njerëzimit, të parashikuara në nenet 73, 74, 74/a e 75 të Kodit Penal;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b) krime kundër jetës, të kryera me dashje, të parashikuara në nenet 76, 77, 78, 78/a, 79, 79/a, 79/b, 79/c e 81, 82, 83/a, 83/b, 84, 84/a e 85, të Kodit Penal, si dhe në nenin 77 të Kodit Penal Ushtarak;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c) vepra penale të kryera me dashje kundër shëndetit, të parashikuara në nenet 86, 87, paragrafin e dytë të nenit 88, 89/a e 99 të Kodit Penal;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ç) krime seksuale, të parashikuara në nenet 100, 101, 102, 102/a, 103, 104, 106, 107/a, 108 dhe 108/a të Kodit Penal;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d) vepra penale kundër lirisë së personit, të parashikuara në nenet 109, paragrafi i dytë dhe i tretë, 109/b, 109/c, paragrafin e dytë të nenit 110, 110/a, 110/b, 110/c dhe 111 të Kodit Penal;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dh) vepra penale kundër moralit dhe dinjitetit, të parashikuara në nenet 114 dhe në paragrafin e dytë dhe të tretë, të nenit 117, të Kodit Penal;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e) vepra penale kundër fëmijëve, martesës dhe familjes, të parashikuara në paragrafin e dytë të nenit 124, paragrafin e tretë të nenit 124/b, nenet 128/a, 128/b, 129 e 130/a të Kodit Penal;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ë) vepra penale kundër pasurisë dhe në sferën ekonomike, të parashikuara në nenet 135, 136, paragrafin e dytë të nenit 137/a, paragrafin e dytë të nenit 138, 138/a, 139, 140, 141, paragrafin e dytë të nenit 141/a, paragrafin e dytë të nenit 143, 143/a, 143/b, 144/a, 152, 175, paragrafin e dytë dhe të tretë të nenit 180 e 181/a, të Kodit Penal, si dhe në paragrafin e dytë dhe të tretë të nenit 59 të Kodit Penal Ushtarak;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f) vepra penale kundër falsifikimit të doku</w:t>
      </w:r>
      <w:r>
        <w:rPr>
          <w:rFonts w:ascii="Garamond" w:hAnsi="Garamond"/>
          <w:spacing w:val="-4"/>
          <w:lang w:val="sq-AL"/>
        </w:rPr>
        <w:t>-</w:t>
      </w:r>
      <w:r w:rsidRPr="00B947F4">
        <w:rPr>
          <w:rFonts w:ascii="Garamond" w:hAnsi="Garamond"/>
          <w:spacing w:val="-4"/>
          <w:lang w:val="sq-AL"/>
        </w:rPr>
        <w:t>menteve, të parashikuara në nenet 186, 189 e 191 të Kodit Penal;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g) vepra penale kundër mjedisit, të parashikuara në nenet 206/a e 206/b të Kodit Penal;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gj)</w:t>
      </w:r>
      <w:r>
        <w:rPr>
          <w:rFonts w:ascii="Garamond" w:hAnsi="Garamond"/>
          <w:spacing w:val="-4"/>
          <w:lang w:val="sq-AL"/>
        </w:rPr>
        <w:t xml:space="preserve"> </w:t>
      </w:r>
      <w:r w:rsidRPr="00B947F4">
        <w:rPr>
          <w:rFonts w:ascii="Garamond" w:hAnsi="Garamond"/>
          <w:spacing w:val="-4"/>
          <w:lang w:val="sq-AL"/>
        </w:rPr>
        <w:tab/>
        <w:t>krime kundër pavarësisë dhe rendit kushtetues, të parashikuara në nenet 208, 209, 210, 211, 212, 213, 214, 215, 216, 217, 218, 219, 220, 221, 222, 223, 224 e 225 të Kodit Penal;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h) krime që cenojnë marrëdhëniet me shtetet e tjera, të parashikuara në nenet 226 e 228 të Kodit Penal;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i) vepra me qëllime terroriste, të parashikuara në nenet 230, 230/a, 230/b, 230/c, 230/ç, 230/d, 231, 232, 232/a, 232/b, 233, 234, 234/a dhe 234/b të Kodit Penal;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j) krime kundër autoritetit të shtetit, të parashikuara në nenet 244, 244/a, 245, 245/1, 248, 248/a, 250, 257/a, 258, 259, 259/a, 260, 265, 265/a, 265/b, 265/c, 266, 267, 270, paragrafin e parë të nenit 278, 278/a, paragrafin e dytë të nenit 282, 282/a, paragrafin e dytë dhe të tretë të nenit 283, 283/a, 284, 284/a, 284/c, 284/ç, 285, 286, 287, 287/a, 288, paragrafin e dytë të nenit 289, 290 e 298, të Kodit Penal, dhe në nenin 70 të Kodit Penal Ushtarak;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k) vepra penale kundër drejtësisë, të parashikuara në nenet 319, 319/a, 319/b, 319/c, 319/ç, 319/d, 319/dh e 319/e të Kodit Penal;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l) vepra penale që prekin zgjedhjet e lira dhe sistemin demokratik të zgjedhjeve, të parashikuara në nenet 326, 326/a, 327, 327/a, 328, 328/a, 330/a, 331 dhe 332 të Kodit Penal;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lastRenderedPageBreak/>
        <w:tab/>
        <w:t>ll) vepra penale të kryera nga banda e armatosur dhe organizata kriminale, të parashikuara në nenet 333, 333/a dhe 334 të Kodit Penal.</w:t>
      </w: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2. Nuk përfitojnë nga kjo amnisti personat e dënuar, që i janë shmangur ekzekutimit të dënimit të dhënë.</w:t>
      </w:r>
    </w:p>
    <w:p w:rsidR="00AA6C90" w:rsidRPr="00B947F4" w:rsidRDefault="00AA6C90" w:rsidP="00AA6C90">
      <w:pPr>
        <w:pStyle w:val="NeniNr"/>
        <w:keepNext w:val="0"/>
        <w:rPr>
          <w:spacing w:val="-4"/>
          <w:lang w:val="sq-AL"/>
        </w:rPr>
      </w:pPr>
      <w:r w:rsidRPr="00B947F4">
        <w:rPr>
          <w:spacing w:val="-4"/>
          <w:lang w:val="sq-AL"/>
        </w:rPr>
        <w:t>Neni 6</w:t>
      </w:r>
    </w:p>
    <w:p w:rsidR="00AA6C90" w:rsidRPr="00B947F4" w:rsidRDefault="00AA6C90" w:rsidP="00AA6C90">
      <w:pPr>
        <w:pStyle w:val="NeniTitull"/>
        <w:keepNext w:val="0"/>
        <w:rPr>
          <w:spacing w:val="-4"/>
          <w:lang w:val="sq-AL"/>
        </w:rPr>
      </w:pPr>
      <w:r w:rsidRPr="00B947F4">
        <w:rPr>
          <w:spacing w:val="-4"/>
          <w:lang w:val="sq-AL"/>
        </w:rPr>
        <w:t>Hyrja në fuqi</w:t>
      </w:r>
    </w:p>
    <w:p w:rsidR="00AA6C90" w:rsidRPr="00B947F4" w:rsidRDefault="00AA6C90" w:rsidP="00AA6C90">
      <w:pPr>
        <w:pStyle w:val="Hapesira7"/>
        <w:rPr>
          <w:spacing w:val="-4"/>
          <w:lang w:val="sq-AL"/>
        </w:rPr>
      </w:pPr>
    </w:p>
    <w:p w:rsidR="00AA6C90" w:rsidRPr="00B947F4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ab/>
        <w:t>Ky ligj hyn në fuqi 15 ditë pas botimit në Fletoren Zyrtare.</w:t>
      </w:r>
    </w:p>
    <w:p w:rsidR="00AA6C90" w:rsidRPr="00B947F4" w:rsidRDefault="00AA6C90" w:rsidP="00AA6C90">
      <w:pPr>
        <w:pStyle w:val="Hapesira7"/>
        <w:rPr>
          <w:spacing w:val="-4"/>
          <w:lang w:val="sq-AL"/>
        </w:rPr>
      </w:pPr>
    </w:p>
    <w:p w:rsidR="00AA6C90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B947F4">
        <w:rPr>
          <w:rFonts w:ascii="Garamond" w:hAnsi="Garamond"/>
          <w:spacing w:val="-4"/>
          <w:lang w:val="sq-AL"/>
        </w:rPr>
        <w:t>Miratuar në datën 21.12.2015</w:t>
      </w:r>
    </w:p>
    <w:p w:rsidR="00AA6C90" w:rsidRPr="00901920" w:rsidRDefault="00AA6C90" w:rsidP="00AA6C90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sz w:val="14"/>
          <w:szCs w:val="14"/>
          <w:lang w:val="sq-AL"/>
        </w:rPr>
      </w:pPr>
    </w:p>
    <w:p w:rsidR="00AA6C90" w:rsidRPr="00901920" w:rsidRDefault="00AA6C90" w:rsidP="00AA6C90">
      <w:pPr>
        <w:pStyle w:val="NormalWeb"/>
        <w:widowControl w:val="0"/>
        <w:spacing w:before="0" w:beforeAutospacing="0" w:after="0" w:afterAutospacing="0"/>
        <w:jc w:val="both"/>
        <w:rPr>
          <w:rFonts w:ascii="Garamond" w:hAnsi="Garamond"/>
          <w:b/>
          <w:lang w:val="sq-AL"/>
        </w:rPr>
      </w:pPr>
      <w:r w:rsidRPr="00901920">
        <w:rPr>
          <w:rFonts w:ascii="Garamond" w:hAnsi="Garamond"/>
          <w:b/>
          <w:lang w:val="sq-AL"/>
        </w:rPr>
        <w:t>Shpallur me dekretin nr. 9386, datë 6.1.2016</w:t>
      </w:r>
      <w:r>
        <w:rPr>
          <w:rFonts w:ascii="Garamond" w:hAnsi="Garamond"/>
          <w:b/>
          <w:lang w:val="sq-AL"/>
        </w:rPr>
        <w:t>,</w:t>
      </w:r>
      <w:r w:rsidRPr="00901920">
        <w:rPr>
          <w:rFonts w:ascii="Garamond" w:hAnsi="Garamond"/>
          <w:b/>
          <w:lang w:val="sq-AL"/>
        </w:rPr>
        <w:t xml:space="preserve"> të Presidentit të Republikës së Shqipërisë, Bujar Nishani</w:t>
      </w:r>
    </w:p>
    <w:p w:rsidR="00C038B6" w:rsidRDefault="00AA6C90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C90"/>
    <w:rsid w:val="002D1BDF"/>
    <w:rsid w:val="00462D66"/>
    <w:rsid w:val="00AA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C90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AA6C90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9"/>
    <w:qFormat/>
    <w:rsid w:val="00AA6C90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AA6C90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uiPriority w:val="9"/>
    <w:semiHidden/>
    <w:rsid w:val="00AA6C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niNr">
    <w:name w:val="Neni_Nr"/>
    <w:next w:val="Normal"/>
    <w:link w:val="NeniNrChar"/>
    <w:rsid w:val="00AA6C9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A6C9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A6C9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AA6C90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aliases w:val="num.                                               2 Char1"/>
    <w:link w:val="Heading2"/>
    <w:uiPriority w:val="9"/>
    <w:locked/>
    <w:rsid w:val="00AA6C90"/>
    <w:rPr>
      <w:rFonts w:ascii="Cambria" w:eastAsia="MS Mincho" w:hAnsi="Cambria" w:cs="Cambria"/>
      <w:b/>
      <w:bCs/>
      <w:sz w:val="26"/>
      <w:szCs w:val="26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AA6C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C90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AA6C90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9"/>
    <w:qFormat/>
    <w:rsid w:val="00AA6C90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AA6C90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uiPriority w:val="9"/>
    <w:semiHidden/>
    <w:rsid w:val="00AA6C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niNr">
    <w:name w:val="Neni_Nr"/>
    <w:next w:val="Normal"/>
    <w:link w:val="NeniNrChar"/>
    <w:rsid w:val="00AA6C9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A6C9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A6C9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AA6C90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aliases w:val="num.                                               2 Char1"/>
    <w:link w:val="Heading2"/>
    <w:uiPriority w:val="9"/>
    <w:locked/>
    <w:rsid w:val="00AA6C90"/>
    <w:rPr>
      <w:rFonts w:ascii="Cambria" w:eastAsia="MS Mincho" w:hAnsi="Cambria" w:cs="Cambria"/>
      <w:b/>
      <w:bCs/>
      <w:sz w:val="26"/>
      <w:szCs w:val="26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AA6C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2016-01-21T13:27:00Z</dcterms:created>
  <dcterms:modified xsi:type="dcterms:W3CDTF">2016-01-21T13:28:00Z</dcterms:modified>
</cp:coreProperties>
</file>