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8C9" w:rsidRPr="001F0B4C" w:rsidRDefault="002308C9" w:rsidP="002308C9">
      <w:pPr>
        <w:pStyle w:val="AUTORITETI"/>
        <w:jc w:val="center"/>
        <w:rPr>
          <w:b/>
          <w:lang w:val="sq-AL"/>
        </w:rPr>
      </w:pPr>
      <w:r w:rsidRPr="001F0B4C">
        <w:rPr>
          <w:b/>
          <w:lang w:val="sq-AL"/>
        </w:rPr>
        <w:t>LIGJ</w:t>
      </w:r>
    </w:p>
    <w:p w:rsidR="002308C9" w:rsidRPr="00A94801" w:rsidRDefault="002308C9" w:rsidP="002308C9">
      <w:pPr>
        <w:pStyle w:val="NeniTitull"/>
        <w:rPr>
          <w:spacing w:val="-4"/>
          <w:lang w:val="sq-AL"/>
        </w:rPr>
      </w:pPr>
      <w:bookmarkStart w:id="0" w:name="_GoBack"/>
      <w:r w:rsidRPr="00A94801">
        <w:rPr>
          <w:spacing w:val="-4"/>
          <w:lang w:val="sq-AL"/>
        </w:rPr>
        <w:t xml:space="preserve">Nr. 10/2016 </w:t>
      </w:r>
    </w:p>
    <w:bookmarkEnd w:id="0"/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Default="002308C9" w:rsidP="002308C9">
      <w:pPr>
        <w:pStyle w:val="NeniTitull"/>
        <w:rPr>
          <w:spacing w:val="-4"/>
          <w:lang w:val="sq-AL"/>
        </w:rPr>
      </w:pPr>
      <w:r w:rsidRPr="00A94801">
        <w:rPr>
          <w:spacing w:val="-4"/>
          <w:lang w:val="sq-AL"/>
        </w:rPr>
        <w:t>PËR DISA NDRYSHIME DHE SHTESA NË LIGJIN NR. 8308, DATË 18.3.1998,</w:t>
      </w:r>
    </w:p>
    <w:p w:rsidR="002308C9" w:rsidRDefault="002308C9" w:rsidP="002308C9">
      <w:pPr>
        <w:pStyle w:val="NeniTitull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 “PËR TRANSPORTET RRUGORE”, </w:t>
      </w:r>
    </w:p>
    <w:p w:rsidR="002308C9" w:rsidRPr="00A94801" w:rsidRDefault="002308C9" w:rsidP="002308C9">
      <w:pPr>
        <w:pStyle w:val="NeniTitull"/>
        <w:rPr>
          <w:spacing w:val="-4"/>
          <w:lang w:val="sq-AL"/>
        </w:rPr>
      </w:pPr>
      <w:r w:rsidRPr="00A94801">
        <w:rPr>
          <w:spacing w:val="-4"/>
          <w:lang w:val="sq-AL"/>
        </w:rPr>
        <w:t>TË NDRYSHUAR</w:t>
      </w:r>
      <w:r w:rsidRPr="00A94801">
        <w:rPr>
          <w:spacing w:val="-4"/>
          <w:vertAlign w:val="superscript"/>
          <w:lang w:val="sq-AL"/>
        </w:rPr>
        <w:footnoteReference w:id="1"/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Në mbështetje të neneve 78 dhe 83, pika 1, të Kushtetutës, me propozimin e Këshillit të Ministrave, 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Vendosi"/>
        <w:rPr>
          <w:spacing w:val="-4"/>
          <w:lang w:val="sq-AL"/>
        </w:rPr>
      </w:pPr>
      <w:r w:rsidRPr="00A94801">
        <w:rPr>
          <w:spacing w:val="-4"/>
          <w:lang w:val="sq-AL"/>
        </w:rPr>
        <w:t>KUVENDI</w:t>
      </w:r>
    </w:p>
    <w:p w:rsidR="002308C9" w:rsidRPr="00A94801" w:rsidRDefault="002308C9" w:rsidP="002308C9">
      <w:pPr>
        <w:pStyle w:val="Vendosi"/>
        <w:rPr>
          <w:spacing w:val="-4"/>
          <w:lang w:val="sq-AL"/>
        </w:rPr>
      </w:pPr>
      <w:r w:rsidRPr="00A94801">
        <w:rPr>
          <w:spacing w:val="-4"/>
          <w:lang w:val="sq-AL"/>
        </w:rPr>
        <w:t>I REPUBLIKËS SË SHQIPËRISË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Vendosi"/>
        <w:rPr>
          <w:spacing w:val="-4"/>
          <w:lang w:val="sq-AL"/>
        </w:rPr>
      </w:pPr>
      <w:r w:rsidRPr="00A94801">
        <w:rPr>
          <w:spacing w:val="-4"/>
          <w:lang w:val="sq-AL"/>
        </w:rPr>
        <w:t>VENDOSI: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Në ligjin nr. 8308, datë 18.3.1998, “Për transportet rrugore”, të ndryshuar, bëhen këto ndryshime dhe shtesa: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Neni 1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B66BDB" w:rsidRDefault="002308C9" w:rsidP="002308C9">
      <w:pPr>
        <w:pStyle w:val="Paragrafi"/>
      </w:pPr>
      <w:r w:rsidRPr="00B66BDB">
        <w:t xml:space="preserve">1. Kudo në ligj, fjalët “komunë”, “ose komunal”, “ose i komunës”, “ose kryetar i komunës” dhe “këshilli i komunës” shfuqizohen. </w:t>
      </w:r>
    </w:p>
    <w:p w:rsidR="002308C9" w:rsidRPr="00B66BDB" w:rsidRDefault="002308C9" w:rsidP="002308C9">
      <w:pPr>
        <w:pStyle w:val="Paragrafi"/>
      </w:pPr>
      <w:r w:rsidRPr="00B66BDB">
        <w:t>2. Kudo në ligj, fjalët “njësi të qeverisjes vendore” zëvendësohen me fjalët “njësi të vetëqeverisjes vendore”.</w:t>
      </w:r>
    </w:p>
    <w:p w:rsidR="002308C9" w:rsidRPr="00A74525" w:rsidRDefault="002308C9" w:rsidP="002308C9">
      <w:pPr>
        <w:pStyle w:val="Hapesira7"/>
        <w:rPr>
          <w:spacing w:val="-4"/>
          <w:sz w:val="10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Neni 2</w:t>
      </w:r>
    </w:p>
    <w:p w:rsidR="002308C9" w:rsidRPr="00A74525" w:rsidRDefault="002308C9" w:rsidP="002308C9">
      <w:pPr>
        <w:pStyle w:val="Hapesira7"/>
        <w:rPr>
          <w:spacing w:val="-4"/>
          <w:sz w:val="10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Në nenin 3 bëhen ndryshimi dhe shtesa e mëposhtme: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1.</w:t>
      </w:r>
      <w:r w:rsidRPr="00A94801">
        <w:rPr>
          <w:spacing w:val="-4"/>
          <w:lang w:val="sq-AL"/>
        </w:rPr>
        <w:tab/>
        <w:t>Pika 3.25 ndryshohet si më poshtë: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“3.25. “Kabotazhi” nënkupton transportin rrugor të brendshëm për të tretë ose kundrejt pagesës, i kryer përkohësisht nga një transportues jorezident, i vendosur në një shtet tjetër, anëtar ose jo i BE-së.”.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2.</w:t>
      </w:r>
      <w:r w:rsidRPr="00A94801">
        <w:rPr>
          <w:spacing w:val="-4"/>
          <w:lang w:val="sq-AL"/>
        </w:rPr>
        <w:tab/>
        <w:t>Pas pikës 3.25 shtohet pikat 3.26 me këtë përmbajtje: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“3.26. “Regjistri Elektronik Kombëtar” nënkupton regjistrin, i cili përmban të dhënat e ndërmarrjeve të transportit rrugor në Shqipëri.”.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3. Pas pikës 3.26 shtohet pika 3.27 me këtë përmbajtje: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“3.27. “Sistemet Inteligjente në Transport” ose “SIT” nënkupton sistemet, në të cilat teknologjitë e </w:t>
      </w:r>
      <w:r w:rsidRPr="00A94801">
        <w:rPr>
          <w:spacing w:val="-4"/>
          <w:lang w:val="sq-AL"/>
        </w:rPr>
        <w:lastRenderedPageBreak/>
        <w:t>informacionit dhe komunikimit zbatohen në fushën e transportit rrugor, që përfshin infra</w:t>
      </w:r>
      <w:r>
        <w:rPr>
          <w:spacing w:val="-4"/>
          <w:lang w:val="sq-AL"/>
        </w:rPr>
        <w:t>-</w:t>
      </w:r>
      <w:r w:rsidRPr="00A94801">
        <w:rPr>
          <w:spacing w:val="-4"/>
          <w:lang w:val="sq-AL"/>
        </w:rPr>
        <w:t>strukturën, mjetet dhe përdoruesit, dhe në mena</w:t>
      </w:r>
      <w:r>
        <w:rPr>
          <w:spacing w:val="-4"/>
          <w:lang w:val="sq-AL"/>
        </w:rPr>
        <w:t>-</w:t>
      </w:r>
      <w:r w:rsidRPr="00A94801">
        <w:rPr>
          <w:spacing w:val="-4"/>
          <w:lang w:val="sq-AL"/>
        </w:rPr>
        <w:t>xhimin e trafikut dhe të lëvizshmërisë, si dhe për lidhjen me metodat e tjera të transportit.”.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Neni 3</w:t>
      </w:r>
    </w:p>
    <w:p w:rsidR="002308C9" w:rsidRPr="00A74525" w:rsidRDefault="002308C9" w:rsidP="002308C9">
      <w:pPr>
        <w:pStyle w:val="Hapesira7"/>
        <w:rPr>
          <w:spacing w:val="-4"/>
          <w:sz w:val="8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Neni 6 riformulohet si më poshtë: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“Neni 6</w:t>
      </w:r>
    </w:p>
    <w:p w:rsidR="002308C9" w:rsidRPr="00A74525" w:rsidRDefault="002308C9" w:rsidP="002308C9">
      <w:pPr>
        <w:pStyle w:val="Hapesira7"/>
        <w:rPr>
          <w:spacing w:val="-4"/>
          <w:sz w:val="10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Këshilli i Ministrave me vendim përcakton rregulla të hollësishme, për: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a) pranimin e ndërmarrjeve në veprimtarinë e operatorit të transportit rrugor për të tretë ose me qira, për mallra ose udhëtarë, mbështetur mbi këto kërkesa: 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i) reputacionin e mirë;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ii) qëndrueshmërinë e duhur financiare; 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iii) kompetencën profesionale;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iv) vendosjen efektive dhe të qëndrueshme në Shqipëri;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b) njohjen e dokumenteve të lëshuara ose të njohura nga shtetet anëtare të BE-së për pranimin në veprimtarinë e transportit rrugor.”.</w:t>
      </w: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Neni 4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ind w:firstLine="0"/>
        <w:rPr>
          <w:spacing w:val="-4"/>
          <w:lang w:val="sq-AL"/>
        </w:rPr>
      </w:pPr>
      <w:r w:rsidRPr="00A94801">
        <w:rPr>
          <w:spacing w:val="-4"/>
          <w:lang w:val="sq-AL"/>
        </w:rPr>
        <w:tab/>
        <w:t>Në nenin 10, pas shkronjës “c” shtohet shkronja “ç” me këtë përmbajtje: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“ç) Tarifat e biletave të transportit rrethqytetës të udhëtarëve miratohen me vendim të këshillit të njësisë së vetëqeverisjes vendore. 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Për rrjetin e linjave rrethqytetëse, sipas shkronjës “ç”, të nenit 15, tarifat përcaktohen me marrëveshje ndërmjet bashkive.”.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Neni 5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Në nenin 14, pas paragrafit të parë shtohet një paragraf me këtë përmbajtje: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“Përjashtim nga përcaktimet e nenit 13 dhe shkronjës “a”, të paragrafit të parë, të nenit 15, bën vetëm Bashkia e Tiranës, e cila, me vendim të këshillit bashkiak, mund të shtrijë rrjetin e linjave qytetëse në çdo njësi administrative përbërëse, në kufi me njësitë administrative të qytetit të Tiranës, nëse këto njësi përfaqësojnë qendra të zhvilluara e të rëndësishme urbane dhe/ose industriale.”. 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Neni 6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Neni 15 ndryshohet si më poshtë: 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“Neni 15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1. Transporti i udhëtarëve në linja rrethqytetëse është shërbim i rregullt transporti, i cili plotëson nevojat e lëvizjes së popullsisë ndërmjet: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a) njësive administrative përbërëse dhe qendrës së bashkisë së cilës i përkasin;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b) njësive administrative përbërëse të së njëjtës bashki;</w:t>
      </w:r>
    </w:p>
    <w:p w:rsidR="002308C9" w:rsidRPr="00A94801" w:rsidRDefault="002308C9" w:rsidP="002308C9">
      <w:pPr>
        <w:pStyle w:val="Paragrafi"/>
        <w:ind w:firstLine="0"/>
        <w:rPr>
          <w:spacing w:val="-4"/>
          <w:lang w:val="sq-AL"/>
        </w:rPr>
      </w:pPr>
      <w:r w:rsidRPr="00A94801">
        <w:rPr>
          <w:spacing w:val="-4"/>
          <w:lang w:val="sq-AL"/>
        </w:rPr>
        <w:tab/>
        <w:t>c) fshatrave me njëri-tjetrin ose fshatrave në drejtim të qendrës së njësisë administrative së cilës i përkasin dhe/ose një njësie administrative tjetër të së njëjtës bashki;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ç) fshatrave dhe njësive administrative përbërëse, të bashkive të ndryshme, por që ndodhen në kufi me njëra-tjetrën.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2. Ky lloj transporti kryhet nga persona juridikë ose fizikë, të pajisur me licencë. Licenca për transportin rrethqytetës jepet nga kryetari i bashkisë ku ka selinë subjekti transportues.”.</w:t>
      </w:r>
    </w:p>
    <w:p w:rsidR="002308C9" w:rsidRPr="00A74525" w:rsidRDefault="002308C9" w:rsidP="002308C9">
      <w:pPr>
        <w:pStyle w:val="Paragrafi"/>
        <w:rPr>
          <w:spacing w:val="-4"/>
          <w:sz w:val="16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lastRenderedPageBreak/>
        <w:t>Neni 7</w:t>
      </w:r>
    </w:p>
    <w:p w:rsidR="002308C9" w:rsidRPr="00A74525" w:rsidRDefault="002308C9" w:rsidP="002308C9">
      <w:pPr>
        <w:pStyle w:val="Paragrafi"/>
        <w:rPr>
          <w:spacing w:val="-4"/>
          <w:sz w:val="1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Neni 16 ndryshohet si më poshtë: 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“Neni 16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Transporti ndërqytetës i udhëtarëve me autobus, si transport i rregullt, kryhet në linjat kryesore dhe linjat ushqyese, të parashikuara në rrjetin e linjave të miratuara nga ministri.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Linjat kryesore shërbejnë për të plotësuar nevojat e lëvizjes së popullsisë që lidhin bashkitë, si më poshtë: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a)</w:t>
      </w:r>
      <w:r w:rsidRPr="00A94801">
        <w:rPr>
          <w:spacing w:val="-4"/>
          <w:lang w:val="sq-AL"/>
        </w:rPr>
        <w:tab/>
        <w:t xml:space="preserve">bashkitë qendër të qarqeve të ndryshme; 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b)</w:t>
      </w:r>
      <w:r w:rsidRPr="00A94801">
        <w:rPr>
          <w:spacing w:val="-4"/>
          <w:lang w:val="sq-AL"/>
        </w:rPr>
        <w:tab/>
        <w:t>një bashki qendër qarku me bashkitë jo qendër qarku të një qarku tjetër ose dy bashki jo qendër qarku të qarqeve të ndryshme.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Transporti në linjat kryesore kryhet pa ndalime ose me ndalime në stacionet e përcaktuara gjatë itinerarit të linjës.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Linjat ushqyese lidhin dy bashki brenda një qarku, me qëndrime në stacionet e përcaktuara gjatë itinerarit të linjës, të përcaktuara në rrjetin e linjave.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Transporti ndërqytetës kryhet nga persona juridikë, të organizuar në shoqëri transporti e të pajisur me licencë.”.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Neni 8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Në nenin 17, paragrafi i tretë shfuqizohet. 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Neni 9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Në nenin 18, pas paragrafit të parë shtohen paragrafët me këtë përmbajtje: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“Autobusët, që përdoren në shërbimet e rregullta të transportit të udhëtarëve, janë të pajisur me pajisje regjistrimi (tahograf), në përputhje me aktet në fuqi. 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Koha e punës dhe e pushimit të drejtuesve të mjetit rregullohet sipas legjislacionit në fuqi.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Drejtuesit e autobusëve dhe drejtuesit e autoveturave me 8+1 vende, kur e parashikojnë dispozitat e këtij ligji, pajisen me certifikatën e aftësisë profesionale, në përputhje me udhëzimin e ministrit.”. 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Neni 10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Neni 19 ndryshohet si më poshtë: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“Neni 19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Rrjeti i linjave ndërqytetëse (kryesore dhe ushqyese), stacionet e qëndrimit dhe numri i orareve për secilën linjë miratohen me udhëzim të ministrit përgjegjës për transportin çdo tre vjet. 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Rrjeti i linjave rrethqytetëse, stacionet e qëndrimit dhe numri i orareve, sipas shkronjave “a”, “b” dhe “c”, të nenit 15, miratohen nga këshilli i njësisë së vetëqeverisjes vendore, ndërsa për shkronjën “ç” miratohen nga këshilli i qarkut. 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Rrjeti i linjave rrethqytetëse miratohet çdo tre vjet dhe nuk duhet të cenojë rrjetin e linjave qytetëse dhe ndërqytetëse.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Këshilli i njësisë së vetëqeverisjes vendore ose i qarkut, respektivisht, miraton linjat në rrjetin e linjave rrethqytetëse, në të cilat lejohet përdorimi i autoveturave me 8+1 vende.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Hartimi i rrjetit të linjave rrethqytetëse dhe ndërqytetëse bazohet mbi të dhënat demografike e gjeografike, gjendjen social-ekonomike, kërkesat për lëvizjen e popullatës, rrjetin rrugor dhe gjendjen e infrastrukturës rrugore. 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Hartimi i rrjetit të linjave ndërqytetëse mbësh</w:t>
      </w:r>
      <w:r>
        <w:rPr>
          <w:spacing w:val="-4"/>
          <w:lang w:val="sq-AL"/>
        </w:rPr>
        <w:t>-</w:t>
      </w:r>
      <w:r w:rsidRPr="00A94801">
        <w:rPr>
          <w:spacing w:val="-4"/>
          <w:lang w:val="sq-AL"/>
        </w:rPr>
        <w:t xml:space="preserve">tetet në nevojat e lëvizjes së udhëtarëve për në ose nga </w:t>
      </w:r>
      <w:r w:rsidRPr="00A94801">
        <w:rPr>
          <w:spacing w:val="-4"/>
          <w:lang w:val="sq-AL"/>
        </w:rPr>
        <w:lastRenderedPageBreak/>
        <w:t>bashkitë qendër qarku, bashkitë e tjera dhe destinacionet dimërore apo verore dhe qendrat historike.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Në procesin e hartimit të rrjetit të linjave rrethqytetëse merren parasysh lidhjet ndërmjet njësive të vetëqeverisjes vendore me qendrat e njësive administrative përbërëse dhe qendrat e njësive administrative përbërëse me fshatrat dhe fshatrat ndërmjet tyre.”.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Neni 11</w:t>
      </w:r>
    </w:p>
    <w:p w:rsidR="002308C9" w:rsidRPr="00AB4697" w:rsidRDefault="002308C9" w:rsidP="002308C9">
      <w:pPr>
        <w:pStyle w:val="Hapesira7"/>
        <w:rPr>
          <w:spacing w:val="-4"/>
          <w:sz w:val="8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Neni 20 shfuqizohet.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Neni 12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Pas nenit 21 shtohen nenet 21/1 dhe 21/2 me këtë përmbajtje:</w:t>
      </w:r>
    </w:p>
    <w:p w:rsidR="002308C9" w:rsidRPr="00AB4697" w:rsidRDefault="002308C9" w:rsidP="002308C9">
      <w:pPr>
        <w:pStyle w:val="Hapesira7"/>
        <w:rPr>
          <w:spacing w:val="-4"/>
          <w:sz w:val="10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“Neni 21/1</w:t>
      </w:r>
    </w:p>
    <w:p w:rsidR="002308C9" w:rsidRPr="00AB4697" w:rsidRDefault="002308C9" w:rsidP="002308C9">
      <w:pPr>
        <w:pStyle w:val="Hapesira7"/>
        <w:rPr>
          <w:spacing w:val="-4"/>
          <w:sz w:val="10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Terminali i autobusëve është infrastruktura e transportit që plotëson kushtet e nevojshme për mbërritjen dhe nisjen e autobusëve, hipjen ose zbritjen e udhëtarëve e të bagazheve të tyre dhe për shërbime të tjera, që kanë të bëjnë me transportin e udhëtarëve dhe operatorëve të transportit rrugor. Vendndodhja e terminalit të autobusëve caktohet me vendim të këshillit bashkiak.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Kushtet që duhet të plotësojë terminali i autobusëve, kategorizimi, mënyra e mbajtjes së dokumentacionit dhe detyrimet e tjera të terminalit të autobusëve përcaktohen me udhëzim të ministrit.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Operatorët e terminaleve të autobusëve mund të jenë subjekte publike ose private, të pajisura me autorizim nga kryetari i bashkisë, në përputhje me procedurat e përcaktuara nga legjislacioni në fuqi.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Terminali i autobusëve u ofron shërbime në kushte të barabarta të gjithë operatorëve të transportit, që janë të pajisur me licencë për transport udhëtarësh, bazuar në kategorinë e terminalit të autobusëve, sipas tarifave të përcaktuara me udhëzim nga ministria, në bashkë</w:t>
      </w:r>
      <w:r>
        <w:rPr>
          <w:spacing w:val="-4"/>
          <w:lang w:val="sq-AL"/>
        </w:rPr>
        <w:t>-</w:t>
      </w:r>
      <w:r w:rsidRPr="00A94801">
        <w:rPr>
          <w:spacing w:val="-4"/>
          <w:lang w:val="sq-AL"/>
        </w:rPr>
        <w:t>punim me ministrinë përgjegjëse për financat.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Neni 21/2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Çdo udhëtar pajiset me biletë për udhëtimin e përshkruar. Biletat blihen në terminalin e autobusëve, në autobus, në agjenci ose në çdo vend tjetër, të cilit operatori i transportit i ka dhënë të drejtën për shitje.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Udhëtari në autobus paraqet biletën e udhëtimit, me kërkesë të personit të autorizuar nga operatori i transportit ose të organeve të kontrollit në rrugë. 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Modeli i biletave të udhëtimit përcaktohet nga ministri përgjegjës për transportin. Biletat mund të jenë me faturë ose elektronike, por, në çdo rast, përmbajnë të paktën: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a) gjatësinë e udhëtimit në km;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b)</w:t>
      </w:r>
      <w:r w:rsidRPr="00A94801">
        <w:rPr>
          <w:spacing w:val="-4"/>
          <w:lang w:val="sq-AL"/>
        </w:rPr>
        <w:tab/>
        <w:t>çmimin për km;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c)</w:t>
      </w:r>
      <w:r w:rsidRPr="00A94801">
        <w:rPr>
          <w:spacing w:val="-4"/>
          <w:lang w:val="sq-AL"/>
        </w:rPr>
        <w:tab/>
        <w:t>numrin e serisë;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ç)</w:t>
      </w:r>
      <w:r w:rsidRPr="00A94801">
        <w:rPr>
          <w:spacing w:val="-4"/>
          <w:lang w:val="sq-AL"/>
        </w:rPr>
        <w:tab/>
        <w:t>emrin e operatorit të transportit;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d)</w:t>
      </w:r>
      <w:r w:rsidRPr="00A94801">
        <w:rPr>
          <w:spacing w:val="-4"/>
          <w:lang w:val="sq-AL"/>
        </w:rPr>
        <w:tab/>
        <w:t>datën dhe kohën e nisjes;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dh) pjesën e biletës (dëshminë/etiketën) për bagazhin e udhëtarit.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Me propozim të ministrit përgjegjës për transportin dhe ministrit përgjegjës për financat, Këshilli i Ministrave përcakton rregullat për pro</w:t>
      </w:r>
      <w:r>
        <w:rPr>
          <w:spacing w:val="-4"/>
          <w:lang w:val="sq-AL"/>
        </w:rPr>
        <w:t>-</w:t>
      </w:r>
      <w:r w:rsidRPr="00A94801">
        <w:rPr>
          <w:spacing w:val="-4"/>
          <w:lang w:val="sq-AL"/>
        </w:rPr>
        <w:t>dhimin dhe shpërndarjen e biletave.”.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Neni 13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Në nenin 22, paragrafi i dytë riformulohet si më poshtë: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“Nuk mund të organizohet transporti me autobusë, si pikënisje nga një qendër e banuar, bashki ose qendër e njësisë administrative përbërëse, në qoftë se aty nuk është organizuar njëkohësisht shërbimi i rregullt me agjenci.”. 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lastRenderedPageBreak/>
        <w:t>Neni 14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Pas nenit 39 shtohet neni 39/1 me këtë për</w:t>
      </w:r>
      <w:r>
        <w:rPr>
          <w:spacing w:val="-4"/>
          <w:lang w:val="sq-AL"/>
        </w:rPr>
        <w:t>-</w:t>
      </w:r>
      <w:r w:rsidRPr="00A94801">
        <w:rPr>
          <w:spacing w:val="-4"/>
          <w:lang w:val="sq-AL"/>
        </w:rPr>
        <w:t>mbajtje: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“Neni 39/1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Drejtuesit e mjeteve me peshë të përgjithshme të lejuar me ngarkesë mbi 6 tonë ose kur ngarkesa e lejuar, përfshirë rimorkion ose gjysmërimorkion, i kalon 3,5 tonë në transportin e mallrave, pajisen me certifikatën e aftësisë profesionale, në përputhje me udhëzimin e ministrit.”.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Neni 15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Në nenin 52/1, pika 2 riformulohet si më poshtë: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“2. Rregullat dhe kushtet për kryerjen e operacioneve të kabotazhit përcaktohen me vendim të Këshillit të Ministrave, në përputhje me marrëveshjet dypalëshe ose shumëpalëshe, të cilat e parashikojnë atë.”.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Neni 16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Në nenin 68 bëhen ndryshimi dhe shtesa e mëposhtme:</w:t>
      </w:r>
    </w:p>
    <w:p w:rsidR="002308C9" w:rsidRPr="00A94801" w:rsidRDefault="002308C9" w:rsidP="002308C9">
      <w:pPr>
        <w:pStyle w:val="Paragrafi"/>
        <w:ind w:firstLine="0"/>
        <w:rPr>
          <w:spacing w:val="-4"/>
          <w:lang w:val="sq-AL"/>
        </w:rPr>
      </w:pPr>
      <w:r w:rsidRPr="00A94801">
        <w:rPr>
          <w:spacing w:val="-4"/>
          <w:lang w:val="sq-AL"/>
        </w:rPr>
        <w:tab/>
        <w:t>1. Shkronja “ç” riformulohet si më poshtë: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“ç) 52/1, shkelja e rregullave të kabotazhit në transportin e mallrave dënohet sipas rastit: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i) me gjobë nga 100 000 deri në 200 000 lekë;  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ii) me heqjen e lejes përkatëse, kur operacionet e kabotazhit parashikohen të kryhen me leje;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iii) me refuzimin e hyrjes në territorin e Republikës së Shqipërisë.”. 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2. Pas shkronjës “ç” shtohet shkronja “d” me këtë përmbajtje:</w:t>
      </w:r>
    </w:p>
    <w:p w:rsidR="002308C9" w:rsidRPr="00A94801" w:rsidRDefault="002308C9" w:rsidP="002308C9">
      <w:pPr>
        <w:pStyle w:val="Paragrafi"/>
        <w:ind w:firstLine="0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 “d) 18, me gjobë nga 50 000 deri në 200 000 lekë.”. 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Neni 17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Pas nenit 77 shtohen nenet 77/1 dhe 77/2 me këtë përmbajtje: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“Neni 77/1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Të gjitha ndërmarrjet e transportit rrugor të vendosura në Shqipëri janë të detyruara të regjistrohen në Regjistrin Elektronik Kombëtar të Transportit Rrugor, që mbahet nga organi i përcaktuar me vendim të Këshillit të Ministrave. </w:t>
      </w:r>
      <w:r w:rsidRPr="00A94801">
        <w:rPr>
          <w:spacing w:val="-4"/>
          <w:lang w:val="sq-AL"/>
        </w:rPr>
        <w:tab/>
        <w:t>Të dhënat përkatëse, të përfshira në Regjistrin Elektronik Kombëtar të Transportit Rrugor, do të jenë të aksesueshme për të gjitha autoritetet kompetente, sipas përcaktimeve në aktet nënligjore.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Pas licencimit të subjektit transportues, organi që e ka licencuar atë dërgon informacion te mbajtësi i Regjistrit Elektronik Kombëtar të Transportit Rrugor për ndërmarrjen e transportit dhe çdo ndryshim që mund të ndodhë gjatë ushtrimit të veprimtarisë.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Për mbledhjen, përpunimin, shpërndarjen dhe përdorimin e të dhënave në Regjistrin Elektronik Kombëtar të Transportit Rrugor zbatohen dispozitat në fuqi për mbrojtjen e të dhënave personale.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Rregulla të hollësishme për kategoritë e të dhënave që mbahen në Regjistrin Elektronik Kombëtar të Transportit Rrugor, si dhe mënyra e mbajtjes së tij përcaktohen me udhëzim të ministrit, në përputhje me detyrimet e legjislacionit në fuqi për bazat e të dhënave shtetërore.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Neni 77/2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ab/>
        <w:t>Teknologjitë e informacionit dhe komu</w:t>
      </w:r>
      <w:r>
        <w:rPr>
          <w:spacing w:val="-4"/>
          <w:lang w:val="sq-AL"/>
        </w:rPr>
        <w:t>-</w:t>
      </w:r>
      <w:r w:rsidRPr="00A94801">
        <w:rPr>
          <w:spacing w:val="-4"/>
          <w:lang w:val="sq-AL"/>
        </w:rPr>
        <w:t xml:space="preserve">nikimit, pjesë përbërëse e sistemeve inteligjente në transport, zbatohen në fushën e transportit rrugor, duke përfshirë infrastrukturën, mjetet e përdoruesit dhe menaxhimin e trafikut dhe të lëvizshmërisë. 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lastRenderedPageBreak/>
        <w:t xml:space="preserve">Aplikimet dhe shërbimet e sistemeve inteligjente në transport (SIT) në fushën e transportit rrugor, si dhe lidhjet me metodat e tjera të transportit zbatohen pa cenuar çështjet që lidhen me sigurinë kombëtare dhe interesat e mbrojtjes së Republikës së Shqipërisë. 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Rregullat për zbatimin e sistemeve inteligjente në fushën e transportit rrugor dhe lidhjet me mënyrat e tjera të transportit përcaktohen me udhëzim të ministrit.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Ky nen zbatohet në përputhje me detyrimet e ligjit nr. 10 325, datë 23.9.2010, “Për bazat e të dhënave shtetërore”.”.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Neni 18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1. Ministri përgjegjës për transportin miraton rrjetin e ri të linjave ndërqytetëse, brenda gjashtë muajve nga hyrja në fuqi e këtij ligji.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2. Licencat për transportin ndërqytetës, të lëshuara nga bashkitë, dhe licencat e transportit rrethqytetës, të lëshuara nga bashkitë ose komunat, para hyrjes në fuqi të këtij ligji, janë të vlefshme deri në ditën e lëshimit të licencave, në përputhje me këtë ligj dhe aktet nënligjore në zbatim të tij, por jo më vonë se data 1 janar 2017. 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3. Këshilli i Ministrave dhe ministritë e ngarkuara për zbatimin e këtij ligji të marrin masat për nxjerrjen e vendimeve e të udhëzimeve përkatëse brenda 6 muajve nga hyrja në fuqi e këtij ligji.</w:t>
      </w:r>
    </w:p>
    <w:p w:rsidR="002308C9" w:rsidRPr="00AB4697" w:rsidRDefault="002308C9" w:rsidP="002308C9">
      <w:pPr>
        <w:pStyle w:val="Hapesira7"/>
        <w:rPr>
          <w:spacing w:val="-4"/>
          <w:sz w:val="2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Neni 19</w:t>
      </w:r>
    </w:p>
    <w:p w:rsidR="002308C9" w:rsidRPr="00A94801" w:rsidRDefault="002308C9" w:rsidP="002308C9">
      <w:pPr>
        <w:pStyle w:val="NeniTitull"/>
        <w:rPr>
          <w:spacing w:val="-4"/>
          <w:lang w:val="sq-AL"/>
        </w:rPr>
      </w:pPr>
      <w:r w:rsidRPr="00A94801">
        <w:rPr>
          <w:spacing w:val="-4"/>
          <w:lang w:val="sq-AL"/>
        </w:rPr>
        <w:t>Aktet nënligjore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Këshilli i Ministrave dhe ministritë e ngarkuara për zbatimin e këtij ligji të marrin masat për nxjerrjen e vendimeve e të udhëzimeve përkatëse brenda 6 muajve nga hyrja në fuqi e këtij ligji.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NeniNr"/>
        <w:rPr>
          <w:spacing w:val="-4"/>
          <w:lang w:val="sq-AL"/>
        </w:rPr>
      </w:pPr>
      <w:r w:rsidRPr="00A94801">
        <w:rPr>
          <w:spacing w:val="-4"/>
          <w:lang w:val="sq-AL"/>
        </w:rPr>
        <w:t>Neni 20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 xml:space="preserve">1. Ky ligj hyn në fuqi 15 ditë pas botimit në Fletoren Zyrtare. </w:t>
      </w: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2. Nenet 77/1 dhe 77/2 hyjnë në fuqi në datën 1 janar 2017.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B4697" w:rsidRDefault="002308C9" w:rsidP="002308C9">
      <w:pPr>
        <w:pStyle w:val="Hapesira7"/>
        <w:rPr>
          <w:spacing w:val="-4"/>
          <w:sz w:val="2"/>
          <w:lang w:val="sq-AL"/>
        </w:rPr>
      </w:pPr>
    </w:p>
    <w:p w:rsidR="002308C9" w:rsidRPr="00A94801" w:rsidRDefault="002308C9" w:rsidP="002308C9">
      <w:pPr>
        <w:pStyle w:val="Paragrafi"/>
        <w:rPr>
          <w:spacing w:val="-4"/>
          <w:lang w:val="sq-AL"/>
        </w:rPr>
      </w:pPr>
      <w:r w:rsidRPr="00A94801">
        <w:rPr>
          <w:spacing w:val="-4"/>
          <w:lang w:val="sq-AL"/>
        </w:rPr>
        <w:t>Miratuar në datën 11.2.2016.</w:t>
      </w:r>
    </w:p>
    <w:p w:rsidR="002308C9" w:rsidRPr="00A94801" w:rsidRDefault="002308C9" w:rsidP="002308C9">
      <w:pPr>
        <w:pStyle w:val="Hapesira7"/>
        <w:rPr>
          <w:spacing w:val="-4"/>
          <w:lang w:val="sq-AL"/>
        </w:rPr>
      </w:pPr>
    </w:p>
    <w:p w:rsidR="002308C9" w:rsidRPr="00A94801" w:rsidRDefault="002308C9" w:rsidP="002308C9">
      <w:pPr>
        <w:pStyle w:val="Paragrafi"/>
        <w:ind w:firstLine="0"/>
        <w:rPr>
          <w:b/>
          <w:spacing w:val="-4"/>
          <w:lang w:val="sq-AL"/>
        </w:rPr>
      </w:pPr>
      <w:r w:rsidRPr="00A94801">
        <w:rPr>
          <w:b/>
          <w:spacing w:val="-4"/>
          <w:lang w:val="sq-AL"/>
        </w:rPr>
        <w:t>Shpallur me dekretin nr. 9453, datë 1.3.2016 të Presidentit të Republikës së Shqipërisë Bujar Nishani</w:t>
      </w:r>
    </w:p>
    <w:p w:rsidR="00C038B6" w:rsidRDefault="002308C9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8C9" w:rsidRDefault="002308C9" w:rsidP="002308C9">
      <w:pPr>
        <w:spacing w:after="0" w:line="240" w:lineRule="auto"/>
      </w:pPr>
      <w:r>
        <w:separator/>
      </w:r>
    </w:p>
  </w:endnote>
  <w:endnote w:type="continuationSeparator" w:id="0">
    <w:p w:rsidR="002308C9" w:rsidRDefault="002308C9" w:rsidP="00230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8C9" w:rsidRDefault="002308C9" w:rsidP="002308C9">
      <w:pPr>
        <w:spacing w:after="0" w:line="240" w:lineRule="auto"/>
      </w:pPr>
      <w:r>
        <w:separator/>
      </w:r>
    </w:p>
  </w:footnote>
  <w:footnote w:type="continuationSeparator" w:id="0">
    <w:p w:rsidR="002308C9" w:rsidRDefault="002308C9" w:rsidP="002308C9">
      <w:pPr>
        <w:spacing w:after="0" w:line="240" w:lineRule="auto"/>
      </w:pPr>
      <w:r>
        <w:continuationSeparator/>
      </w:r>
    </w:p>
  </w:footnote>
  <w:footnote w:id="1">
    <w:p w:rsidR="002308C9" w:rsidRPr="00296D5C" w:rsidRDefault="002308C9" w:rsidP="002308C9">
      <w:pPr>
        <w:spacing w:after="0" w:line="240" w:lineRule="auto"/>
        <w:ind w:firstLine="0"/>
        <w:rPr>
          <w:rFonts w:ascii="Garamond" w:hAnsi="Garamond"/>
          <w:i/>
          <w:sz w:val="20"/>
          <w:szCs w:val="20"/>
          <w:lang w:val="sq-AL"/>
        </w:rPr>
      </w:pPr>
      <w:r w:rsidRPr="00296D5C">
        <w:rPr>
          <w:rStyle w:val="FootnoteReference"/>
          <w:rFonts w:ascii="Garamond" w:hAnsi="Garamond"/>
          <w:sz w:val="20"/>
          <w:szCs w:val="20"/>
          <w:lang w:val="sq-AL"/>
        </w:rPr>
        <w:footnoteRef/>
      </w:r>
      <w:r w:rsidRPr="00296D5C">
        <w:rPr>
          <w:rFonts w:ascii="Garamond" w:hAnsi="Garamond"/>
          <w:sz w:val="20"/>
          <w:szCs w:val="20"/>
          <w:lang w:val="sq-AL"/>
        </w:rPr>
        <w:t xml:space="preserve"> </w:t>
      </w:r>
      <w:r w:rsidRPr="00296D5C">
        <w:rPr>
          <w:rFonts w:ascii="Garamond" w:hAnsi="Garamond"/>
          <w:i/>
          <w:sz w:val="20"/>
          <w:szCs w:val="20"/>
          <w:lang w:val="sq-AL"/>
        </w:rPr>
        <w:t>Ky ligj është përafruar pjesërisht me:</w:t>
      </w:r>
    </w:p>
    <w:p w:rsidR="002308C9" w:rsidRPr="00296D5C" w:rsidRDefault="002308C9" w:rsidP="002308C9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Garamond" w:hAnsi="Garamond"/>
          <w:i/>
          <w:sz w:val="20"/>
          <w:szCs w:val="20"/>
          <w:lang w:val="sq-AL"/>
        </w:rPr>
      </w:pPr>
      <w:r w:rsidRPr="00296D5C">
        <w:rPr>
          <w:rFonts w:ascii="Garamond" w:hAnsi="Garamond"/>
          <w:i/>
          <w:sz w:val="20"/>
          <w:szCs w:val="20"/>
          <w:lang w:val="sq-AL"/>
        </w:rPr>
        <w:tab/>
        <w:t>Direktivën 2010/40/BE të Parlamentit Evropian dhe Këshillit, datë 7 qershor 2010, “Mbi kuadrin për vendosjen e sistemeve inteligjente në transport në fushën e transportit rrugor dhe për lidhjen me mënyrat e tjera të transportit”, nr. CELEX 321010L0040, Fletore Zyrtare e Bashkimit Evropian, L 207, datë 6.8.2010, faqe 1–13.</w:t>
      </w:r>
    </w:p>
    <w:p w:rsidR="002308C9" w:rsidRPr="00296D5C" w:rsidRDefault="002308C9" w:rsidP="002308C9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Garamond" w:hAnsi="Garamond"/>
          <w:i/>
          <w:sz w:val="20"/>
          <w:szCs w:val="20"/>
          <w:lang w:val="sq-AL"/>
        </w:rPr>
      </w:pPr>
      <w:r w:rsidRPr="00296D5C">
        <w:rPr>
          <w:rFonts w:ascii="Garamond" w:hAnsi="Garamond"/>
          <w:i/>
          <w:sz w:val="20"/>
          <w:szCs w:val="20"/>
          <w:lang w:val="sq-AL"/>
        </w:rPr>
        <w:tab/>
        <w:t>Direktivën 2006/22/KE të Parlamentit Evropian dhe Këshillit, datë 15 mars 2006, “Mbi kushtet minimale për implementimin e rregulloreve të Këshillit (KEE) nr. 3820/85 dhe (KEE) nr. 3821/85 në lidhje me legjislacionin social në veprimtaritë e transportit rrugor, e cila shfuqizon direktivën e Këshillit 88/599/KEE”, Nr. CELEX 32006L0022, Fletore Zyrtare e Bashkimit Evropian, L 102, 11.4.2006, faqe 35.</w:t>
      </w:r>
    </w:p>
    <w:p w:rsidR="002308C9" w:rsidRPr="00296D5C" w:rsidRDefault="002308C9" w:rsidP="002308C9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Garamond" w:hAnsi="Garamond"/>
          <w:i/>
          <w:sz w:val="20"/>
          <w:szCs w:val="20"/>
          <w:lang w:val="sq-AL"/>
        </w:rPr>
      </w:pPr>
      <w:r w:rsidRPr="00296D5C">
        <w:rPr>
          <w:rFonts w:ascii="Garamond" w:hAnsi="Garamond"/>
          <w:i/>
          <w:sz w:val="20"/>
          <w:szCs w:val="20"/>
          <w:lang w:val="sq-AL"/>
        </w:rPr>
        <w:tab/>
        <w:t xml:space="preserve">Direktivën 2003/59/KE të Parlamentit Evropian dhe Këshillit, datë 15 korrik 2003, “Mbi kualifikimin fillestar dhe trajnimin periodik të drejtuesve të disa mjeteve rrugore për transportin e mallrave dhe udhëtarëve, që amendon Rregulloren e Këshillit (KEE) nr. 3820/85 dhe Direktivën e Këshillit 91/439/KEE dhe që shfuqizon Direktivën e Këshillit 76/914/KEE”, nr. CELEX  32003L0059, Fletore Zyrtare e Bashkimit Evropian, L 226, 10.9.2003, faqe 4-17. </w:t>
      </w:r>
    </w:p>
    <w:p w:rsidR="002308C9" w:rsidRPr="00296D5C" w:rsidRDefault="002308C9" w:rsidP="002308C9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Garamond" w:hAnsi="Garamond"/>
          <w:i/>
          <w:sz w:val="20"/>
          <w:szCs w:val="20"/>
          <w:lang w:val="sq-AL"/>
        </w:rPr>
      </w:pPr>
      <w:r w:rsidRPr="00296D5C">
        <w:rPr>
          <w:rFonts w:ascii="Garamond" w:hAnsi="Garamond"/>
          <w:i/>
          <w:sz w:val="20"/>
          <w:szCs w:val="20"/>
          <w:lang w:val="sq-AL"/>
        </w:rPr>
        <w:tab/>
        <w:t>Rregulloren (KE) nr. 1071/2009 të Parlamentit Evropian dhe Këshillit, datë 21 tetor 2009, “Mbi vendosjen e rregullave të përbashkëta në lidhje me kushtet që duhet të plotësohen për ushtrimin e profesionit të operatorit të transportit rrugor, e cila shfuqizon direktivën e Këshillit 96/26/KE”, nr. CELEX 32009R1071, Fletore Zyrtare e Bashkimit Evropian L 300, 14.11.2009, faqe 51-71.</w:t>
      </w:r>
    </w:p>
    <w:p w:rsidR="002308C9" w:rsidRPr="00296D5C" w:rsidRDefault="002308C9" w:rsidP="002308C9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Garamond" w:hAnsi="Garamond"/>
          <w:i/>
          <w:sz w:val="20"/>
          <w:szCs w:val="20"/>
          <w:lang w:val="sq-AL"/>
        </w:rPr>
      </w:pPr>
      <w:r w:rsidRPr="00296D5C">
        <w:rPr>
          <w:rFonts w:ascii="Garamond" w:hAnsi="Garamond"/>
          <w:i/>
          <w:sz w:val="20"/>
          <w:szCs w:val="20"/>
          <w:lang w:val="sq-AL"/>
        </w:rPr>
        <w:tab/>
        <w:t>Rregulloren (KE) nr.1072/2009 të Parlamentit Evropian dhe Këshillit, datë 21 tetor 2009, “Mbi rregullat e përbashkëta për hyrjen në tregun ndërkombëtar të transportuesve rrugore të mallrave”, Nr. CELEX 32009R1072, Fletore Zyrtare e Bashkimit Evropian, L 300, datë 14.11.2009, faqe 72.</w:t>
      </w:r>
    </w:p>
    <w:p w:rsidR="002308C9" w:rsidRPr="00286875" w:rsidRDefault="002308C9" w:rsidP="002308C9">
      <w:pPr>
        <w:autoSpaceDE w:val="0"/>
        <w:autoSpaceDN w:val="0"/>
        <w:adjustRightInd w:val="0"/>
        <w:spacing w:after="0"/>
        <w:ind w:firstLine="0"/>
        <w:rPr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8C9"/>
    <w:rsid w:val="002308C9"/>
    <w:rsid w:val="002D1BDF"/>
    <w:rsid w:val="0046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8C9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308C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308C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308C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308C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308C9"/>
    <w:rPr>
      <w:rFonts w:ascii="Garamond" w:eastAsia="MS Mincho" w:hAnsi="Garamond" w:cs="CG Times"/>
      <w:sz w:val="24"/>
      <w:lang w:val="en-GB"/>
    </w:rPr>
  </w:style>
  <w:style w:type="paragraph" w:customStyle="1" w:styleId="Vendosi">
    <w:name w:val="Vendosi"/>
    <w:basedOn w:val="Normal"/>
    <w:qFormat/>
    <w:rsid w:val="002308C9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2308C9"/>
    <w:rPr>
      <w:sz w:val="14"/>
      <w:szCs w:val="24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qFormat/>
    <w:rsid w:val="002308C9"/>
    <w:rPr>
      <w:vertAlign w:val="superscript"/>
    </w:rPr>
  </w:style>
  <w:style w:type="paragraph" w:customStyle="1" w:styleId="AUTORITETI">
    <w:name w:val="AUTORITETI"/>
    <w:basedOn w:val="Paragrafi"/>
    <w:qFormat/>
    <w:rsid w:val="002308C9"/>
    <w:pPr>
      <w:ind w:firstLine="0"/>
      <w:jc w:val="right"/>
    </w:pPr>
    <w:rPr>
      <w:rFonts w:cs="Times New Roman"/>
      <w:cap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8C9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308C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308C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308C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308C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308C9"/>
    <w:rPr>
      <w:rFonts w:ascii="Garamond" w:eastAsia="MS Mincho" w:hAnsi="Garamond" w:cs="CG Times"/>
      <w:sz w:val="24"/>
      <w:lang w:val="en-GB"/>
    </w:rPr>
  </w:style>
  <w:style w:type="paragraph" w:customStyle="1" w:styleId="Vendosi">
    <w:name w:val="Vendosi"/>
    <w:basedOn w:val="Normal"/>
    <w:qFormat/>
    <w:rsid w:val="002308C9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2308C9"/>
    <w:rPr>
      <w:sz w:val="14"/>
      <w:szCs w:val="24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qFormat/>
    <w:rsid w:val="002308C9"/>
    <w:rPr>
      <w:vertAlign w:val="superscript"/>
    </w:rPr>
  </w:style>
  <w:style w:type="paragraph" w:customStyle="1" w:styleId="AUTORITETI">
    <w:name w:val="AUTORITETI"/>
    <w:basedOn w:val="Paragrafi"/>
    <w:qFormat/>
    <w:rsid w:val="002308C9"/>
    <w:pPr>
      <w:ind w:firstLine="0"/>
      <w:jc w:val="right"/>
    </w:pPr>
    <w:rPr>
      <w:rFonts w:cs="Times New Roman"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2016-03-15T09:33:00Z</dcterms:created>
  <dcterms:modified xsi:type="dcterms:W3CDTF">2016-03-15T09:34:00Z</dcterms:modified>
</cp:coreProperties>
</file>