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768" w:rsidRPr="003A5768" w:rsidRDefault="003A5768" w:rsidP="003A5768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3A5768">
        <w:rPr>
          <w:rFonts w:ascii="Garamond" w:hAnsi="Garamond"/>
          <w:b/>
          <w:sz w:val="24"/>
          <w:szCs w:val="24"/>
          <w:lang w:val="sq-AL"/>
        </w:rPr>
        <w:t>LIGJ</w:t>
      </w:r>
    </w:p>
    <w:p w:rsidR="003A5768" w:rsidRPr="003A5768" w:rsidRDefault="003A5768" w:rsidP="003A5768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color w:val="000000"/>
          <w:sz w:val="24"/>
          <w:szCs w:val="24"/>
          <w:lang w:val="sq-AL"/>
        </w:rPr>
      </w:pPr>
      <w:r w:rsidRPr="003A5768">
        <w:rPr>
          <w:rFonts w:ascii="Garamond" w:eastAsia="Times New Roman" w:hAnsi="Garamond"/>
          <w:b/>
          <w:sz w:val="24"/>
          <w:szCs w:val="24"/>
          <w:lang w:val="sq-AL"/>
        </w:rPr>
        <w:t>Nr. 36/2016</w:t>
      </w: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 w:eastAsia="hr-HR"/>
        </w:rPr>
      </w:pPr>
    </w:p>
    <w:p w:rsidR="003A5768" w:rsidRPr="003A5768" w:rsidRDefault="003A5768" w:rsidP="003A5768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3A5768">
        <w:rPr>
          <w:rFonts w:ascii="Garamond" w:hAnsi="Garamond"/>
          <w:b/>
          <w:bCs/>
          <w:sz w:val="24"/>
          <w:szCs w:val="24"/>
          <w:lang w:val="sq-AL"/>
        </w:rPr>
        <w:t>PËR DISA SHTESA DHE NDRYSHIME NË LIGJIN NR. 10 198, DATË 10.12.2009, “PËR SIPËRMARRJET E INVESTIMEVE KOLEKTIVE”</w:t>
      </w:r>
      <w:r w:rsidRPr="003A5768">
        <w:rPr>
          <w:rFonts w:ascii="Garamond" w:hAnsi="Garamond"/>
          <w:b/>
          <w:bCs/>
          <w:sz w:val="24"/>
          <w:szCs w:val="24"/>
          <w:vertAlign w:val="superscript"/>
          <w:lang w:val="sq-AL"/>
        </w:rPr>
        <w:footnoteReference w:id="1"/>
      </w: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/>
        </w:rPr>
      </w:pP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 xml:space="preserve">Në mbështetje të neneve 78 dhe 83, pika 1, të Kushtetutës, me propozimin e Këshillit të Ministrave, </w:t>
      </w: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/>
        </w:rPr>
      </w:pPr>
    </w:p>
    <w:p w:rsidR="003A5768" w:rsidRPr="003A5768" w:rsidRDefault="003A5768" w:rsidP="003A5768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</w:p>
    <w:p w:rsidR="003A5768" w:rsidRPr="003A5768" w:rsidRDefault="003A5768" w:rsidP="003A5768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</w:p>
    <w:p w:rsidR="003A5768" w:rsidRPr="003A5768" w:rsidRDefault="003A5768" w:rsidP="003A5768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>KUVENDI</w:t>
      </w:r>
    </w:p>
    <w:p w:rsidR="003A5768" w:rsidRPr="003A5768" w:rsidRDefault="003A5768" w:rsidP="003A5768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>I REPUBLIKËS SË SHQIPËRISË</w:t>
      </w:r>
    </w:p>
    <w:p w:rsidR="003A5768" w:rsidRPr="003A5768" w:rsidRDefault="003A5768" w:rsidP="003A5768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>VENDOSI:</w:t>
      </w: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</w:rPr>
      </w:pPr>
    </w:p>
    <w:p w:rsidR="003A5768" w:rsidRPr="003A5768" w:rsidRDefault="003A5768" w:rsidP="003A5768">
      <w:pPr>
        <w:widowControl w:val="0"/>
        <w:tabs>
          <w:tab w:val="num" w:pos="3240"/>
        </w:tabs>
        <w:spacing w:after="0" w:line="240" w:lineRule="auto"/>
        <w:outlineLvl w:val="8"/>
        <w:rPr>
          <w:rFonts w:ascii="Garamond" w:eastAsia="MS Mincho" w:hAnsi="Garamond"/>
          <w:iCs/>
          <w:sz w:val="24"/>
          <w:szCs w:val="24"/>
        </w:rPr>
      </w:pPr>
      <w:proofErr w:type="spellStart"/>
      <w:proofErr w:type="gramStart"/>
      <w:r w:rsidRPr="003A5768">
        <w:rPr>
          <w:rFonts w:ascii="Garamond" w:eastAsia="MS Mincho" w:hAnsi="Garamond"/>
          <w:iCs/>
          <w:sz w:val="24"/>
          <w:szCs w:val="24"/>
        </w:rPr>
        <w:t>Në</w:t>
      </w:r>
      <w:proofErr w:type="spellEnd"/>
      <w:r w:rsidRPr="003A5768">
        <w:rPr>
          <w:rFonts w:ascii="Garamond" w:eastAsia="MS Mincho" w:hAnsi="Garamond"/>
          <w:iCs/>
          <w:sz w:val="24"/>
          <w:szCs w:val="24"/>
        </w:rPr>
        <w:t xml:space="preserve"> </w:t>
      </w:r>
      <w:proofErr w:type="spellStart"/>
      <w:r w:rsidRPr="003A5768">
        <w:rPr>
          <w:rFonts w:ascii="Garamond" w:eastAsia="MS Mincho" w:hAnsi="Garamond"/>
          <w:iCs/>
          <w:sz w:val="24"/>
          <w:szCs w:val="24"/>
        </w:rPr>
        <w:t>ligjin</w:t>
      </w:r>
      <w:proofErr w:type="spellEnd"/>
      <w:r w:rsidRPr="003A5768">
        <w:rPr>
          <w:rFonts w:ascii="Garamond" w:eastAsia="MS Mincho" w:hAnsi="Garamond"/>
          <w:iCs/>
          <w:sz w:val="24"/>
          <w:szCs w:val="24"/>
        </w:rPr>
        <w:t xml:space="preserve"> nr.</w:t>
      </w:r>
      <w:proofErr w:type="gramEnd"/>
      <w:r w:rsidRPr="003A5768">
        <w:rPr>
          <w:rFonts w:ascii="Garamond" w:eastAsia="MS Mincho" w:hAnsi="Garamond"/>
          <w:iCs/>
          <w:sz w:val="24"/>
          <w:szCs w:val="24"/>
        </w:rPr>
        <w:t xml:space="preserve"> 10198, </w:t>
      </w:r>
      <w:proofErr w:type="spellStart"/>
      <w:r w:rsidRPr="003A5768">
        <w:rPr>
          <w:rFonts w:ascii="Garamond" w:eastAsia="MS Mincho" w:hAnsi="Garamond"/>
          <w:iCs/>
          <w:sz w:val="24"/>
          <w:szCs w:val="24"/>
        </w:rPr>
        <w:t>datë</w:t>
      </w:r>
      <w:proofErr w:type="spellEnd"/>
      <w:r w:rsidRPr="003A5768">
        <w:rPr>
          <w:rFonts w:ascii="Garamond" w:eastAsia="MS Mincho" w:hAnsi="Garamond"/>
          <w:iCs/>
          <w:sz w:val="24"/>
          <w:szCs w:val="24"/>
        </w:rPr>
        <w:t xml:space="preserve"> 10.12.2009, “</w:t>
      </w:r>
      <w:proofErr w:type="spellStart"/>
      <w:r w:rsidRPr="003A5768">
        <w:rPr>
          <w:rFonts w:ascii="Garamond" w:eastAsia="MS Mincho" w:hAnsi="Garamond"/>
          <w:iCs/>
          <w:sz w:val="24"/>
          <w:szCs w:val="24"/>
        </w:rPr>
        <w:t>Për</w:t>
      </w:r>
      <w:proofErr w:type="spellEnd"/>
      <w:r w:rsidRPr="003A5768">
        <w:rPr>
          <w:rFonts w:ascii="Garamond" w:eastAsia="MS Mincho" w:hAnsi="Garamond"/>
          <w:iCs/>
          <w:sz w:val="24"/>
          <w:szCs w:val="24"/>
        </w:rPr>
        <w:t xml:space="preserve"> </w:t>
      </w:r>
      <w:proofErr w:type="spellStart"/>
      <w:r w:rsidRPr="003A5768">
        <w:rPr>
          <w:rFonts w:ascii="Garamond" w:eastAsia="MS Mincho" w:hAnsi="Garamond"/>
          <w:iCs/>
          <w:sz w:val="24"/>
          <w:szCs w:val="24"/>
        </w:rPr>
        <w:t>sipërmarrjet</w:t>
      </w:r>
      <w:proofErr w:type="spellEnd"/>
      <w:r w:rsidRPr="003A5768">
        <w:rPr>
          <w:rFonts w:ascii="Garamond" w:eastAsia="MS Mincho" w:hAnsi="Garamond"/>
          <w:iCs/>
          <w:sz w:val="24"/>
          <w:szCs w:val="24"/>
        </w:rPr>
        <w:t xml:space="preserve"> e </w:t>
      </w:r>
      <w:proofErr w:type="spellStart"/>
      <w:r w:rsidRPr="003A5768">
        <w:rPr>
          <w:rFonts w:ascii="Garamond" w:eastAsia="MS Mincho" w:hAnsi="Garamond"/>
          <w:iCs/>
          <w:sz w:val="24"/>
          <w:szCs w:val="24"/>
        </w:rPr>
        <w:t>investimeve</w:t>
      </w:r>
      <w:proofErr w:type="spellEnd"/>
      <w:r w:rsidRPr="003A5768">
        <w:rPr>
          <w:rFonts w:ascii="Garamond" w:eastAsia="MS Mincho" w:hAnsi="Garamond"/>
          <w:iCs/>
          <w:sz w:val="24"/>
          <w:szCs w:val="24"/>
        </w:rPr>
        <w:t xml:space="preserve"> </w:t>
      </w:r>
      <w:proofErr w:type="spellStart"/>
      <w:r w:rsidRPr="003A5768">
        <w:rPr>
          <w:rFonts w:ascii="Garamond" w:eastAsia="MS Mincho" w:hAnsi="Garamond"/>
          <w:iCs/>
          <w:sz w:val="24"/>
          <w:szCs w:val="24"/>
        </w:rPr>
        <w:t>kolektive</w:t>
      </w:r>
      <w:proofErr w:type="spellEnd"/>
      <w:r w:rsidRPr="003A5768">
        <w:rPr>
          <w:rFonts w:ascii="Garamond" w:eastAsia="MS Mincho" w:hAnsi="Garamond"/>
          <w:iCs/>
          <w:sz w:val="24"/>
          <w:szCs w:val="24"/>
        </w:rPr>
        <w:t xml:space="preserve">”, </w:t>
      </w:r>
      <w:proofErr w:type="spellStart"/>
      <w:r w:rsidRPr="003A5768">
        <w:rPr>
          <w:rFonts w:ascii="Garamond" w:eastAsia="MS Mincho" w:hAnsi="Garamond"/>
          <w:iCs/>
          <w:sz w:val="24"/>
          <w:szCs w:val="24"/>
        </w:rPr>
        <w:t>bëhen</w:t>
      </w:r>
      <w:proofErr w:type="spellEnd"/>
      <w:r w:rsidRPr="003A5768">
        <w:rPr>
          <w:rFonts w:ascii="Garamond" w:eastAsia="MS Mincho" w:hAnsi="Garamond"/>
          <w:iCs/>
          <w:sz w:val="24"/>
          <w:szCs w:val="24"/>
        </w:rPr>
        <w:t xml:space="preserve"> </w:t>
      </w:r>
      <w:proofErr w:type="spellStart"/>
      <w:r w:rsidRPr="003A5768">
        <w:rPr>
          <w:rFonts w:ascii="Garamond" w:eastAsia="MS Mincho" w:hAnsi="Garamond"/>
          <w:iCs/>
          <w:sz w:val="24"/>
          <w:szCs w:val="24"/>
        </w:rPr>
        <w:t>këto</w:t>
      </w:r>
      <w:proofErr w:type="spellEnd"/>
      <w:r w:rsidRPr="003A5768">
        <w:rPr>
          <w:rFonts w:ascii="Garamond" w:eastAsia="MS Mincho" w:hAnsi="Garamond"/>
          <w:iCs/>
          <w:sz w:val="24"/>
          <w:szCs w:val="24"/>
        </w:rPr>
        <w:t xml:space="preserve"> </w:t>
      </w:r>
      <w:proofErr w:type="spellStart"/>
      <w:r w:rsidRPr="003A5768">
        <w:rPr>
          <w:rFonts w:ascii="Garamond" w:eastAsia="MS Mincho" w:hAnsi="Garamond"/>
          <w:iCs/>
          <w:sz w:val="24"/>
          <w:szCs w:val="24"/>
        </w:rPr>
        <w:t>shtesa</w:t>
      </w:r>
      <w:proofErr w:type="spellEnd"/>
      <w:r w:rsidRPr="003A5768">
        <w:rPr>
          <w:rFonts w:ascii="Garamond" w:eastAsia="MS Mincho" w:hAnsi="Garamond"/>
          <w:iCs/>
          <w:sz w:val="24"/>
          <w:szCs w:val="24"/>
        </w:rPr>
        <w:t xml:space="preserve"> </w:t>
      </w:r>
      <w:proofErr w:type="spellStart"/>
      <w:r w:rsidRPr="003A5768">
        <w:rPr>
          <w:rFonts w:ascii="Garamond" w:eastAsia="MS Mincho" w:hAnsi="Garamond"/>
          <w:iCs/>
          <w:sz w:val="24"/>
          <w:szCs w:val="24"/>
        </w:rPr>
        <w:t>dhe</w:t>
      </w:r>
      <w:proofErr w:type="spellEnd"/>
      <w:r w:rsidRPr="003A5768">
        <w:rPr>
          <w:rFonts w:ascii="Garamond" w:eastAsia="MS Mincho" w:hAnsi="Garamond"/>
          <w:iCs/>
          <w:sz w:val="24"/>
          <w:szCs w:val="24"/>
        </w:rPr>
        <w:t xml:space="preserve"> </w:t>
      </w:r>
      <w:proofErr w:type="spellStart"/>
      <w:r w:rsidRPr="003A5768">
        <w:rPr>
          <w:rFonts w:ascii="Garamond" w:eastAsia="MS Mincho" w:hAnsi="Garamond"/>
          <w:iCs/>
          <w:sz w:val="24"/>
          <w:szCs w:val="24"/>
        </w:rPr>
        <w:t>ndryshime</w:t>
      </w:r>
      <w:proofErr w:type="spellEnd"/>
      <w:r w:rsidRPr="003A5768">
        <w:rPr>
          <w:rFonts w:ascii="Garamond" w:eastAsia="MS Mincho" w:hAnsi="Garamond"/>
          <w:iCs/>
          <w:sz w:val="24"/>
          <w:szCs w:val="24"/>
        </w:rPr>
        <w:t>:</w:t>
      </w: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 w:eastAsia="hr-HR"/>
        </w:rPr>
      </w:pPr>
    </w:p>
    <w:p w:rsidR="003A5768" w:rsidRPr="003A5768" w:rsidRDefault="003A5768" w:rsidP="003A5768">
      <w:pPr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i/>
          <w:iCs/>
          <w:sz w:val="24"/>
          <w:lang w:val="en-GB" w:eastAsia="hr-HR"/>
        </w:rPr>
      </w:pPr>
      <w:proofErr w:type="spellStart"/>
      <w:r w:rsidRPr="003A5768">
        <w:rPr>
          <w:rFonts w:ascii="Garamond" w:eastAsia="MS Mincho" w:hAnsi="Garamond" w:cs="CG Times"/>
          <w:sz w:val="24"/>
          <w:lang w:val="en-GB" w:eastAsia="hr-HR"/>
        </w:rPr>
        <w:t>Neni</w:t>
      </w:r>
      <w:proofErr w:type="spellEnd"/>
      <w:r w:rsidRPr="003A5768">
        <w:rPr>
          <w:rFonts w:ascii="Garamond" w:eastAsia="MS Mincho" w:hAnsi="Garamond" w:cs="CG Times"/>
          <w:sz w:val="24"/>
          <w:lang w:val="en-GB" w:eastAsia="hr-HR"/>
        </w:rPr>
        <w:t xml:space="preserve"> 1</w:t>
      </w: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 w:eastAsia="hr-HR"/>
        </w:rPr>
      </w:pP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 w:eastAsia="hr-HR"/>
        </w:rPr>
      </w:pPr>
      <w:r w:rsidRPr="003A5768">
        <w:rPr>
          <w:rFonts w:ascii="Garamond" w:hAnsi="Garamond"/>
          <w:sz w:val="24"/>
          <w:szCs w:val="24"/>
          <w:lang w:val="sq-AL" w:eastAsia="hr-HR"/>
        </w:rPr>
        <w:tab/>
        <w:t xml:space="preserve">Në nenin 19, pas pikës 4 shtohen pikat 5 dhe 6 me këtë përmbajtje: 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“5. Shoqëria administruese krijon një sistem gjithëpërfshirës dhe efektiv të administrimit të riskut, në përputhje me natyrën, shkallën dhe kompleksitetin e veprimtarisë së saj të biznesit, i cili duhet të përmbajë, të paktën: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a) strategjinë e administrimit të riskut, politikat, procedurat dhe masat;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b) teknikat e matjes së riskut;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c) ndarjen e përgjegjësive që kanë të bëjnë me administrimin e riskut.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6. Autoriteti miraton rregulla për administrimin e riskut, në përputhje me pikën 5, të këtij neni, 3 muaj pas hyrjes në fuqi të këtij ligji.”.</w:t>
      </w:r>
    </w:p>
    <w:p w:rsidR="003A5768" w:rsidRPr="003A5768" w:rsidRDefault="003A5768" w:rsidP="003A5768">
      <w:pPr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z w:val="24"/>
          <w:lang w:val="en-GB" w:eastAsia="hr-HR"/>
        </w:rPr>
      </w:pPr>
      <w:proofErr w:type="spellStart"/>
      <w:r w:rsidRPr="003A5768">
        <w:rPr>
          <w:rFonts w:ascii="Garamond" w:eastAsia="MS Mincho" w:hAnsi="Garamond" w:cs="CG Times"/>
          <w:sz w:val="24"/>
          <w:lang w:val="en-GB" w:eastAsia="hr-HR"/>
        </w:rPr>
        <w:t>Neni</w:t>
      </w:r>
      <w:proofErr w:type="spellEnd"/>
      <w:r w:rsidRPr="003A5768">
        <w:rPr>
          <w:rFonts w:ascii="Garamond" w:eastAsia="MS Mincho" w:hAnsi="Garamond" w:cs="CG Times"/>
          <w:sz w:val="24"/>
          <w:lang w:val="en-GB" w:eastAsia="hr-HR"/>
        </w:rPr>
        <w:t xml:space="preserve"> 2</w:t>
      </w: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 w:eastAsia="hr-HR"/>
        </w:rPr>
      </w:pP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 w:eastAsia="hr-HR"/>
        </w:rPr>
      </w:pPr>
      <w:r w:rsidRPr="003A5768">
        <w:rPr>
          <w:rFonts w:ascii="Garamond" w:hAnsi="Garamond"/>
          <w:sz w:val="24"/>
          <w:szCs w:val="24"/>
          <w:lang w:val="sq-AL" w:eastAsia="hr-HR"/>
        </w:rPr>
        <w:tab/>
        <w:t>Në nenin 120 bëhen ndryshimet dhe shtesat si më poshtë: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1. Titulli i nenit ndryshohet si më poshtë: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eastAsia="MingLiU-ExtB" w:hAnsi="Garamond"/>
          <w:color w:val="00B050"/>
          <w:sz w:val="24"/>
          <w:szCs w:val="24"/>
          <w:lang w:val="sq-AL"/>
        </w:rPr>
        <w:tab/>
      </w:r>
      <w:r w:rsidRPr="003A5768">
        <w:rPr>
          <w:rFonts w:ascii="Garamond" w:hAnsi="Garamond"/>
          <w:sz w:val="24"/>
          <w:szCs w:val="24"/>
          <w:lang w:val="sq-AL"/>
        </w:rPr>
        <w:t xml:space="preserve">“Pezullimi i shitjes dhe i shlyerjes së kuotave në një fond investimi”.    </w:t>
      </w:r>
    </w:p>
    <w:p w:rsidR="003A5768" w:rsidRPr="003A5768" w:rsidRDefault="003A5768" w:rsidP="003A5768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 xml:space="preserve">2. Në pikën 1 </w:t>
      </w:r>
      <w:r w:rsidRPr="003A5768">
        <w:rPr>
          <w:rFonts w:ascii="Garamond" w:hAnsi="Garamond"/>
          <w:sz w:val="24"/>
          <w:szCs w:val="24"/>
          <w:lang w:val="sq-AL" w:eastAsia="hr-HR"/>
        </w:rPr>
        <w:t xml:space="preserve">bëhen këto ndryshime dhe shtesa: </w:t>
      </w:r>
      <w:r w:rsidRPr="003A5768">
        <w:rPr>
          <w:rFonts w:ascii="Garamond" w:hAnsi="Garamond"/>
          <w:sz w:val="24"/>
          <w:szCs w:val="24"/>
          <w:lang w:val="sq-AL"/>
        </w:rPr>
        <w:t xml:space="preserve"> </w:t>
      </w:r>
    </w:p>
    <w:p w:rsidR="003A5768" w:rsidRPr="003A5768" w:rsidRDefault="003A5768" w:rsidP="003A5768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>a) Hiqen fjalët “nuk është i mundur të përcaktohet çmimi i saktë i aseteve në portofolin e fondit dhe se”.</w:t>
      </w:r>
      <w:r w:rsidRPr="003A5768">
        <w:rPr>
          <w:rFonts w:ascii="Garamond" w:hAnsi="Garamond"/>
          <w:i/>
          <w:sz w:val="24"/>
          <w:szCs w:val="24"/>
          <w:lang w:val="sq-AL"/>
        </w:rPr>
        <w:t xml:space="preserve">    </w:t>
      </w:r>
    </w:p>
    <w:p w:rsidR="003A5768" w:rsidRPr="003A5768" w:rsidRDefault="003A5768" w:rsidP="003A5768">
      <w:pPr>
        <w:widowControl w:val="0"/>
        <w:tabs>
          <w:tab w:val="left" w:pos="360"/>
          <w:tab w:val="left" w:pos="2250"/>
        </w:tabs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 xml:space="preserve">b) Pas fjalisë së parë shtohet fjalia me </w:t>
      </w:r>
      <w:r w:rsidRPr="003A5768">
        <w:rPr>
          <w:rFonts w:ascii="Garamond" w:hAnsi="Garamond"/>
          <w:sz w:val="24"/>
          <w:szCs w:val="24"/>
          <w:lang w:val="sq-AL" w:eastAsia="hr-HR"/>
        </w:rPr>
        <w:t>këtë</w:t>
      </w:r>
      <w:r w:rsidRPr="003A5768">
        <w:rPr>
          <w:rFonts w:ascii="Garamond" w:hAnsi="Garamond"/>
          <w:sz w:val="24"/>
          <w:szCs w:val="24"/>
          <w:lang w:val="sq-AL"/>
        </w:rPr>
        <w:t xml:space="preserve"> përmbajtje: 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“Për të njëjtat shkaqe, të parashikuara në këtë pikë, njëkohësisht me pezullimin e shlyerjes pezullohet, gjithashtu, edhe shitja e kuotave.”.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 xml:space="preserve">3. Pas pikës 1 shtohet pika 1/1 me </w:t>
      </w:r>
      <w:r w:rsidRPr="003A5768">
        <w:rPr>
          <w:rFonts w:ascii="Garamond" w:hAnsi="Garamond"/>
          <w:sz w:val="24"/>
          <w:szCs w:val="24"/>
          <w:lang w:val="sq-AL" w:eastAsia="hr-HR"/>
        </w:rPr>
        <w:t>këtë</w:t>
      </w:r>
      <w:r w:rsidRPr="003A5768">
        <w:rPr>
          <w:rFonts w:ascii="Garamond" w:hAnsi="Garamond"/>
          <w:sz w:val="24"/>
          <w:szCs w:val="24"/>
          <w:lang w:val="sq-AL"/>
        </w:rPr>
        <w:t xml:space="preserve"> përmbajtje: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“1/1. Nëse shoqëria administruese merr vendim për pezullimin e shitjes dhe shlyerjes së kuotave dhe, nëse depozitari nuk është dakord me një vendim të tillë, ky i fundit njofton menjëherë Autoritetin.”.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4</w:t>
      </w:r>
      <w:r w:rsidRPr="003A5768">
        <w:rPr>
          <w:rFonts w:ascii="Garamond" w:hAnsi="Garamond"/>
          <w:i/>
          <w:sz w:val="24"/>
          <w:szCs w:val="24"/>
          <w:lang w:val="sq-AL"/>
        </w:rPr>
        <w:t xml:space="preserve">. </w:t>
      </w:r>
      <w:r w:rsidRPr="003A5768">
        <w:rPr>
          <w:rFonts w:ascii="Garamond" w:hAnsi="Garamond"/>
          <w:sz w:val="24"/>
          <w:szCs w:val="24"/>
          <w:lang w:val="sq-AL"/>
        </w:rPr>
        <w:t>Pika 2 ndryshohet si më poshtë: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 xml:space="preserve"> </w:t>
      </w:r>
      <w:r w:rsidRPr="003A5768">
        <w:rPr>
          <w:rFonts w:ascii="Garamond" w:hAnsi="Garamond"/>
          <w:sz w:val="24"/>
          <w:szCs w:val="24"/>
          <w:lang w:val="sq-AL"/>
        </w:rPr>
        <w:tab/>
        <w:t xml:space="preserve">“2. Shoqëria administruese, në çdo rast, i njofton menjëherë AMF-së vendimin për pezullimin e shitjes dhe të shlyerjes së kuotave. AMF-ja, pas marrjes së njoftimit, mund të urdhërojë anulimin e këtij vendimi, nëse gjykon se është në interes të publikut ose në interes të investitorëve në fond. Shoqëria administruese publikon, menjëherë, në faqen e saj zyrtare të </w:t>
      </w:r>
      <w:r w:rsidRPr="003A5768">
        <w:rPr>
          <w:rFonts w:ascii="Garamond" w:hAnsi="Garamond"/>
          <w:sz w:val="24"/>
          <w:szCs w:val="24"/>
          <w:lang w:val="sq-AL"/>
        </w:rPr>
        <w:lastRenderedPageBreak/>
        <w:t>internetit, të dhënat për çdo pezullim të shitjes e të shlyerjes së kuotave, dhe përgjatë gjithë kohëzgjatjes së pezullimit, si edhe në një gazetë të përditshme, me qarkullim në të gjithë territorin e Republikës së Shqipërisë.”.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 xml:space="preserve">5.  Pika 3 ndryshohet si më poshtë: 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“3. Shlyerja dhe shitja e kuotave në një fond investimi mund të pezullohet edhe nga AMF-ja, e cila mund të urdhërojë shoqërinë administruese dhe depozitarin të pezullojë përkohësisht shlyerjen dhe shitjen e tyre, nëse ekzistojnë shkaqe të forta dhe të justifikuara për këtë pezullim, si dhe nëse kjo është në interes të mbajtësve ekzistues të kuotave ose të mbajtësve potencialë.”.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6</w:t>
      </w:r>
      <w:r w:rsidRPr="003A5768">
        <w:rPr>
          <w:rFonts w:ascii="Garamond" w:hAnsi="Garamond"/>
          <w:i/>
          <w:sz w:val="24"/>
          <w:szCs w:val="24"/>
          <w:lang w:val="sq-AL"/>
        </w:rPr>
        <w:t xml:space="preserve">. </w:t>
      </w:r>
      <w:r w:rsidRPr="003A5768">
        <w:rPr>
          <w:rFonts w:ascii="Garamond" w:hAnsi="Garamond"/>
          <w:sz w:val="24"/>
          <w:szCs w:val="24"/>
          <w:lang w:val="sq-AL"/>
        </w:rPr>
        <w:t xml:space="preserve">Në pikën 4 </w:t>
      </w:r>
      <w:r w:rsidRPr="003A5768">
        <w:rPr>
          <w:rFonts w:ascii="Garamond" w:hAnsi="Garamond"/>
          <w:sz w:val="24"/>
          <w:szCs w:val="24"/>
          <w:lang w:val="sq-AL" w:eastAsia="hr-HR"/>
        </w:rPr>
        <w:t>bëhen ndryshimet si më poshtë:</w:t>
      </w:r>
      <w:r w:rsidRPr="003A5768">
        <w:rPr>
          <w:rFonts w:ascii="Garamond" w:hAnsi="Garamond"/>
          <w:sz w:val="24"/>
          <w:szCs w:val="24"/>
          <w:lang w:val="sq-AL"/>
        </w:rPr>
        <w:t xml:space="preserve"> 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a) Në fillim të fjalisë së parë, fjalët “Pezullimi i shlyerjes” zëvendësohen me fjalët “Pezullimi i shitjes dhe i shlyerjes”.</w:t>
      </w:r>
      <w:r w:rsidRPr="003A5768">
        <w:rPr>
          <w:rFonts w:ascii="Garamond" w:hAnsi="Garamond"/>
          <w:sz w:val="24"/>
          <w:szCs w:val="24"/>
          <w:lang w:val="sq-AL"/>
        </w:rPr>
        <w:tab/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b) Në fjalinë e parë, fraza “pasi shoqëria administruese dhe depozitari të kenë vendosur se është e mundur të përcaktohet çmimi i saktë i aseteve në portofolin e fondit” zëvendësohet me frazën “ose menjëherë sapo arsyet për pezullimin e shitjes dhe të shlyerjes nuk ekzistojnë më”.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c) Në fjalinë e dytë, pas fjalëve “fond investimi” shtohet fraza “i njoftohet pa vonesë AMF-së dhe publikohet në faqen zyrtare të internetit të shoqërisë administruese, si dhe”.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7. Në pikën 6, fjalët “një rregullore” zëvendësohen me fjalët “rregulla më të hollësishme për pezullimin e shitjes dhe të shlyerjes së kuotave në fondet e investimeve, si dhe rregulla”.</w:t>
      </w:r>
    </w:p>
    <w:p w:rsidR="003A5768" w:rsidRPr="003A5768" w:rsidRDefault="003A5768" w:rsidP="003A5768">
      <w:pPr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z w:val="24"/>
          <w:lang w:val="en-GB"/>
        </w:rPr>
      </w:pPr>
      <w:proofErr w:type="spellStart"/>
      <w:r w:rsidRPr="003A5768">
        <w:rPr>
          <w:rFonts w:ascii="Garamond" w:eastAsia="MS Mincho" w:hAnsi="Garamond" w:cs="CG Times"/>
          <w:sz w:val="24"/>
          <w:lang w:val="en-GB"/>
        </w:rPr>
        <w:t>Neni</w:t>
      </w:r>
      <w:proofErr w:type="spellEnd"/>
      <w:r w:rsidRPr="003A5768">
        <w:rPr>
          <w:rFonts w:ascii="Garamond" w:eastAsia="MS Mincho" w:hAnsi="Garamond" w:cs="CG Times"/>
          <w:sz w:val="24"/>
          <w:lang w:val="en-GB"/>
        </w:rPr>
        <w:t xml:space="preserve"> 3</w:t>
      </w: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/>
        </w:rPr>
      </w:pP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Në nenin 130, pika 1, pas shkronjës “e” shtohet shkronja “ë” me këtë përmbajtje: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 w:eastAsia="hr-HR"/>
        </w:rPr>
      </w:pPr>
      <w:r w:rsidRPr="003A5768">
        <w:rPr>
          <w:rFonts w:ascii="Garamond" w:hAnsi="Garamond"/>
          <w:sz w:val="24"/>
          <w:szCs w:val="24"/>
          <w:lang w:val="sq-AL"/>
        </w:rPr>
        <w:tab/>
        <w:t>“ë) shoqëria administruese shkel rregullat për administrimin e riskut.”.</w:t>
      </w:r>
    </w:p>
    <w:p w:rsidR="003A5768" w:rsidRPr="003A5768" w:rsidRDefault="003A5768" w:rsidP="003A57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sz w:val="14"/>
          <w:szCs w:val="24"/>
          <w:lang w:val="sq-AL" w:eastAsia="hr-HR"/>
        </w:rPr>
      </w:pPr>
    </w:p>
    <w:p w:rsidR="003A5768" w:rsidRPr="003A5768" w:rsidRDefault="003A5768" w:rsidP="003A5768">
      <w:pPr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z w:val="24"/>
          <w:lang w:val="en-GB"/>
        </w:rPr>
      </w:pPr>
    </w:p>
    <w:p w:rsidR="003A5768" w:rsidRPr="003A5768" w:rsidRDefault="003A5768" w:rsidP="003A5768">
      <w:pPr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z w:val="24"/>
          <w:lang w:val="en-GB"/>
        </w:rPr>
      </w:pPr>
      <w:proofErr w:type="spellStart"/>
      <w:r w:rsidRPr="003A5768">
        <w:rPr>
          <w:rFonts w:ascii="Garamond" w:eastAsia="MS Mincho" w:hAnsi="Garamond" w:cs="CG Times"/>
          <w:sz w:val="24"/>
          <w:lang w:val="en-GB"/>
        </w:rPr>
        <w:t>Neni</w:t>
      </w:r>
      <w:proofErr w:type="spellEnd"/>
      <w:r w:rsidRPr="003A5768">
        <w:rPr>
          <w:rFonts w:ascii="Garamond" w:eastAsia="MS Mincho" w:hAnsi="Garamond" w:cs="CG Times"/>
          <w:sz w:val="24"/>
          <w:lang w:val="en-GB"/>
        </w:rPr>
        <w:t xml:space="preserve"> 4 </w:t>
      </w:r>
    </w:p>
    <w:p w:rsidR="003A5768" w:rsidRPr="003A5768" w:rsidRDefault="003A5768" w:rsidP="003A5768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z w:val="14"/>
          <w:szCs w:val="24"/>
          <w:lang w:val="sq-AL"/>
        </w:rPr>
      </w:pP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3A5768">
        <w:rPr>
          <w:rFonts w:ascii="Garamond" w:eastAsia="Times New Roman" w:hAnsi="Garamond"/>
          <w:sz w:val="24"/>
          <w:szCs w:val="24"/>
          <w:lang w:val="sq-AL"/>
        </w:rPr>
        <w:tab/>
        <w:t>Ky ligj hyn në fuqi 15 ditë pas botimit në Fletoren Zyrtare.</w:t>
      </w: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A5768">
        <w:rPr>
          <w:rFonts w:ascii="Garamond" w:hAnsi="Garamond"/>
          <w:spacing w:val="-4"/>
          <w:sz w:val="24"/>
          <w:szCs w:val="24"/>
          <w:lang w:val="sq-AL"/>
        </w:rPr>
        <w:t>Miratuar në datën 31.3.2016</w:t>
      </w:r>
    </w:p>
    <w:p w:rsidR="003A5768" w:rsidRPr="003A5768" w:rsidRDefault="003A5768" w:rsidP="003A5768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24"/>
        </w:rPr>
      </w:pPr>
    </w:p>
    <w:p w:rsidR="003A5768" w:rsidRPr="003A5768" w:rsidRDefault="003A5768" w:rsidP="003A5768">
      <w:pPr>
        <w:widowControl w:val="0"/>
        <w:tabs>
          <w:tab w:val="left" w:pos="540"/>
        </w:tabs>
        <w:spacing w:after="0" w:line="240" w:lineRule="auto"/>
        <w:ind w:firstLine="0"/>
        <w:rPr>
          <w:rFonts w:ascii="Garamond" w:hAnsi="Garamond"/>
          <w:b/>
          <w:sz w:val="24"/>
          <w:szCs w:val="24"/>
          <w:lang w:val="sq-AL"/>
        </w:rPr>
      </w:pPr>
      <w:r w:rsidRPr="003A5768">
        <w:rPr>
          <w:rFonts w:ascii="Garamond" w:hAnsi="Garamond"/>
          <w:b/>
          <w:sz w:val="24"/>
          <w:szCs w:val="24"/>
          <w:lang w:val="sq-AL"/>
        </w:rPr>
        <w:t>Shpallur me dekretin nr. 9512, datë 14.4.2016, të Presidentit të Republikës së Shqipërisë, Bujar Nishani</w:t>
      </w:r>
    </w:p>
    <w:p w:rsidR="00B77921" w:rsidRPr="003A5768" w:rsidRDefault="00B77921" w:rsidP="003A5768">
      <w:bookmarkStart w:id="0" w:name="_GoBack"/>
      <w:bookmarkEnd w:id="0"/>
    </w:p>
    <w:sectPr w:rsidR="00B77921" w:rsidRPr="003A576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F0F" w:rsidRDefault="00B10F0F" w:rsidP="00B10F0F">
      <w:pPr>
        <w:spacing w:after="0" w:line="240" w:lineRule="auto"/>
      </w:pPr>
      <w:r>
        <w:separator/>
      </w:r>
    </w:p>
  </w:endnote>
  <w:endnote w:type="continuationSeparator" w:id="0">
    <w:p w:rsidR="00B10F0F" w:rsidRDefault="00B10F0F" w:rsidP="00B10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F0F" w:rsidRDefault="00B10F0F" w:rsidP="00B10F0F">
      <w:pPr>
        <w:spacing w:after="0" w:line="240" w:lineRule="auto"/>
      </w:pPr>
      <w:r>
        <w:separator/>
      </w:r>
    </w:p>
  </w:footnote>
  <w:footnote w:type="continuationSeparator" w:id="0">
    <w:p w:rsidR="00B10F0F" w:rsidRDefault="00B10F0F" w:rsidP="00B10F0F">
      <w:pPr>
        <w:spacing w:after="0" w:line="240" w:lineRule="auto"/>
      </w:pPr>
      <w:r>
        <w:continuationSeparator/>
      </w:r>
    </w:p>
  </w:footnote>
  <w:footnote w:id="1">
    <w:p w:rsidR="003A5768" w:rsidRPr="007D1FD0" w:rsidRDefault="003A5768" w:rsidP="003A5768">
      <w:pPr>
        <w:pStyle w:val="FootnoteText"/>
        <w:rPr>
          <w:i/>
        </w:rPr>
      </w:pPr>
      <w:r w:rsidRPr="006F5DD7">
        <w:rPr>
          <w:i/>
        </w:rPr>
        <w:tab/>
      </w:r>
      <w:r w:rsidRPr="006F5DD7">
        <w:rPr>
          <w:rStyle w:val="FootnoteReference"/>
          <w:i/>
        </w:rPr>
        <w:footnoteRef/>
      </w:r>
      <w:r w:rsidRPr="006F5DD7">
        <w:rPr>
          <w:i/>
        </w:rPr>
        <w:t xml:space="preserve"> </w:t>
      </w:r>
      <w:r>
        <w:rPr>
          <w:i/>
        </w:rPr>
        <w:t>Ky ligj është p</w:t>
      </w:r>
      <w:r w:rsidRPr="006F5DD7">
        <w:rPr>
          <w:i/>
        </w:rPr>
        <w:t>ërafruar pjesërisht</w:t>
      </w:r>
      <w:r>
        <w:rPr>
          <w:i/>
        </w:rPr>
        <w:t xml:space="preserve"> me d</w:t>
      </w:r>
      <w:r w:rsidRPr="006F5DD7">
        <w:rPr>
          <w:i/>
        </w:rPr>
        <w:t>irektivën 2009/65/KE të</w:t>
      </w:r>
      <w:r>
        <w:rPr>
          <w:i/>
        </w:rPr>
        <w:t xml:space="preserve"> Parlamentit Eu</w:t>
      </w:r>
      <w:r w:rsidRPr="006F5DD7">
        <w:rPr>
          <w:i/>
        </w:rPr>
        <w:t xml:space="preserve">ropian dhe të Këshillit, </w:t>
      </w:r>
      <w:r>
        <w:rPr>
          <w:i/>
        </w:rPr>
        <w:t>datë 13 korrik</w:t>
      </w:r>
      <w:r w:rsidRPr="006F5DD7">
        <w:rPr>
          <w:i/>
        </w:rPr>
        <w:t xml:space="preserve"> 2009</w:t>
      </w:r>
      <w:r>
        <w:rPr>
          <w:i/>
        </w:rPr>
        <w:t>, “Mbi</w:t>
      </w:r>
      <w:r w:rsidRPr="006F5DD7">
        <w:rPr>
          <w:i/>
        </w:rPr>
        <w:t xml:space="preserve"> koordinimin e ligjeve, rregulloreve dh</w:t>
      </w:r>
      <w:r>
        <w:rPr>
          <w:i/>
        </w:rPr>
        <w:t>e dispozitave administrative lidhur me sipërmarrjet për investimet</w:t>
      </w:r>
      <w:r w:rsidRPr="006F5DD7">
        <w:rPr>
          <w:i/>
        </w:rPr>
        <w:t xml:space="preserve"> kolek</w:t>
      </w:r>
      <w:r>
        <w:rPr>
          <w:i/>
        </w:rPr>
        <w:t>tive në tituj të transferueshëm (UCITS)”, të ndryshuar.</w:t>
      </w:r>
      <w:r w:rsidRPr="006F5DD7">
        <w:rPr>
          <w:i/>
        </w:rPr>
        <w:t xml:space="preserve"> Numër CELEX  32009L0065, Fleto</w:t>
      </w:r>
      <w:r>
        <w:rPr>
          <w:i/>
        </w:rPr>
        <w:t>re Zyrtare e Bashkimit Europian, Seria L 302, datë 17.11.2009, faqe 32 –96</w:t>
      </w:r>
      <w:r w:rsidRPr="006F5DD7">
        <w:rPr>
          <w:i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F0F"/>
    <w:rsid w:val="003A5768"/>
    <w:rsid w:val="00B10F0F"/>
    <w:rsid w:val="00B7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0F"/>
    <w:pPr>
      <w:ind w:firstLine="284"/>
      <w:jc w:val="both"/>
    </w:pPr>
    <w:rPr>
      <w:rFonts w:ascii="Calibri" w:eastAsia="Calibri" w:hAnsi="Calibri" w:cs="Times New Roman"/>
      <w:lang w:val="en-US"/>
    </w:rPr>
  </w:style>
  <w:style w:type="paragraph" w:styleId="Heading9">
    <w:name w:val="heading 9"/>
    <w:basedOn w:val="Normal"/>
    <w:next w:val="Normal"/>
    <w:link w:val="Heading9Char"/>
    <w:qFormat/>
    <w:rsid w:val="00B10F0F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B10F0F"/>
    <w:rPr>
      <w:rFonts w:ascii="Cambria" w:eastAsia="MS Mincho" w:hAnsi="Cambria" w:cs="Cambria"/>
      <w:i/>
      <w:iCs/>
      <w:spacing w:val="5"/>
      <w:sz w:val="20"/>
      <w:szCs w:val="20"/>
      <w:lang w:val="en-US"/>
    </w:rPr>
  </w:style>
  <w:style w:type="paragraph" w:customStyle="1" w:styleId="NeniNr">
    <w:name w:val="Neni_Nr"/>
    <w:next w:val="Normal"/>
    <w:link w:val="NeniNrChar"/>
    <w:rsid w:val="00B10F0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10F0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B10F0F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B10F0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B10F0F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B10F0F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B10F0F"/>
    <w:rPr>
      <w:vertAlign w:val="superscript"/>
    </w:rPr>
  </w:style>
  <w:style w:type="paragraph" w:customStyle="1" w:styleId="norm">
    <w:name w:val="norm"/>
    <w:basedOn w:val="Normal"/>
    <w:rsid w:val="00B10F0F"/>
    <w:pPr>
      <w:tabs>
        <w:tab w:val="left" w:pos="851"/>
        <w:tab w:val="right" w:pos="9356"/>
      </w:tabs>
      <w:spacing w:before="60" w:after="60" w:line="360" w:lineRule="atLeast"/>
      <w:ind w:firstLine="0"/>
    </w:pPr>
    <w:rPr>
      <w:rFonts w:ascii="Times New Roman" w:eastAsia="Times New Roman" w:hAnsi="Times New Roman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0F"/>
    <w:pPr>
      <w:ind w:firstLine="284"/>
      <w:jc w:val="both"/>
    </w:pPr>
    <w:rPr>
      <w:rFonts w:ascii="Calibri" w:eastAsia="Calibri" w:hAnsi="Calibri" w:cs="Times New Roman"/>
      <w:lang w:val="en-US"/>
    </w:rPr>
  </w:style>
  <w:style w:type="paragraph" w:styleId="Heading9">
    <w:name w:val="heading 9"/>
    <w:basedOn w:val="Normal"/>
    <w:next w:val="Normal"/>
    <w:link w:val="Heading9Char"/>
    <w:qFormat/>
    <w:rsid w:val="00B10F0F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B10F0F"/>
    <w:rPr>
      <w:rFonts w:ascii="Cambria" w:eastAsia="MS Mincho" w:hAnsi="Cambria" w:cs="Cambria"/>
      <w:i/>
      <w:iCs/>
      <w:spacing w:val="5"/>
      <w:sz w:val="20"/>
      <w:szCs w:val="20"/>
      <w:lang w:val="en-US"/>
    </w:rPr>
  </w:style>
  <w:style w:type="paragraph" w:customStyle="1" w:styleId="NeniNr">
    <w:name w:val="Neni_Nr"/>
    <w:next w:val="Normal"/>
    <w:link w:val="NeniNrChar"/>
    <w:rsid w:val="00B10F0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10F0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B10F0F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B10F0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B10F0F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B10F0F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B10F0F"/>
    <w:rPr>
      <w:vertAlign w:val="superscript"/>
    </w:rPr>
  </w:style>
  <w:style w:type="paragraph" w:customStyle="1" w:styleId="norm">
    <w:name w:val="norm"/>
    <w:basedOn w:val="Normal"/>
    <w:rsid w:val="00B10F0F"/>
    <w:pPr>
      <w:tabs>
        <w:tab w:val="left" w:pos="851"/>
        <w:tab w:val="right" w:pos="9356"/>
      </w:tabs>
      <w:spacing w:before="60" w:after="60" w:line="360" w:lineRule="atLeast"/>
      <w:ind w:firstLine="0"/>
    </w:pPr>
    <w:rPr>
      <w:rFonts w:ascii="Times New Roman" w:eastAsia="Times New Roman" w:hAnsi="Times New Roman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2016-04-22T10:27:00Z</dcterms:created>
  <dcterms:modified xsi:type="dcterms:W3CDTF">2018-01-17T10:59:00Z</dcterms:modified>
</cp:coreProperties>
</file>