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AEA" w:rsidRPr="00103C03" w:rsidRDefault="000D4AEA" w:rsidP="000D4AEA">
      <w:pPr>
        <w:widowControl w:val="0"/>
        <w:autoSpaceDE w:val="0"/>
        <w:autoSpaceDN w:val="0"/>
        <w:adjustRightInd w:val="0"/>
        <w:spacing w:after="0" w:line="240" w:lineRule="auto"/>
        <w:jc w:val="center"/>
        <w:rPr>
          <w:rFonts w:ascii="Garamond" w:hAnsi="Garamond"/>
          <w:spacing w:val="-4"/>
          <w:sz w:val="24"/>
          <w:szCs w:val="24"/>
        </w:rPr>
      </w:pPr>
      <w:bookmarkStart w:id="0" w:name="_GoBack"/>
      <w:bookmarkEnd w:id="0"/>
      <w:r w:rsidRPr="00103C03">
        <w:rPr>
          <w:rFonts w:ascii="Garamond" w:hAnsi="Garamond"/>
          <w:b/>
          <w:bCs/>
          <w:spacing w:val="-4"/>
          <w:sz w:val="24"/>
          <w:szCs w:val="24"/>
        </w:rPr>
        <w:t>LIGJ</w:t>
      </w:r>
    </w:p>
    <w:p w:rsidR="000D4AEA" w:rsidRPr="00103C03" w:rsidRDefault="000D4AEA" w:rsidP="000D4AEA">
      <w:pPr>
        <w:widowControl w:val="0"/>
        <w:autoSpaceDE w:val="0"/>
        <w:autoSpaceDN w:val="0"/>
        <w:adjustRightInd w:val="0"/>
        <w:spacing w:after="0" w:line="240" w:lineRule="auto"/>
        <w:jc w:val="center"/>
        <w:rPr>
          <w:rFonts w:ascii="Garamond" w:hAnsi="Garamond"/>
          <w:spacing w:val="-4"/>
          <w:sz w:val="24"/>
          <w:szCs w:val="24"/>
        </w:rPr>
      </w:pPr>
      <w:r w:rsidRPr="00103C03">
        <w:rPr>
          <w:rFonts w:ascii="Garamond" w:hAnsi="Garamond"/>
          <w:b/>
          <w:bCs/>
          <w:spacing w:val="-4"/>
          <w:sz w:val="24"/>
          <w:szCs w:val="24"/>
        </w:rPr>
        <w:t>Nr. 98/2016</w:t>
      </w:r>
    </w:p>
    <w:p w:rsidR="000D4AEA" w:rsidRPr="00103C03" w:rsidRDefault="000D4AEA" w:rsidP="000D4AEA">
      <w:pPr>
        <w:pStyle w:val="Hapesira7"/>
        <w:rPr>
          <w:spacing w:val="-4"/>
        </w:rPr>
      </w:pPr>
    </w:p>
    <w:p w:rsidR="000D4AEA" w:rsidRPr="00103C03" w:rsidRDefault="000D4AEA" w:rsidP="000D4AEA">
      <w:pPr>
        <w:widowControl w:val="0"/>
        <w:autoSpaceDE w:val="0"/>
        <w:autoSpaceDN w:val="0"/>
        <w:adjustRightInd w:val="0"/>
        <w:spacing w:after="0" w:line="240" w:lineRule="auto"/>
        <w:jc w:val="center"/>
        <w:rPr>
          <w:rFonts w:ascii="Garamond" w:hAnsi="Garamond"/>
          <w:b/>
          <w:spacing w:val="-4"/>
          <w:sz w:val="24"/>
          <w:szCs w:val="24"/>
        </w:rPr>
      </w:pPr>
      <w:r w:rsidRPr="00103C03">
        <w:rPr>
          <w:rFonts w:ascii="Garamond" w:hAnsi="Garamond"/>
          <w:b/>
          <w:bCs/>
          <w:spacing w:val="-4"/>
          <w:sz w:val="24"/>
          <w:szCs w:val="24"/>
        </w:rPr>
        <w:t>PËR</w:t>
      </w:r>
      <w:r w:rsidRPr="00103C03">
        <w:rPr>
          <w:rFonts w:ascii="Garamond" w:hAnsi="Garamond"/>
          <w:spacing w:val="-4"/>
          <w:sz w:val="24"/>
          <w:szCs w:val="24"/>
        </w:rPr>
        <w:t xml:space="preserve"> </w:t>
      </w:r>
      <w:r w:rsidRPr="00103C03">
        <w:rPr>
          <w:rFonts w:ascii="Garamond" w:hAnsi="Garamond"/>
          <w:b/>
          <w:spacing w:val="-4"/>
          <w:sz w:val="24"/>
          <w:szCs w:val="24"/>
        </w:rPr>
        <w:t xml:space="preserve">ORGANIZIMIN E PUSHTETIT GJYQËSOR NË REPUBLIKËN </w:t>
      </w:r>
    </w:p>
    <w:p w:rsidR="000D4AEA" w:rsidRPr="00103C03" w:rsidRDefault="000D4AEA" w:rsidP="000D4AEA">
      <w:pPr>
        <w:widowControl w:val="0"/>
        <w:autoSpaceDE w:val="0"/>
        <w:autoSpaceDN w:val="0"/>
        <w:adjustRightInd w:val="0"/>
        <w:spacing w:after="0" w:line="240" w:lineRule="auto"/>
        <w:jc w:val="center"/>
        <w:rPr>
          <w:rFonts w:ascii="Garamond" w:hAnsi="Garamond"/>
          <w:b/>
          <w:spacing w:val="-4"/>
          <w:sz w:val="24"/>
          <w:szCs w:val="24"/>
        </w:rPr>
      </w:pPr>
      <w:r w:rsidRPr="00103C03">
        <w:rPr>
          <w:rFonts w:ascii="Garamond" w:hAnsi="Garamond"/>
          <w:b/>
          <w:spacing w:val="-4"/>
          <w:sz w:val="24"/>
          <w:szCs w:val="24"/>
        </w:rPr>
        <w:t>E SHQIPËRISË</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Në mbështetje të neneve 81 dhe 83, pika 1, të Kushtetutës, me propozimin e një grupi deputetësh, </w:t>
      </w:r>
    </w:p>
    <w:p w:rsidR="000D4AEA" w:rsidRPr="00103C03" w:rsidRDefault="000D4AEA" w:rsidP="000D4AEA">
      <w:pPr>
        <w:pStyle w:val="Hapesira7"/>
        <w:rPr>
          <w:spacing w:val="-4"/>
        </w:rPr>
      </w:pP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KUVENDI</w:t>
      </w: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I REPUBLIKËS SË SHQIPËRISË</w:t>
      </w:r>
    </w:p>
    <w:p w:rsidR="000D4AEA" w:rsidRPr="00103C03" w:rsidRDefault="000D4AEA" w:rsidP="000D4AEA">
      <w:pPr>
        <w:widowControl w:val="0"/>
        <w:tabs>
          <w:tab w:val="left" w:pos="360"/>
        </w:tabs>
        <w:autoSpaceDE w:val="0"/>
        <w:autoSpaceDN w:val="0"/>
        <w:adjustRightInd w:val="0"/>
        <w:spacing w:after="0" w:line="240" w:lineRule="auto"/>
        <w:jc w:val="center"/>
        <w:outlineLvl w:val="0"/>
        <w:rPr>
          <w:rFonts w:ascii="Garamond" w:hAnsi="Garamond"/>
          <w:bCs/>
          <w:spacing w:val="-4"/>
          <w:sz w:val="24"/>
          <w:szCs w:val="24"/>
        </w:rPr>
      </w:pPr>
    </w:p>
    <w:p w:rsidR="000D4AEA" w:rsidRPr="00103C03" w:rsidRDefault="000D4AEA" w:rsidP="000D4AEA">
      <w:pPr>
        <w:widowControl w:val="0"/>
        <w:tabs>
          <w:tab w:val="left" w:pos="360"/>
        </w:tabs>
        <w:autoSpaceDE w:val="0"/>
        <w:autoSpaceDN w:val="0"/>
        <w:adjustRightInd w:val="0"/>
        <w:spacing w:after="0" w:line="240" w:lineRule="auto"/>
        <w:jc w:val="center"/>
        <w:outlineLvl w:val="0"/>
        <w:rPr>
          <w:rFonts w:ascii="Garamond" w:hAnsi="Garamond"/>
          <w:bCs/>
          <w:spacing w:val="-4"/>
          <w:sz w:val="24"/>
          <w:szCs w:val="24"/>
        </w:rPr>
      </w:pPr>
      <w:r w:rsidRPr="00103C03">
        <w:rPr>
          <w:rFonts w:ascii="Garamond" w:hAnsi="Garamond"/>
          <w:bCs/>
          <w:spacing w:val="-4"/>
          <w:sz w:val="24"/>
          <w:szCs w:val="24"/>
        </w:rPr>
        <w:t>VENDOSI:</w:t>
      </w:r>
    </w:p>
    <w:p w:rsidR="000D4AEA" w:rsidRPr="00103C03" w:rsidRDefault="000D4AEA" w:rsidP="000D4AEA">
      <w:pPr>
        <w:pStyle w:val="Hapesira7"/>
        <w:ind w:firstLine="0"/>
        <w:rPr>
          <w:spacing w:val="-4"/>
        </w:rPr>
      </w:pPr>
    </w:p>
    <w:p w:rsidR="000D4AEA" w:rsidRPr="00103C03" w:rsidRDefault="000D4AEA" w:rsidP="000D4AEA">
      <w:pPr>
        <w:widowControl w:val="0"/>
        <w:autoSpaceDE w:val="0"/>
        <w:autoSpaceDN w:val="0"/>
        <w:adjustRightInd w:val="0"/>
        <w:spacing w:after="0" w:line="240" w:lineRule="auto"/>
        <w:jc w:val="center"/>
        <w:outlineLvl w:val="0"/>
        <w:rPr>
          <w:rFonts w:ascii="Garamond" w:hAnsi="Garamond"/>
          <w:spacing w:val="-4"/>
          <w:sz w:val="24"/>
          <w:szCs w:val="24"/>
        </w:rPr>
      </w:pPr>
      <w:r w:rsidRPr="00103C03">
        <w:rPr>
          <w:rFonts w:ascii="Garamond" w:hAnsi="Garamond"/>
          <w:spacing w:val="-4"/>
          <w:sz w:val="24"/>
          <w:szCs w:val="24"/>
        </w:rPr>
        <w:t>KREU I</w:t>
      </w:r>
    </w:p>
    <w:p w:rsidR="000D4AEA" w:rsidRPr="00103C03" w:rsidRDefault="000D4AEA" w:rsidP="000D4AEA">
      <w:pPr>
        <w:widowControl w:val="0"/>
        <w:autoSpaceDE w:val="0"/>
        <w:autoSpaceDN w:val="0"/>
        <w:adjustRightInd w:val="0"/>
        <w:spacing w:after="0" w:line="240" w:lineRule="auto"/>
        <w:jc w:val="center"/>
        <w:rPr>
          <w:rFonts w:ascii="Garamond" w:hAnsi="Garamond"/>
          <w:bCs/>
          <w:spacing w:val="-4"/>
          <w:sz w:val="24"/>
          <w:szCs w:val="24"/>
        </w:rPr>
      </w:pPr>
      <w:r w:rsidRPr="00103C03">
        <w:rPr>
          <w:rFonts w:ascii="Garamond" w:hAnsi="Garamond"/>
          <w:bCs/>
          <w:spacing w:val="-4"/>
          <w:sz w:val="24"/>
          <w:szCs w:val="24"/>
        </w:rPr>
        <w:t>DISPOZITA TË PËRGJITHSHME</w:t>
      </w:r>
    </w:p>
    <w:p w:rsidR="000D4AEA" w:rsidRPr="00103C03" w:rsidRDefault="000D4AEA" w:rsidP="000D4AEA">
      <w:pPr>
        <w:pStyle w:val="Hapesira7"/>
        <w:ind w:firstLine="0"/>
        <w:rPr>
          <w:spacing w:val="-4"/>
        </w:rPr>
      </w:pPr>
    </w:p>
    <w:p w:rsidR="000D4AEA" w:rsidRPr="00103C03" w:rsidRDefault="000D4AEA" w:rsidP="000D4AEA">
      <w:pPr>
        <w:widowControl w:val="0"/>
        <w:autoSpaceDE w:val="0"/>
        <w:autoSpaceDN w:val="0"/>
        <w:adjustRightInd w:val="0"/>
        <w:spacing w:after="0" w:line="240" w:lineRule="auto"/>
        <w:jc w:val="center"/>
        <w:outlineLvl w:val="0"/>
        <w:rPr>
          <w:rFonts w:ascii="Garamond" w:hAnsi="Garamond"/>
          <w:spacing w:val="-4"/>
          <w:sz w:val="24"/>
          <w:szCs w:val="24"/>
        </w:rPr>
      </w:pPr>
      <w:r w:rsidRPr="00103C03">
        <w:rPr>
          <w:rFonts w:ascii="Garamond" w:hAnsi="Garamond"/>
          <w:spacing w:val="-4"/>
          <w:sz w:val="24"/>
          <w:szCs w:val="24"/>
        </w:rPr>
        <w:t>Neni 1</w:t>
      </w:r>
    </w:p>
    <w:p w:rsidR="000D4AEA" w:rsidRPr="00103C03" w:rsidRDefault="000D4AEA" w:rsidP="000D4AEA">
      <w:pPr>
        <w:widowControl w:val="0"/>
        <w:autoSpaceDE w:val="0"/>
        <w:autoSpaceDN w:val="0"/>
        <w:adjustRightInd w:val="0"/>
        <w:spacing w:after="0" w:line="240" w:lineRule="auto"/>
        <w:jc w:val="center"/>
        <w:rPr>
          <w:rFonts w:ascii="Garamond" w:hAnsi="Garamond"/>
          <w:b/>
          <w:spacing w:val="-4"/>
          <w:sz w:val="24"/>
          <w:szCs w:val="24"/>
        </w:rPr>
      </w:pPr>
      <w:r w:rsidRPr="00103C03">
        <w:rPr>
          <w:rFonts w:ascii="Garamond" w:hAnsi="Garamond"/>
          <w:b/>
          <w:spacing w:val="-4"/>
          <w:sz w:val="24"/>
          <w:szCs w:val="24"/>
        </w:rPr>
        <w:t>Objekti</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 xml:space="preserve">1. Objekt i këtij ligji është përcaktimi i parimeve të përgjithshme dhe i rregullave në lidhje me: </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a) organizimin dhe funksionimin e sistemit të gjykatave në Republikën e Shqipërisë;</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b) kompetencat dhe madhësitë e gjykatave;</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c) organizimin e brendshëm të gjykatave;</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ç) funksionimin e administratës së gjykatës;</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 xml:space="preserve">d) statusin e nëpunësve civilë gjyqësorë.  </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2. Ky ligj zbatohet për çdo gjykatë me juridiksion të përgjithshëm dhe gjykatë të posaçme të krijuar me ligj.</w:t>
      </w:r>
    </w:p>
    <w:p w:rsidR="000D4AEA" w:rsidRPr="0013633C" w:rsidRDefault="000D4AEA" w:rsidP="000D4AEA">
      <w:pPr>
        <w:pStyle w:val="Hapesira7"/>
        <w:rPr>
          <w:spacing w:val="-4"/>
          <w:sz w:val="4"/>
        </w:rPr>
      </w:pPr>
    </w:p>
    <w:p w:rsidR="000D4AEA" w:rsidRPr="00103C03" w:rsidRDefault="000D4AEA" w:rsidP="000D4AEA">
      <w:pPr>
        <w:widowControl w:val="0"/>
        <w:autoSpaceDE w:val="0"/>
        <w:autoSpaceDN w:val="0"/>
        <w:adjustRightInd w:val="0"/>
        <w:spacing w:after="0" w:line="240" w:lineRule="auto"/>
        <w:jc w:val="center"/>
        <w:rPr>
          <w:rFonts w:ascii="Garamond" w:hAnsi="Garamond"/>
          <w:spacing w:val="-4"/>
          <w:sz w:val="24"/>
          <w:szCs w:val="24"/>
        </w:rPr>
      </w:pPr>
      <w:r w:rsidRPr="00103C03">
        <w:rPr>
          <w:rFonts w:ascii="Garamond" w:hAnsi="Garamond"/>
          <w:spacing w:val="-4"/>
          <w:sz w:val="24"/>
          <w:szCs w:val="24"/>
        </w:rPr>
        <w:t>Neni 2</w:t>
      </w:r>
    </w:p>
    <w:p w:rsidR="000D4AEA" w:rsidRPr="00103C03" w:rsidRDefault="000D4AEA" w:rsidP="000D4AEA">
      <w:pPr>
        <w:widowControl w:val="0"/>
        <w:autoSpaceDE w:val="0"/>
        <w:autoSpaceDN w:val="0"/>
        <w:adjustRightInd w:val="0"/>
        <w:spacing w:after="0" w:line="240" w:lineRule="auto"/>
        <w:jc w:val="center"/>
        <w:rPr>
          <w:rFonts w:ascii="Garamond" w:hAnsi="Garamond"/>
          <w:b/>
          <w:spacing w:val="-4"/>
          <w:sz w:val="24"/>
          <w:szCs w:val="24"/>
        </w:rPr>
      </w:pPr>
      <w:r w:rsidRPr="00103C03">
        <w:rPr>
          <w:rFonts w:ascii="Garamond" w:hAnsi="Garamond"/>
          <w:b/>
          <w:spacing w:val="-4"/>
          <w:sz w:val="24"/>
          <w:szCs w:val="24"/>
        </w:rPr>
        <w:t>Përkufizime</w:t>
      </w:r>
    </w:p>
    <w:p w:rsidR="000D4AEA" w:rsidRPr="0013633C" w:rsidRDefault="000D4AEA" w:rsidP="000D4AEA">
      <w:pPr>
        <w:pStyle w:val="Hapesira7"/>
        <w:rPr>
          <w:spacing w:val="-4"/>
          <w:sz w:val="16"/>
        </w:rPr>
      </w:pPr>
    </w:p>
    <w:p w:rsidR="000D4AEA" w:rsidRPr="00103C03" w:rsidRDefault="000D4AEA" w:rsidP="000D4AEA">
      <w:pPr>
        <w:widowControl w:val="0"/>
        <w:spacing w:after="0" w:line="240" w:lineRule="auto"/>
        <w:rPr>
          <w:rFonts w:ascii="Garamond" w:eastAsia="Times New Roman" w:hAnsi="Garamond"/>
          <w:spacing w:val="-4"/>
          <w:sz w:val="24"/>
          <w:szCs w:val="24"/>
          <w:lang w:eastAsia="fr-FR"/>
        </w:rPr>
      </w:pPr>
      <w:r w:rsidRPr="00103C03">
        <w:rPr>
          <w:rFonts w:ascii="Garamond" w:eastAsia="Times New Roman" w:hAnsi="Garamond"/>
          <w:spacing w:val="-4"/>
          <w:sz w:val="24"/>
          <w:szCs w:val="24"/>
          <w:lang w:eastAsia="fr-FR"/>
        </w:rPr>
        <w:tab/>
        <w:t xml:space="preserve">Në këtë ligj termat e mëposhtëm kanë këto kuptime: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“Administrimi gjyqësor” është tërësia e veprimtarive që synojnë organizimin dhe sigurimin e funksionimit të shërbimeve në mbështetje të sistemit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“Administrata gjyqësore” është struktura dhe tërësia e veprimtarive që synojnë organizimin dhe sigurimin e funksionimit të gjykatave.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c) “Çështje urgjente“ është çështja për të cilën dispozitat procedurale parashikojnë se duhet të vendoset brenda 14 ditëve nga regjistrimi i çështjes në gjykatë.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ç) “Degë e gjykatës” i referohet nënndarjes gjeografike të gjykatës së shkallës së parë me juridiksion të përgjithshëm, e cila përbën një njësi administrative me gjykatën.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 “Këshilltar ligjor” është këshilltari që ushtron funksionin e tij në njësinë e shërbimit ligjor pranë Gjykatës së Lartë.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dh) “Ndihmësmagjistrat” është gjyqtari i komanduar për të ndihmuar gjyqtarët në Gjykatën e Lartë dhe Gjykatën Kushtetuese ose prokurorët e komanduar për të ndihmuar Prokurorin e Përgjithshëm, në trajtimin e çështjeve, në veçanti, kryerjen e kërkimit ligjor dhe përgatitjen e opinioneve me shkrim për çështje ligjore materiale ose procedurale.</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e) “Ndihmës ligjor” është ndihmësi që ushtron funksionin e tij në njësinë e shërbimit ligjor pranë gjykatave të apelit.</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ë) “Nëpunës civil gjyqësor” është personi, i cili ushtron funksione administrative publike brenda shërbimit gjyqësor ose administrativ të një gjykate në mbështetje të drejtpërdrejtë të sistemit gjyqësor. </w:t>
      </w:r>
    </w:p>
    <w:p w:rsidR="000D4AEA" w:rsidRPr="00103C03" w:rsidRDefault="000D4AEA" w:rsidP="000D4AEA">
      <w:pPr>
        <w:widowControl w:val="0"/>
        <w:spacing w:after="0" w:line="240" w:lineRule="auto"/>
        <w:rPr>
          <w:rFonts w:ascii="Garamond" w:eastAsia="Times New Roman" w:hAnsi="Garamond"/>
          <w:spacing w:val="-4"/>
          <w:sz w:val="24"/>
          <w:szCs w:val="24"/>
          <w:lang w:eastAsia="fr-FR"/>
        </w:rPr>
      </w:pPr>
      <w:r w:rsidRPr="00103C03">
        <w:rPr>
          <w:rFonts w:ascii="Garamond" w:eastAsia="Times New Roman" w:hAnsi="Garamond"/>
          <w:spacing w:val="-4"/>
          <w:sz w:val="24"/>
          <w:szCs w:val="24"/>
          <w:lang w:eastAsia="fr-FR"/>
        </w:rPr>
        <w:lastRenderedPageBreak/>
        <w:tab/>
        <w:t>f) “Përdorues i gjykatës” është çdo person, i cili përdor shërbimet e gjykatës.</w:t>
      </w:r>
    </w:p>
    <w:p w:rsidR="000D4AEA" w:rsidRPr="00103C03" w:rsidRDefault="000D4AEA" w:rsidP="000D4AEA">
      <w:pPr>
        <w:widowControl w:val="0"/>
        <w:spacing w:after="0" w:line="240" w:lineRule="auto"/>
        <w:rPr>
          <w:rFonts w:ascii="Garamond" w:eastAsia="Times New Roman" w:hAnsi="Garamond"/>
          <w:spacing w:val="-4"/>
          <w:sz w:val="24"/>
          <w:szCs w:val="24"/>
          <w:lang w:eastAsia="fr-FR"/>
        </w:rPr>
      </w:pPr>
      <w:r w:rsidRPr="00103C03">
        <w:rPr>
          <w:rFonts w:ascii="Garamond" w:eastAsia="Times New Roman" w:hAnsi="Garamond"/>
          <w:spacing w:val="-4"/>
          <w:sz w:val="24"/>
          <w:szCs w:val="24"/>
          <w:lang w:eastAsia="fr-FR"/>
        </w:rPr>
        <w:tab/>
        <w:t>g) “Përshkrimi i punës” përcakton qëllimin e punës, përgjegjësitë kryesore të punës dhe detyrat kryesore që kryhen nga nëpunësi civil gjyqësor ose punonjësi i gjykatës.</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gj) “Punonjës i gjykatës” është personi që kryen veprimtari të mirëmbajtjes, transportit, të ruajtjes dhe veprimtari të tjera në shërbime mbështetëse të gjykatës, që nuk kryhen nga nëpunësit civilë gjyqësorë.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h) “Seksioni”, në kuptim të këtij ligji, përfshin edhe Kolegjet e Gjykatës së Lartë, të cilat në këtë ligj referohen me termin kolegj.</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i) “Sistemi gjyqësor” përbëhet nga të gjitha gjykatat, me përjashtim të Gjykatës Kushtetuese, si dhe nga organet e qeverisjes së gjyqësorit.</w:t>
      </w:r>
    </w:p>
    <w:p w:rsidR="000D4AEA" w:rsidRPr="00103C03" w:rsidRDefault="000D4AEA" w:rsidP="000D4AEA">
      <w:pPr>
        <w:widowControl w:val="0"/>
        <w:spacing w:after="0" w:line="240" w:lineRule="auto"/>
        <w:rPr>
          <w:rFonts w:ascii="Garamond" w:eastAsia="Times New Roman" w:hAnsi="Garamond"/>
          <w:spacing w:val="-4"/>
          <w:sz w:val="24"/>
          <w:szCs w:val="24"/>
          <w:lang w:eastAsia="fr-FR"/>
        </w:rPr>
      </w:pPr>
      <w:r w:rsidRPr="00103C03">
        <w:rPr>
          <w:rFonts w:ascii="Garamond" w:eastAsia="Times New Roman" w:hAnsi="Garamond"/>
          <w:spacing w:val="-4"/>
          <w:sz w:val="24"/>
          <w:szCs w:val="24"/>
          <w:lang w:eastAsia="fr-FR"/>
        </w:rPr>
        <w:tab/>
        <w:t>j) “Shërbim civil gjyqësor” është trupa e nëpunësve civilë gjyqësorë, që ushtron funksione administrative publike brenda shërbimit gjyqësor ose administrativ të një gjykate në mbështetje të drejtpërdrejtë të sistemit gjyqësor.</w:t>
      </w:r>
    </w:p>
    <w:p w:rsidR="000D4AEA" w:rsidRPr="00103C03" w:rsidRDefault="000D4AEA" w:rsidP="000D4AEA">
      <w:pPr>
        <w:pStyle w:val="Hapesira7"/>
        <w:rPr>
          <w:spacing w:val="-4"/>
          <w:lang w:eastAsia="en-GB"/>
        </w:rPr>
      </w:pPr>
    </w:p>
    <w:p w:rsidR="000D4AEA" w:rsidRPr="00103C03" w:rsidRDefault="000D4AEA" w:rsidP="000D4AEA">
      <w:pPr>
        <w:widowControl w:val="0"/>
        <w:shd w:val="clear" w:color="auto" w:fill="FFFFFF"/>
        <w:autoSpaceDE w:val="0"/>
        <w:autoSpaceDN w:val="0"/>
        <w:adjustRightInd w:val="0"/>
        <w:spacing w:after="0" w:line="240" w:lineRule="auto"/>
        <w:jc w:val="center"/>
        <w:rPr>
          <w:rFonts w:ascii="Garamond" w:hAnsi="Garamond"/>
          <w:bCs/>
          <w:spacing w:val="-4"/>
          <w:sz w:val="24"/>
          <w:szCs w:val="24"/>
        </w:rPr>
      </w:pPr>
      <w:r w:rsidRPr="00103C03">
        <w:rPr>
          <w:rFonts w:ascii="Garamond" w:eastAsia="Times New Roman" w:hAnsi="Garamond"/>
          <w:bCs/>
          <w:spacing w:val="-4"/>
          <w:sz w:val="24"/>
          <w:szCs w:val="24"/>
          <w:lang w:eastAsia="en-GB"/>
        </w:rPr>
        <w:t>Neni</w:t>
      </w:r>
      <w:r w:rsidRPr="00103C03">
        <w:rPr>
          <w:rFonts w:ascii="Garamond" w:hAnsi="Garamond"/>
          <w:bCs/>
          <w:spacing w:val="-4"/>
          <w:sz w:val="24"/>
          <w:szCs w:val="24"/>
        </w:rPr>
        <w:t xml:space="preserve"> 3</w:t>
      </w:r>
    </w:p>
    <w:p w:rsidR="000D4AEA" w:rsidRPr="00103C03" w:rsidRDefault="000D4AEA" w:rsidP="000D4AEA">
      <w:pPr>
        <w:widowControl w:val="0"/>
        <w:shd w:val="clear" w:color="auto" w:fill="FFFFFF"/>
        <w:autoSpaceDE w:val="0"/>
        <w:autoSpaceDN w:val="0"/>
        <w:adjustRightInd w:val="0"/>
        <w:spacing w:after="0" w:line="240" w:lineRule="auto"/>
        <w:jc w:val="center"/>
        <w:rPr>
          <w:rFonts w:ascii="Garamond" w:hAnsi="Garamond"/>
          <w:b/>
          <w:bCs/>
          <w:spacing w:val="-4"/>
          <w:sz w:val="24"/>
          <w:szCs w:val="24"/>
        </w:rPr>
      </w:pPr>
      <w:r w:rsidRPr="00103C03">
        <w:rPr>
          <w:rFonts w:ascii="Garamond" w:hAnsi="Garamond"/>
          <w:b/>
          <w:bCs/>
          <w:spacing w:val="-4"/>
          <w:sz w:val="24"/>
          <w:szCs w:val="24"/>
        </w:rPr>
        <w:t>Llojet e gjykatave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Pushteti gjyqësor ushtrohet nga Gjykata e Lartë, si dhe nga gjykatat e apelit dhe gjykatat e shkallës së parë, të cilat krijohen me ligj.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Gjykatat me juridiksion të përgjithshëm janë gjykata me juridiksion të përgjithshëm të shkallës së parë dhe gjykata me juridiksion të përgjithshëm të apelit. Gjykatat me juridiksion të përgjithshëm të shkallës së parë mund të kenë degë.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Gjykata të posaçme janë: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gjykatat administrative të shkallës së parë dhe Gjykata Administrative e Apelit;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Gjykata e Posaçme e Shkallës së Parë dhe e Apelit për gjykimin e veprave penale të korrupsionit dhe krimit të organizuar.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Gjykata e Lartë gjykon çështje të juridiksionit të përgjithshëm dhe të posaçëm.</w:t>
      </w:r>
    </w:p>
    <w:p w:rsidR="000D4AEA" w:rsidRPr="00103C03" w:rsidRDefault="000D4AEA" w:rsidP="000D4AEA">
      <w:pPr>
        <w:pStyle w:val="Hapesira7"/>
        <w:rPr>
          <w:spacing w:val="-4"/>
        </w:rPr>
      </w:pPr>
    </w:p>
    <w:p w:rsidR="000D4AEA" w:rsidRPr="00103C03" w:rsidRDefault="000D4AEA" w:rsidP="000D4AEA">
      <w:pPr>
        <w:widowControl w:val="0"/>
        <w:shd w:val="clear" w:color="auto" w:fill="FFFFFF"/>
        <w:autoSpaceDE w:val="0"/>
        <w:autoSpaceDN w:val="0"/>
        <w:adjustRightInd w:val="0"/>
        <w:spacing w:after="0" w:line="240" w:lineRule="auto"/>
        <w:jc w:val="center"/>
        <w:rPr>
          <w:rFonts w:ascii="Garamond" w:hAnsi="Garamond"/>
          <w:spacing w:val="-4"/>
          <w:sz w:val="24"/>
          <w:szCs w:val="24"/>
        </w:rPr>
      </w:pPr>
      <w:r w:rsidRPr="00103C03">
        <w:rPr>
          <w:rFonts w:ascii="Garamond" w:hAnsi="Garamond"/>
          <w:spacing w:val="-4"/>
          <w:sz w:val="24"/>
          <w:szCs w:val="24"/>
        </w:rPr>
        <w:t>Neni 4</w:t>
      </w:r>
    </w:p>
    <w:p w:rsidR="000D4AEA" w:rsidRPr="00103C03" w:rsidRDefault="000D4AEA" w:rsidP="000D4AEA">
      <w:pPr>
        <w:widowControl w:val="0"/>
        <w:shd w:val="clear" w:color="auto" w:fill="FFFFFF"/>
        <w:autoSpaceDE w:val="0"/>
        <w:autoSpaceDN w:val="0"/>
        <w:adjustRightInd w:val="0"/>
        <w:spacing w:after="0" w:line="240" w:lineRule="auto"/>
        <w:jc w:val="center"/>
        <w:rPr>
          <w:rFonts w:ascii="Garamond" w:hAnsi="Garamond"/>
          <w:b/>
          <w:bCs/>
          <w:spacing w:val="-4"/>
          <w:sz w:val="24"/>
          <w:szCs w:val="24"/>
        </w:rPr>
      </w:pPr>
      <w:r w:rsidRPr="00103C03">
        <w:rPr>
          <w:rFonts w:ascii="Garamond" w:hAnsi="Garamond"/>
          <w:b/>
          <w:bCs/>
          <w:spacing w:val="-4"/>
          <w:sz w:val="24"/>
          <w:szCs w:val="24"/>
        </w:rPr>
        <w:t>Parimet e ushtrimit të pushtetit gjyqësor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Pushteti gjyqësor ushtrohet në emër të republikës, në përputhje me Kushtetutën, me këtë ligj dhe me legjislacionin tjetër në fuqi.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w:t>
      </w:r>
      <w:r w:rsidRPr="00103C03">
        <w:rPr>
          <w:rFonts w:ascii="Garamond" w:hAnsi="Garamond"/>
          <w:spacing w:val="-4"/>
          <w:sz w:val="24"/>
          <w:szCs w:val="24"/>
          <w:lang w:eastAsia="en-GB"/>
        </w:rPr>
        <w:t>Kuvendi mund të krijojë me ligj gjykata të tjera për fusha të veçanta, por në asnjë rast gjykata të jashtëzakonshme.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Gjyqtarët, gjatë ushtrimit të funksionit dhe vendimmarrjes, janë të pavarur dhe të paanshëm.</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Në ushtrimin e pushtetit gjyqësor çdo gjykatë ndihmohet nga administrata gjyqësore, e cila përfshin shërbimet e nëpunësve civilë gjyqësorë dhe shërbime të tjera mbështetëse.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Në ushtrimin e veprimtarisë së saj, administrata gjyqësore respekton pavarësinë e gjyqtarëve, duke shmangur çdo ndërhyrje në veprimtarinë e sistemit gjyqësor.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Çdo ndërhyrje në veprimtarinë e sistemit gjyqësor sjell përgjegjësi sipas ligjit. </w:t>
      </w:r>
    </w:p>
    <w:p w:rsidR="000D4AEA" w:rsidRPr="00103C03" w:rsidRDefault="000D4AEA" w:rsidP="000D4AEA">
      <w:pPr>
        <w:pStyle w:val="Hapesira7"/>
        <w:rPr>
          <w:spacing w:val="-4"/>
          <w:lang w:eastAsia="en-GB"/>
        </w:rPr>
      </w:pPr>
    </w:p>
    <w:p w:rsidR="000D4AEA" w:rsidRPr="00103C03" w:rsidRDefault="000D4AEA" w:rsidP="000D4AEA">
      <w:pPr>
        <w:widowControl w:val="0"/>
        <w:autoSpaceDE w:val="0"/>
        <w:autoSpaceDN w:val="0"/>
        <w:adjustRightInd w:val="0"/>
        <w:spacing w:after="0" w:line="240" w:lineRule="auto"/>
        <w:jc w:val="center"/>
        <w:rPr>
          <w:rFonts w:ascii="Garamond" w:eastAsia="Times New Roman" w:hAnsi="Garamond"/>
          <w:bCs/>
          <w:spacing w:val="-4"/>
          <w:sz w:val="24"/>
          <w:szCs w:val="24"/>
          <w:lang w:eastAsia="en-GB"/>
        </w:rPr>
      </w:pPr>
      <w:r w:rsidRPr="00103C03">
        <w:rPr>
          <w:rFonts w:ascii="Garamond" w:eastAsia="Times New Roman" w:hAnsi="Garamond"/>
          <w:bCs/>
          <w:spacing w:val="-4"/>
          <w:sz w:val="24"/>
          <w:szCs w:val="24"/>
          <w:lang w:eastAsia="en-GB"/>
        </w:rPr>
        <w:t>Neni 5</w:t>
      </w:r>
    </w:p>
    <w:p w:rsidR="000D4AEA" w:rsidRPr="00103C03" w:rsidRDefault="000D4AEA" w:rsidP="000D4AEA">
      <w:pPr>
        <w:widowControl w:val="0"/>
        <w:autoSpaceDE w:val="0"/>
        <w:autoSpaceDN w:val="0"/>
        <w:adjustRightInd w:val="0"/>
        <w:spacing w:after="0" w:line="240" w:lineRule="auto"/>
        <w:jc w:val="center"/>
        <w:rPr>
          <w:rFonts w:ascii="Garamond" w:eastAsia="Times New Roman" w:hAnsi="Garamond"/>
          <w:b/>
          <w:bCs/>
          <w:spacing w:val="-4"/>
          <w:sz w:val="24"/>
          <w:szCs w:val="24"/>
          <w:lang w:eastAsia="en-GB"/>
        </w:rPr>
      </w:pPr>
      <w:r w:rsidRPr="00103C03">
        <w:rPr>
          <w:rFonts w:ascii="Garamond" w:eastAsia="Times New Roman" w:hAnsi="Garamond"/>
          <w:b/>
          <w:bCs/>
          <w:spacing w:val="-4"/>
          <w:sz w:val="24"/>
          <w:szCs w:val="24"/>
          <w:lang w:eastAsia="en-GB"/>
        </w:rPr>
        <w:t>Aksesi në gjykata</w:t>
      </w:r>
    </w:p>
    <w:p w:rsidR="000D4AEA" w:rsidRPr="00103C03" w:rsidRDefault="000D4AEA" w:rsidP="000D4AEA">
      <w:pPr>
        <w:pStyle w:val="Hapesira7"/>
        <w:rPr>
          <w:spacing w:val="-4"/>
          <w:lang w:eastAsia="en-GB"/>
        </w:rPr>
      </w:pPr>
    </w:p>
    <w:p w:rsidR="000D4AEA" w:rsidRPr="00103C03" w:rsidRDefault="000D4AEA" w:rsidP="000D4AEA">
      <w:pPr>
        <w:widowControl w:val="0"/>
        <w:autoSpaceDE w:val="0"/>
        <w:autoSpaceDN w:val="0"/>
        <w:adjustRightInd w:val="0"/>
        <w:spacing w:after="0" w:line="240" w:lineRule="auto"/>
        <w:rPr>
          <w:rFonts w:ascii="Garamond" w:eastAsia="Times New Roman" w:hAnsi="Garamond"/>
          <w:spacing w:val="-4"/>
          <w:sz w:val="24"/>
          <w:szCs w:val="24"/>
          <w:lang w:eastAsia="en-GB"/>
        </w:rPr>
      </w:pPr>
      <w:r w:rsidRPr="00103C03">
        <w:rPr>
          <w:rFonts w:ascii="Garamond" w:eastAsia="Times New Roman" w:hAnsi="Garamond"/>
          <w:spacing w:val="-4"/>
          <w:sz w:val="24"/>
          <w:szCs w:val="24"/>
          <w:lang w:eastAsia="en-GB"/>
        </w:rPr>
        <w:tab/>
        <w:t>1. Ç</w:t>
      </w:r>
      <w:r w:rsidRPr="00103C03">
        <w:rPr>
          <w:rFonts w:ascii="Garamond" w:hAnsi="Garamond"/>
          <w:spacing w:val="-4"/>
          <w:sz w:val="24"/>
          <w:szCs w:val="24"/>
        </w:rPr>
        <w:t>do person trajtohet në mënyrë të barabartë dhe pa asnjë diskriminim nga gjykatat</w:t>
      </w:r>
      <w:r w:rsidRPr="00103C03">
        <w:rPr>
          <w:rFonts w:ascii="Garamond" w:eastAsia="Times New Roman" w:hAnsi="Garamond"/>
          <w:spacing w:val="-4"/>
          <w:sz w:val="24"/>
          <w:szCs w:val="24"/>
          <w:lang w:eastAsia="en-GB"/>
        </w:rPr>
        <w:t>.</w:t>
      </w:r>
    </w:p>
    <w:p w:rsidR="000D4AEA" w:rsidRPr="00103C03" w:rsidRDefault="000D4AEA" w:rsidP="000D4AEA">
      <w:pPr>
        <w:widowControl w:val="0"/>
        <w:autoSpaceDE w:val="0"/>
        <w:autoSpaceDN w:val="0"/>
        <w:adjustRightInd w:val="0"/>
        <w:spacing w:after="0" w:line="240" w:lineRule="auto"/>
        <w:rPr>
          <w:rFonts w:ascii="Garamond" w:eastAsia="Times New Roman" w:hAnsi="Garamond"/>
          <w:spacing w:val="-4"/>
          <w:sz w:val="24"/>
          <w:szCs w:val="24"/>
          <w:lang w:eastAsia="en-GB"/>
        </w:rPr>
      </w:pPr>
      <w:r w:rsidRPr="00103C03">
        <w:rPr>
          <w:rFonts w:ascii="Garamond" w:eastAsia="Times New Roman" w:hAnsi="Garamond"/>
          <w:spacing w:val="-4"/>
          <w:sz w:val="24"/>
          <w:szCs w:val="24"/>
          <w:lang w:eastAsia="en-GB"/>
        </w:rPr>
        <w:tab/>
        <w:t xml:space="preserve">2. Çdo person ka akses të barabartë në gjykatë, si dhe ka të drejtë t’i drejtohet gjykatës për mbrojtjen dhe zbatimin e të drejtave të tij ligjore, siç parashikohet me ligj. </w:t>
      </w:r>
    </w:p>
    <w:p w:rsidR="000D4AEA" w:rsidRPr="00103C03" w:rsidRDefault="000D4AEA" w:rsidP="000D4AEA">
      <w:pPr>
        <w:widowControl w:val="0"/>
        <w:autoSpaceDE w:val="0"/>
        <w:autoSpaceDN w:val="0"/>
        <w:adjustRightInd w:val="0"/>
        <w:spacing w:after="0" w:line="240" w:lineRule="auto"/>
        <w:rPr>
          <w:rFonts w:ascii="Garamond" w:eastAsia="Times New Roman" w:hAnsi="Garamond"/>
          <w:spacing w:val="-4"/>
          <w:sz w:val="24"/>
          <w:szCs w:val="24"/>
          <w:lang w:eastAsia="en-GB"/>
        </w:rPr>
      </w:pPr>
      <w:r w:rsidRPr="00103C03">
        <w:rPr>
          <w:rFonts w:ascii="Garamond" w:eastAsia="Times New Roman" w:hAnsi="Garamond"/>
          <w:spacing w:val="-4"/>
          <w:sz w:val="24"/>
          <w:szCs w:val="24"/>
          <w:lang w:eastAsia="en-GB"/>
        </w:rPr>
        <w:tab/>
        <w:t xml:space="preserve">3. Seanca gjyqësore është publike, përveç rasteve kur në ligj parashikohet ndryshe. </w:t>
      </w:r>
    </w:p>
    <w:p w:rsidR="000D4AEA" w:rsidRPr="00103C03" w:rsidRDefault="000D4AEA" w:rsidP="000D4AEA">
      <w:pPr>
        <w:widowControl w:val="0"/>
        <w:autoSpaceDE w:val="0"/>
        <w:autoSpaceDN w:val="0"/>
        <w:adjustRightInd w:val="0"/>
        <w:spacing w:after="0" w:line="240" w:lineRule="auto"/>
        <w:rPr>
          <w:rFonts w:ascii="Garamond" w:eastAsia="Times New Roman" w:hAnsi="Garamond"/>
          <w:spacing w:val="-4"/>
          <w:sz w:val="24"/>
          <w:szCs w:val="24"/>
          <w:lang w:eastAsia="en-GB"/>
        </w:rPr>
      </w:pPr>
      <w:r w:rsidRPr="00103C03">
        <w:rPr>
          <w:rFonts w:ascii="Garamond" w:eastAsia="Times New Roman" w:hAnsi="Garamond"/>
          <w:spacing w:val="-4"/>
          <w:sz w:val="24"/>
          <w:szCs w:val="24"/>
          <w:lang w:eastAsia="en-GB"/>
        </w:rPr>
        <w:tab/>
        <w:t>4. Gjykatat funksionojnë në mënyrë transparente, të shpejtë dhe efikase.</w:t>
      </w:r>
    </w:p>
    <w:p w:rsidR="000D4AEA" w:rsidRPr="00103C03" w:rsidRDefault="000D4AEA" w:rsidP="000D4AEA">
      <w:pPr>
        <w:pStyle w:val="Hapesira7"/>
        <w:rPr>
          <w:spacing w:val="-4"/>
          <w:lang w:eastAsia="en-GB"/>
        </w:rPr>
      </w:pPr>
    </w:p>
    <w:p w:rsidR="000D4AEA" w:rsidRPr="00103C03" w:rsidRDefault="000D4AEA" w:rsidP="000D4AEA">
      <w:pPr>
        <w:widowControl w:val="0"/>
        <w:autoSpaceDE w:val="0"/>
        <w:autoSpaceDN w:val="0"/>
        <w:adjustRightInd w:val="0"/>
        <w:spacing w:after="0" w:line="240" w:lineRule="auto"/>
        <w:jc w:val="center"/>
        <w:rPr>
          <w:rFonts w:ascii="Garamond" w:hAnsi="Garamond"/>
          <w:spacing w:val="-4"/>
          <w:sz w:val="24"/>
          <w:szCs w:val="24"/>
        </w:rPr>
      </w:pPr>
      <w:r w:rsidRPr="00103C03">
        <w:rPr>
          <w:rFonts w:ascii="Garamond" w:hAnsi="Garamond"/>
          <w:spacing w:val="-4"/>
          <w:sz w:val="24"/>
          <w:szCs w:val="24"/>
        </w:rPr>
        <w:lastRenderedPageBreak/>
        <w:t>Neni 6</w:t>
      </w:r>
    </w:p>
    <w:p w:rsidR="000D4AEA" w:rsidRPr="00103C03" w:rsidRDefault="000D4AEA" w:rsidP="000D4AEA">
      <w:pPr>
        <w:widowControl w:val="0"/>
        <w:spacing w:after="0" w:line="240" w:lineRule="auto"/>
        <w:jc w:val="center"/>
        <w:rPr>
          <w:rFonts w:ascii="Garamond" w:hAnsi="Garamond"/>
          <w:b/>
          <w:spacing w:val="-4"/>
          <w:sz w:val="24"/>
          <w:szCs w:val="24"/>
        </w:rPr>
      </w:pPr>
      <w:r w:rsidRPr="00103C03">
        <w:rPr>
          <w:rFonts w:ascii="Garamond" w:hAnsi="Garamond"/>
          <w:b/>
          <w:spacing w:val="-4"/>
          <w:sz w:val="24"/>
          <w:szCs w:val="24"/>
        </w:rPr>
        <w:t>Konflikti i interesit</w:t>
      </w:r>
    </w:p>
    <w:p w:rsidR="000D4AEA" w:rsidRPr="00103C03" w:rsidRDefault="000D4AEA" w:rsidP="000D4AEA">
      <w:pPr>
        <w:pStyle w:val="Hapesira7"/>
        <w:rPr>
          <w:spacing w:val="-4"/>
        </w:rPr>
      </w:pP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Gjatë ushtrimit të veprimtarisë, nëpunësit civilë gjyqësorë janë të detyruar të shmangin çdo konflikt interesi, në përputhje me rregullat e parashikuara në legjislacionin për parandalimin e konfliktit të interesave.</w:t>
      </w:r>
    </w:p>
    <w:p w:rsidR="000D4AEA" w:rsidRPr="00103C03" w:rsidRDefault="000D4AEA" w:rsidP="000D4AEA">
      <w:pPr>
        <w:pStyle w:val="Hapesira7"/>
        <w:rPr>
          <w:spacing w:val="-4"/>
        </w:rPr>
      </w:pP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Neni 7</w:t>
      </w:r>
    </w:p>
    <w:p w:rsidR="000D4AEA" w:rsidRPr="00103C03" w:rsidRDefault="000D4AEA" w:rsidP="000D4AEA">
      <w:pPr>
        <w:widowControl w:val="0"/>
        <w:spacing w:after="0" w:line="240" w:lineRule="auto"/>
        <w:jc w:val="center"/>
        <w:rPr>
          <w:rFonts w:ascii="Garamond" w:hAnsi="Garamond"/>
          <w:b/>
          <w:spacing w:val="-4"/>
          <w:sz w:val="24"/>
          <w:szCs w:val="24"/>
        </w:rPr>
      </w:pPr>
      <w:r w:rsidRPr="00103C03">
        <w:rPr>
          <w:rFonts w:ascii="Garamond" w:hAnsi="Garamond"/>
          <w:b/>
          <w:spacing w:val="-4"/>
          <w:sz w:val="24"/>
          <w:szCs w:val="24"/>
        </w:rPr>
        <w:t>Parimi i bashkëpunimit</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1. Administrimi gjyqësor është detyrë e Këshillit të Lartë Gjyqësor, Këshillit të Gjykatës, kryetarit të gjykatës, kancelarit, kategorive të ndryshme të nëpunësve civilë gjyqësorë dhe çdo institucioni tjetër të përcaktuar me ligj.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2. Të gjitha organet e përmendura në pikën 1 të këtij neni, bashkëpunojnë për të garantuar që pushteti gjyqësor të jetë i pavarur, efikas, i besueshëm dhe transparent.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8</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Parimet e shërbimit civil gjyqësor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1. Veprimtaria e shërbimit civil gjyqësor rregullohet me ligj dhe bazohet mbi parimet e mundësive të barabarta, mosdiskriminimit, transpa</w:t>
      </w:r>
      <w:r>
        <w:rPr>
          <w:rFonts w:ascii="Garamond" w:hAnsi="Garamond"/>
          <w:bCs/>
          <w:spacing w:val="-4"/>
          <w:sz w:val="24"/>
          <w:szCs w:val="24"/>
        </w:rPr>
        <w:t>-</w:t>
      </w:r>
      <w:r w:rsidRPr="00103C03">
        <w:rPr>
          <w:rFonts w:ascii="Garamond" w:hAnsi="Garamond"/>
          <w:bCs/>
          <w:spacing w:val="-4"/>
          <w:sz w:val="24"/>
          <w:szCs w:val="24"/>
        </w:rPr>
        <w:t>rencës, profesionalizmit, integritetit, përgjegj</w:t>
      </w:r>
      <w:r>
        <w:rPr>
          <w:rFonts w:ascii="Garamond" w:hAnsi="Garamond"/>
          <w:bCs/>
          <w:spacing w:val="-4"/>
          <w:sz w:val="24"/>
          <w:szCs w:val="24"/>
        </w:rPr>
        <w:t>-</w:t>
      </w:r>
      <w:r w:rsidRPr="00103C03">
        <w:rPr>
          <w:rFonts w:ascii="Garamond" w:hAnsi="Garamond"/>
          <w:bCs/>
          <w:spacing w:val="-4"/>
          <w:sz w:val="24"/>
          <w:szCs w:val="24"/>
        </w:rPr>
        <w:t>shmërisë dhe orientimit drejt shërbimeve efiçente dhe të aksesueshme për çdo person.</w:t>
      </w:r>
    </w:p>
    <w:p w:rsidR="000D4AEA" w:rsidRDefault="000D4AEA" w:rsidP="000D4AEA">
      <w:pPr>
        <w:widowControl w:val="0"/>
        <w:autoSpaceDE w:val="0"/>
        <w:autoSpaceDN w:val="0"/>
        <w:adjustRightInd w:val="0"/>
        <w:spacing w:after="0" w:line="240" w:lineRule="auto"/>
        <w:rPr>
          <w:rFonts w:ascii="Garamond" w:hAnsi="Garamond"/>
          <w:bCs/>
          <w:spacing w:val="-4"/>
          <w:sz w:val="24"/>
          <w:szCs w:val="24"/>
        </w:rPr>
      </w:pPr>
      <w:r w:rsidRPr="00103C03">
        <w:rPr>
          <w:rFonts w:ascii="Garamond" w:hAnsi="Garamond"/>
          <w:bCs/>
          <w:spacing w:val="-4"/>
          <w:sz w:val="24"/>
          <w:szCs w:val="24"/>
        </w:rPr>
        <w:tab/>
      </w:r>
    </w:p>
    <w:p w:rsidR="000D4AEA" w:rsidRPr="00103C03" w:rsidRDefault="000D4AEA" w:rsidP="000D4AEA">
      <w:pPr>
        <w:widowControl w:val="0"/>
        <w:autoSpaceDE w:val="0"/>
        <w:autoSpaceDN w:val="0"/>
        <w:adjustRightInd w:val="0"/>
        <w:spacing w:after="0" w:line="240" w:lineRule="auto"/>
        <w:rPr>
          <w:rFonts w:ascii="Garamond" w:hAnsi="Garamond"/>
          <w:bCs/>
          <w:spacing w:val="-4"/>
          <w:sz w:val="24"/>
          <w:szCs w:val="24"/>
        </w:rPr>
      </w:pPr>
      <w:r w:rsidRPr="00103C03">
        <w:rPr>
          <w:rFonts w:ascii="Garamond" w:hAnsi="Garamond"/>
          <w:bCs/>
          <w:spacing w:val="-4"/>
          <w:sz w:val="24"/>
          <w:szCs w:val="24"/>
        </w:rPr>
        <w:t>2. Statusi i nëpunësve të shërbimit civil gjyqësor mbështetet në parimin e garantimit të qëndrue</w:t>
      </w:r>
      <w:r>
        <w:rPr>
          <w:rFonts w:ascii="Garamond" w:hAnsi="Garamond"/>
          <w:bCs/>
          <w:spacing w:val="-4"/>
          <w:sz w:val="24"/>
          <w:szCs w:val="24"/>
        </w:rPr>
        <w:t>-</w:t>
      </w:r>
      <w:r w:rsidRPr="00103C03">
        <w:rPr>
          <w:rFonts w:ascii="Garamond" w:hAnsi="Garamond"/>
          <w:bCs/>
          <w:spacing w:val="-4"/>
          <w:sz w:val="24"/>
          <w:szCs w:val="24"/>
        </w:rPr>
        <w:t>shmërisë, bazuar në meritë dhe zhvillimin transparent të karrierës.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9</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Zbatimi i ligjeve të tjera</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Dispozitat e këtij ligji plotësohen me dispozitat e Kodit të Procedurave Administrative dhe ligjit “Për nëpunësin civil”, përveç rasteve dhe për aq sa në këtë ligj nuk parashikohet ndryshe.  </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KREU II</w:t>
      </w: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KOMPETENCAT DHE MADHËSIA E GJYKATAVE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SEKSIONI I</w:t>
      </w: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KOMPETENCAT TOKËSORE DHE JURIDIKSIONALE TË GJYKATAVE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10</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Kompetencat tokësore të Gjykatës së Lartë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Gjykata e Lartë organizohet dhe funksionon në të gjithë territorin e Republikës së Shqipërisë. Gjykata e Lartë e ka selinë në Tiranë.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11</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Kompetencat tokësore të Gjykatës së Posaçme për gjykimin e veprave penale të korrupsionit dhe krimit të organizuar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Gjykata e Posaçme e Shkallës së Parë dhe e Apelit për gjykimin e veprave penale të korrupsionit dhe krimit të organizuar</w:t>
      </w:r>
      <w:r w:rsidRPr="00103C03">
        <w:rPr>
          <w:rFonts w:ascii="Garamond" w:hAnsi="Garamond"/>
          <w:spacing w:val="-4"/>
          <w:sz w:val="24"/>
          <w:szCs w:val="24"/>
        </w:rPr>
        <w:t xml:space="preserve"> </w:t>
      </w:r>
      <w:r w:rsidRPr="00103C03">
        <w:rPr>
          <w:rFonts w:ascii="Garamond" w:hAnsi="Garamond"/>
          <w:bCs/>
          <w:spacing w:val="-4"/>
          <w:sz w:val="24"/>
          <w:szCs w:val="24"/>
        </w:rPr>
        <w:t>organizohen dhe funksionojnë për të gjithë territorin e Republikës së Shqipërisë, me seli në Tiranë.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12</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lastRenderedPageBreak/>
        <w:t>Kompetencat tokësore të Gjykatës Administrative të Apelit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Gjykata Administrative e Apelit organizohet dhe funksionon në të gjithë territorin e Republikës së Shqipërisë, me seli në Tiranë.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13</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Kompetencat tokësore të gjykatave të tjera</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1. Këshilli i Lartë Gjyqësor bën vlerësimin e organizimit të rretheve gjyqësore dhe kompetencave tokësore të gjykatave të paktën çdo pes</w:t>
      </w:r>
      <w:r w:rsidRPr="00103C03">
        <w:rPr>
          <w:rFonts w:ascii="Garamond" w:hAnsi="Garamond"/>
          <w:spacing w:val="-4"/>
          <w:sz w:val="24"/>
          <w:szCs w:val="24"/>
        </w:rPr>
        <w:t>ë</w:t>
      </w:r>
      <w:r w:rsidRPr="00103C03">
        <w:rPr>
          <w:rFonts w:ascii="Garamond" w:hAnsi="Garamond"/>
          <w:bCs/>
          <w:spacing w:val="-4"/>
          <w:sz w:val="24"/>
          <w:szCs w:val="24"/>
        </w:rPr>
        <w:t xml:space="preserve"> vjet.</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2. Në rast se nga vlerësimi rezulton se harta gjyqësore në fuqi nuk i përmbush objektivat, parimet dhe kriteret e parashikuara në nenet 14 dhe 15, të këtij ligji, Këshilli i Lartë Gjyqësor dhe Ministri i Drejtësisë hartojnë një propozim të përbashkët për riorganizimin e rretheve gjyqësore dhe kompetencave tokësore të gjykatave.</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3. Përpara se të miratojnë propozimin e përbashkët, Këshilli i Lartë Gjyqësor dhe Ministri i Drejtësisë marrin mendimin e Këshillit të Lartë të Prokurorisë, Prokurorit të Përgjithshëm, Ministrit të Financave dhe këshillohen me palë të tjera të interesuara.</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4. Procesi për caktimin ose caktimi rishtas i rretheve gjyqësore dhe i kompetencave tokësore të gjykatave kryhet në mënyrë transparente, duke u bazuar në vlerësimin e plotë të situatës dhe duke marrë në konsideratë objektivat, parimet dhe kriteret e përcaktuara në nenet 14 dhe 15, të këtij ligji, dhe nevojën për vazhdimësi të shërbimeve gjyqësore, transferimin e personelit dhe organizimin e logjistikës.</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5. Propozimi i përbashkët i Këshillit të Lartë Gjyqësor dhe Ministrit të Drejtësisë për hartën gjyqësore i përcillet për miratim Këshillit të Ministrave nga Ministri i Drejtësisë. </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14</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Objektivat për caktimin e kompetencave tokësore të gjykatave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Kompetencat tokësore caktohen duke synuar përmbushjen në mënyrë të ekuilibruar të objektivave të mëposhtëm:</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garantimin e aksesit në drejtësi, që lidhet me afërsinë e individit me gjykatën;</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uljen e kostove, me qëllim përdorimin me efektshmëri të burimeve publike;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rritjen e cilësisë dhe përshtatshmërisë së shërbimeve të ofruara.</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15</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Parimet dhe kriteret për përcaktimin e kompetencave tokësore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1. Territori i Republikës së Shqipërisë ndahet në rrethe gjyqësore, që është njësia ku funksionon një gjykatë e shkallës së parë me juridiksion të përgjithshëm. Një rreth gjyqësor mund të mbulojë një ose më shumë njësi të pushtetit vendor.</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2. Gjykatat me juridiksion të përgjithshëm të apelit dhe gjykatat e posaçme i shtrijnë kompe</w:t>
      </w:r>
      <w:r>
        <w:rPr>
          <w:rFonts w:ascii="Garamond" w:hAnsi="Garamond"/>
          <w:bCs/>
          <w:spacing w:val="-4"/>
          <w:sz w:val="24"/>
          <w:szCs w:val="24"/>
        </w:rPr>
        <w:t>-</w:t>
      </w:r>
      <w:r w:rsidRPr="00103C03">
        <w:rPr>
          <w:rFonts w:ascii="Garamond" w:hAnsi="Garamond"/>
          <w:bCs/>
          <w:spacing w:val="-4"/>
          <w:sz w:val="24"/>
          <w:szCs w:val="24"/>
        </w:rPr>
        <w:t>tencat e tyre tokësore mbi të paktën dy rrethe gjyqësore</w:t>
      </w:r>
      <w:r w:rsidRPr="00103C03">
        <w:rPr>
          <w:rFonts w:ascii="Garamond" w:hAnsi="Garamond"/>
          <w:spacing w:val="-4"/>
          <w:sz w:val="24"/>
          <w:szCs w:val="24"/>
        </w:rPr>
        <w: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bCs/>
          <w:spacing w:val="-4"/>
          <w:sz w:val="24"/>
          <w:szCs w:val="24"/>
        </w:rPr>
        <w:tab/>
        <w:t>3. R</w:t>
      </w:r>
      <w:r w:rsidRPr="00103C03">
        <w:rPr>
          <w:rFonts w:ascii="Garamond" w:hAnsi="Garamond"/>
          <w:spacing w:val="-4"/>
          <w:sz w:val="24"/>
          <w:szCs w:val="24"/>
        </w:rPr>
        <w:t>rethet gjyqësore dhe kompetencat tokësore të gjykatave caktohen duke marrë parasysh, në mënyrë të njëjtë dhe të përshtatshme, kriteret e mëposhtme: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ndarjen administrative territoriale të vendit, zhvillimin demografik, numrin e banorëve në raport me numrin e gjykatave, zhvillimin ekonomik, infrastrukturën rrugore dhe kushtet e transportit për në gjykata dhe midis gjykatave, si dhe karakteristikat gjeografike;</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spacing w:val="-4"/>
          <w:sz w:val="24"/>
          <w:szCs w:val="24"/>
        </w:rPr>
        <w:tab/>
        <w:t>b) ngarkesën në gjykata, në lidhje me çështjet e ardhura, të përfunduara dhe në shqyrtim, efiçencën e gjykatave dhe gjyqtarëve në dhënien e drejtësisë, burimet njerëzore në dispozicion, vendndodhjen dhe përmasat e institucioneve të ekzekutimit të vendimeve penale.</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lastRenderedPageBreak/>
        <w:tab/>
        <w:t>4. Me qëllim rritjen e efiçencës dhe për të siguruar specializimin në gjykata, numri minimal i gjyqtarëve do të jetë:</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a) gjykata e shkallës së parë me juridiksion të përgjithshëm dhe administrativ, së paku shtatë gjyqtarë;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b) gjykata e apelit me juridiksion të përgjithshëm dhe administrativ, së paku dhjetë gjyqtarë;</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c) gjykatat e posaçme për gjykimin e veprave penale të korrupsionit dhe krimit të organizuar të shkallës së parë përbëhen nga së paku 16 gjyqtarë;</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ç) gjykatat e posaçme për gjykimin e veprave penale të korrupsionit dhe krimit të organizuar të apelit përbëhen nga së paku 11 gjyqtarë.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5. Secili gjyqtar që ushtron funksionin në gjykata me juridiksion të përgjithshëm ose në gjykata administrative duhet të ketë një numër mesatar të çështjeve gjyqësore në vit, jo më të ulët se mesatarja e çështjeve gjyqësore për gjyqtar në vit në të njëjtën shkallë gjykimi, në tri vitet e fundit.</w:t>
      </w:r>
    </w:p>
    <w:p w:rsidR="000D4AEA" w:rsidRPr="0009545F" w:rsidRDefault="000D4AEA" w:rsidP="000D4AEA">
      <w:pPr>
        <w:pStyle w:val="Hapesira7"/>
        <w:rPr>
          <w:spacing w:val="-4"/>
          <w:sz w:val="12"/>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16</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Kompetencat juridiksionale të gjykatave</w:t>
      </w:r>
    </w:p>
    <w:p w:rsidR="000D4AEA" w:rsidRPr="0009545F" w:rsidRDefault="000D4AEA" w:rsidP="000D4AEA">
      <w:pPr>
        <w:pStyle w:val="Hapesira7"/>
        <w:rPr>
          <w:spacing w:val="-4"/>
          <w:sz w:val="12"/>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Kompetencat juridiksionale të gjykatave parashikohen nga ligjet procedurale. </w:t>
      </w:r>
    </w:p>
    <w:p w:rsidR="000D4AEA" w:rsidRPr="0009545F" w:rsidRDefault="000D4AEA" w:rsidP="000D4AEA">
      <w:pPr>
        <w:pStyle w:val="Hapesira7"/>
        <w:rPr>
          <w:spacing w:val="-4"/>
          <w:sz w:val="10"/>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SEKSIONI II</w:t>
      </w: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DEGËT E GJYKATAVE</w:t>
      </w:r>
    </w:p>
    <w:p w:rsidR="000D4AEA" w:rsidRPr="0009545F" w:rsidRDefault="000D4AEA" w:rsidP="000D4AEA">
      <w:pPr>
        <w:pStyle w:val="Hapesira7"/>
        <w:ind w:firstLine="0"/>
        <w:rPr>
          <w:rStyle w:val="grame"/>
          <w:rFonts w:cs="CG Times"/>
          <w:spacing w:val="-4"/>
          <w:sz w:val="10"/>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17</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Degët e gjykatave</w:t>
      </w:r>
    </w:p>
    <w:p w:rsidR="000D4AEA" w:rsidRPr="0009545F" w:rsidRDefault="000D4AEA" w:rsidP="000D4AEA">
      <w:pPr>
        <w:pStyle w:val="Hapesira7"/>
        <w:rPr>
          <w:spacing w:val="-4"/>
          <w:sz w:val="12"/>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1. Gjykata e shkallës së parë me juridiksion të përgjithshëm mund të ushtrojë funksionin në selinë kryesore dhe, nëse është e nevojshme, në një ose disa degë të gjykatës.</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2. Degët e gjykatave janë të përhershme dhe të përkohshme.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3. Degët e përhershme e ushtrojnë funksionin në mënyrë të përhershme jashtë selisë kryesore të gjykatave të shkallës së parë me juridiksion të përgjithshëm.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4. Degët e përkohshme e ushtrojnë funksionin në intervale kohore të rregullta jashtë selive kryesore të gjykatave të shkallës së parë me juridiksion të përgjithshëm, sipas parashikimeve të nenit 20 të këtij ligji e në vijim.</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5. Degët e gjykatave gjykojnë vetëm çështje të cilat nuk janë urgjente, si dhe çështje civile dhe penale që gjykohen nga një gjyqtar i vetëm. Gjykimi i çështjeve tregtare nuk është pjesë e kompetencës së shqyrtimit gjyqësor nga degët e gjykatave.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18</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Krijimi i degëve të gjykatës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Këshilli i Lartë Gjyqësor mund të krijojë një degë brenda territorit të gjykatës së shkallës së parë me juridiksion të përgjithshëm ose bashkimin e degëve në juridiksionin e gjykatës së shkallës së parë me juridiksion të përgjithshëm ose degës së saj. Krijimi i një dege ose bashkimi i tyre bëhet pas këshillimit me Ministrin e Drejtësisë, me Prokurorin e Përgjithshëm, Këshillin e Lartë të Prokurorisë dhe Ministrin e Financave.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Krijimi i degëve të gjykatës bëhet sipas procedurës, parimeve, objektivave dhe kritereve të përcaktuara në nenet 13,  pika 4,  14 dhe 15 të këtij ligji.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Degët e përhershme të gjykatës përbëhen nga jo më pak se tre gjyqtarë. Secili prej tyre duhet të ketë një numër mesatar të çështjeve gjyqësore në vit jo më të ulët se sa numri mesatar i çështjeve gjyqësore për gjyqtar në vit </w:t>
      </w:r>
      <w:r w:rsidRPr="00103C03">
        <w:rPr>
          <w:rFonts w:ascii="Garamond" w:hAnsi="Garamond"/>
          <w:bCs/>
          <w:spacing w:val="-4"/>
          <w:sz w:val="24"/>
          <w:szCs w:val="24"/>
        </w:rPr>
        <w:t>në të njëjtën shkallë gjykimi</w:t>
      </w:r>
      <w:r w:rsidRPr="00103C03">
        <w:rPr>
          <w:rFonts w:ascii="Garamond" w:hAnsi="Garamond"/>
          <w:spacing w:val="-4"/>
          <w:sz w:val="24"/>
          <w:szCs w:val="24"/>
        </w:rPr>
        <w:t xml:space="preserve"> në Shqipëri në tri vitet e fundit.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19</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lastRenderedPageBreak/>
        <w:t>Caktimi i gjyqtarëve në degët e gjykatave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Gjyqtarët e gjykatës së shkallës së parë me juridiksion të përgjithshëm shërbejnë si gjyqtarë në selinë kryesore të gjykatës ose në degën përkatëse të gjykatës. Caktimi i gjyqtarëve në degë të gjykatës është çështje e organizimit të brendshëm të gjykatës.</w:t>
      </w:r>
    </w:p>
    <w:p w:rsidR="000D4AEA"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2. Gjyqtarët caktohen në bazë të pëlqimit të tyre.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Nëse asnjë gjyqtar nuk jep pëlqimin për caktimin në degë të gjykatës, Këshilli i Gjykatës i cakton ata me short çdo dy vjet.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4. Këshilli i Lartë Gjyqësor miraton rregulla të detajuara në lidhje me procedurën dhe kriteret për caktimin e gjyqtarëve në degët e gjykatës, duke mos përfshirë në organizimin e shortit gjyqtarët me kualifikim dhe performancë të lartë, si dhe me përvojë të gjatë profesionale. </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20</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Rregulla të tjera për degët e gjykatës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Në zbatim të këtij ligji, Këshilli i Lartë Gjyqësor miraton rregulla të detajuara për krijimin dhe funksionimin e degëve të gjykatës, si dhe kriteret dhe procedurat për caktimin e nëpunësve civilë gjyqësorë dhe punonjësve të gjykatës në degët e përhershme dhe të përkohshme jashtë selisë kryesore të gjykatës. </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SEKSIONI III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NUMRI I GJYQTARËVE</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center" w:pos="4702"/>
          <w:tab w:val="left" w:pos="5592"/>
        </w:tabs>
        <w:spacing w:after="0" w:line="240" w:lineRule="auto"/>
        <w:jc w:val="center"/>
        <w:rPr>
          <w:rFonts w:ascii="Garamond" w:hAnsi="Garamond"/>
          <w:spacing w:val="-4"/>
          <w:sz w:val="24"/>
          <w:szCs w:val="24"/>
        </w:rPr>
      </w:pPr>
      <w:r w:rsidRPr="00103C03">
        <w:rPr>
          <w:rFonts w:ascii="Garamond" w:hAnsi="Garamond"/>
          <w:spacing w:val="-4"/>
          <w:sz w:val="24"/>
          <w:szCs w:val="24"/>
        </w:rPr>
        <w:t>Neni 21</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Numri i përgjithshëm i gjyqtarëve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spacing w:val="-4"/>
          <w:sz w:val="24"/>
          <w:szCs w:val="24"/>
        </w:rPr>
        <w:tab/>
        <w:t xml:space="preserve">1. Këshilli i Lartë Gjyqësor propozon numrin e përgjithshëm të gjyqtarëve në Republikën e Shqipërisë bashkë me propozimin për buxhetin e sistemit gjyqësor, sipas procedurës së caktuar me ligj.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2. Përpara se të miratojë propozimin, Këshilli i Lartë Gjyqësor merr mendimin e Këshillave të Gjykatës, Ministrit të Drejtësisë, Ministrit të Financave dhe këshillohet me palë të tjera të interesuara, sipas rregullave të parashikuara në ligjin “Për njoftimin dhe konsultimin publik”.</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3. Procesi i përcaktimit të numrit të përgjithshëm të gjyqtarëve mbështetet në objektivat e parashikuar në nenin 14, të këtij ligji, si dhe kryhet në mënyrë transparente, duke u bazuar në vlerësime të plota të kritereve të administratës gjyqësore, </w:t>
      </w:r>
      <w:r w:rsidRPr="00103C03">
        <w:rPr>
          <w:rFonts w:ascii="Garamond" w:hAnsi="Garamond"/>
          <w:spacing w:val="-4"/>
          <w:sz w:val="24"/>
          <w:szCs w:val="24"/>
        </w:rPr>
        <w:t>siç përcaktohen nga neni 15 pika 3, shkronja “b”, e këtij ligji</w:t>
      </w:r>
      <w:r w:rsidRPr="00103C03">
        <w:rPr>
          <w:rFonts w:ascii="Garamond" w:hAnsi="Garamond"/>
          <w:bCs/>
          <w:spacing w:val="-4"/>
          <w:sz w:val="24"/>
          <w:szCs w:val="24"/>
        </w:rPr>
        <w: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22</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Numri i gjyqtarëve për çdo gjykatë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Këshilli i Lartë Gjyqësor mbikëqyr vazhdimisht ngarkesën e çështjeve gjyqësore dhe të punës së gjykatave, duke u bazuar në të dhënat e mbledhura, me qëllim përmirësimin e efiçencës së gjykatave ose zvogëlimin e ngarkesës së punës së gjyqtarëve dhe personelit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Këshilli i Lartë Gjyqësor përgatit dhe publikon brenda muajit qershor të çdo viti raportin vjetor për ngarkesën e çështjeve gjyqësore dhe të punës së gjykatave për vitin kalendarik të mëparshëm, duke përfshirë rekomandime për përmirësimin e efiçencës së gjykatave ose për zvogëlimin e ngarkesës së punës së gjyqtarëve dhe personelit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Të paktën çdo pesë vjet Këshilli i Lartë Gjyqësor vlerëson numrin e gjyqtarëve për çdo gjykatë dhe nëse është e nevojshme rishikon numrin e gjyqtarëve pas marrjes së mendimit nga Këshilli i Gjykatës. </w:t>
      </w:r>
    </w:p>
    <w:p w:rsidR="000D4AEA" w:rsidRPr="00103C03" w:rsidRDefault="000D4AEA" w:rsidP="000D4AEA">
      <w:pPr>
        <w:widowControl w:val="0"/>
        <w:shd w:val="clear" w:color="auto" w:fill="FFFFFF"/>
        <w:spacing w:after="0" w:line="240" w:lineRule="auto"/>
        <w:rPr>
          <w:rFonts w:ascii="Garamond" w:hAnsi="Garamond"/>
          <w:b/>
          <w:spacing w:val="-4"/>
          <w:sz w:val="24"/>
          <w:szCs w:val="24"/>
        </w:rPr>
      </w:pPr>
      <w:r w:rsidRPr="00103C03">
        <w:rPr>
          <w:rFonts w:ascii="Garamond" w:hAnsi="Garamond"/>
          <w:spacing w:val="-4"/>
          <w:sz w:val="24"/>
          <w:szCs w:val="24"/>
        </w:rPr>
        <w:tab/>
        <w:t xml:space="preserve">4. </w:t>
      </w:r>
      <w:r w:rsidRPr="00103C03">
        <w:rPr>
          <w:rFonts w:ascii="Garamond" w:hAnsi="Garamond"/>
          <w:bCs/>
          <w:spacing w:val="-4"/>
          <w:sz w:val="24"/>
          <w:szCs w:val="24"/>
        </w:rPr>
        <w:t xml:space="preserve">Procesi i përcaktimit të numrit të gjyqtarëve për çdo gjykatë mbështetet në objektivat e parashikuar në nenin 14, të këtij ligji, </w:t>
      </w:r>
      <w:r w:rsidRPr="00103C03">
        <w:rPr>
          <w:rFonts w:ascii="Garamond" w:hAnsi="Garamond"/>
          <w:spacing w:val="-4"/>
          <w:sz w:val="24"/>
          <w:szCs w:val="24"/>
        </w:rPr>
        <w:t xml:space="preserve">me qëllim sigurimin e ngarkesës së ekuilibruar të punës së gjithë </w:t>
      </w:r>
      <w:r w:rsidRPr="00103C03">
        <w:rPr>
          <w:rFonts w:ascii="Garamond" w:hAnsi="Garamond"/>
          <w:spacing w:val="-4"/>
          <w:sz w:val="24"/>
          <w:szCs w:val="24"/>
        </w:rPr>
        <w:lastRenderedPageBreak/>
        <w:t>gjyqtarëve në Shqipëri. Procesi</w:t>
      </w:r>
      <w:r w:rsidRPr="00103C03">
        <w:rPr>
          <w:rFonts w:ascii="Garamond" w:hAnsi="Garamond"/>
          <w:bCs/>
          <w:spacing w:val="-4"/>
          <w:sz w:val="24"/>
          <w:szCs w:val="24"/>
        </w:rPr>
        <w:t xml:space="preserve"> kryhet në mënyrë transparente, duke u bazuar në analizën e raporteve vjetore dhe efiçencës së masave të marra për zbatimin e rekomandimeve të përcaktuara në raportet vjetore, sipas pikës 2 të këtij neni.</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KREU III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ORGANIZIMI I BRENDSHËM I GJYKATAVE</w:t>
      </w:r>
    </w:p>
    <w:p w:rsidR="000D4AEA" w:rsidRPr="00103C03" w:rsidRDefault="000D4AEA" w:rsidP="000D4AEA">
      <w:pPr>
        <w:pStyle w:val="Hapesira7"/>
        <w:ind w:firstLine="0"/>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SEKSIONI 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DISPOZITA TË PËRGJITHSHME PËR TË GJITHA GJYKATAT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23</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Krijimi i seksioneve dhe trupave gjykuese në gjykata</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Për të mundësuar specializimin, gjykata mund të organizohet në seksione kur kjo është e nevojshme, bazuar në kritere objektive, në veçanti në numrin e gjyqtarëve në gjykatë, llojin dhe numrin e çështjeve në të paktën tri vitet e fundit në atë gjykatë. Seksionet e gjykatave përbëhen nga së paku gjashtë gjyqtarë.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Trupat gjykuese në çdo gjykatë krijohen sipas rregullave të parashikuara në ligjin procedural.</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Caktimi i gjyqtarëve në seksione dhe trupa gjykues bëhet duke marrë parasysh përvojën profesionale dhe fushën e tyre të interesit.</w:t>
      </w:r>
    </w:p>
    <w:p w:rsidR="000D4AEA"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4. Pas marrjes së mendimit të mbledhjes së përgjithshme të gjyqtarëve, Këshilli i Gjykatës mund të krijojë një ose më shumë seksione në gjykatë. Këshilli i Gjykatës, pasi ka caktuar gjyqtarët në degë, nëse ka të tilla, krijon trupat gjykues dhe më pas cakton gjyqtarët në seksione dhe trupa gjykues.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Vendimet e Këshillit të Gjykatës, të marra sipas rregullave të parashikuara në pikën 4, të këtij neni, rishikohen, të paktën çdo dy vjet dhe sa herë është e nevojshme, me qëllim zëvendësimin e gjyqtarëve që nuk janë më në detyrë në atë gjykatë, caktimin e gjyqtarëve të caktuar rishtazi, të transferuar ose të ngritur në detyrë në gjykatë, në seksione dhe trupa gjykues.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6. Në rast se gjyqtari duhet zëvendësuar përkohësisht në ushtrimin e detyrës në trupin gjykues, trupi gjykues plotësohet nga gjyqtarë të trupave të tjerë gjykues të të njëjtit seksion. Zëvendësimi i përkohshëm i gjyqtarëve bëhet me short.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7. Këshilli i Lartë Gjyqësor miraton rregulla të detajuara për kriteret dhe procedurën e krijimit të seksioneve, trupave gjykues dhe caktimin e gjyqtarëve në to.</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24</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Trupat gjykues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Gjykatat me juridiksion të përgjithshëm dhe gjykatat administrative të shkallës së parë gjykojnë me trup gjykues të përbërë nga një gjyqtar, ose me trup gjykues të përbërë nga tri gjyqtarë, përveç rasteve kur në ligj parashikohet ndryshe.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Gjykatat me juridiksion të përgjithshëm dhe gjykatat administrative të apelit gjykojnë me trupa gjykues të përbërë nga tre gjyqtarë, përveç rasteve të parashikuara shprehimisht në ligj.</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Gjykata e posaçme për gjykimin e veprave penale të korrupsionit dhe krimit të organizuar të shkallës së parë dhe të apelit gjykojnë me trup gjykues të përbërë nga pesë gjyqtarë, përveç rasteve kur në ligj parashikohet ndryshe.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25</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Ndarja e çështjeve gjyqësore me short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Ndarja e çështjeve gjyqësore bëhet me short, i cili realizohet në rrugë elektronike, bazuar në parimet e transparencës dhe të objektivitetit.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lastRenderedPageBreak/>
        <w:tab/>
        <w:t>2. Kancelari i gjykatës mbikëqyr procesin e organizimit dhe të dokumentimit të ndarjes së çështjeve gjyqësore nëpërmjet shortit, si dhe nënshkruan përcjelljen e praktikës së çështjes gjyqësore te gjyqtari i caktuar.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Këshilli i Lartë Gjyqësor miraton rregulla më të hollësishme për programin dhe procedurat e ndarjes së çështjeve me short, të cilat në veçanti përcaktojnë: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programin për organizimin e shortit, me qëllim që të disponojë karaktere dhe parametra të mjaftueshëm, të cilët sigurojnë standardet më të larta të transparencës dhe të kapaciteteve të gjurmimit;</w:t>
      </w:r>
      <w:r w:rsidRPr="00103C03">
        <w:rPr>
          <w:rFonts w:ascii="Garamond" w:hAnsi="Garamond"/>
          <w:spacing w:val="-4"/>
          <w:sz w:val="24"/>
          <w:szCs w:val="24"/>
          <w:shd w:val="clear" w:color="auto" w:fill="FFFFFF"/>
        </w:rPr>
        <w:t xml:space="preser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mënyrën transparente të dokumentimit të përgatitjes së shortit;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afatet e organizimit të shortit dhe mënyrën e njoftimit paraprak të tij;</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ç) kriteret për sigurimin e ndarjes së drejtë të çështjeve ndërmjet gjyqtarëve;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 rastet dhe kriteret e rindarjes së çështjeve me short, kur është e nevojshme për shkaqe të justifikuara;</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dh) kritere transparente dhe objektive për procedurën e përjashtimit të gjyqtarëve nga shorti për shkak të ngarkesës ose për shkak të angazhimit të gjyqtarëve në veprimtari të tjera në funksion të gjykatës apo të pushtetit gjyqësor;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e) kritere transparente dhe objektive për ndarjen e çështjeve në rast mosfunksionimi të sistemit elektronik të çështjeve.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Inspektori i Lartë i Drejtësisë kryen rregullisht inspektime të ndarjes së çështjeve me short. Ai kontrollon raportet e sistemit elektronik të paktën një herë në vit.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26</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Kryetari dhe zëvendëskryetari i gjykatës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Kryetari i një gjykate zgjidhet sipas kritereve dhe procedurave të përcaktuara në ligjin “Për statusin e gjyqtarëve dhe prokurorëve në Republikën e Shqipërisë” dhe ka kompetencat e përcaktuara sipas këtij ligji.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Në mungesë të kryetarit, kompetencat e tij ushtrohen nga zëvendëskryetari.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Zëvendëskryetari duhet të ketë të paktën pesë vjet përvojë profesionale si gjyqtar, nga të cilat të paktën tre vjet në të njëjtën shkallë. Zëvendës</w:t>
      </w:r>
      <w:r>
        <w:rPr>
          <w:rFonts w:ascii="Garamond" w:hAnsi="Garamond"/>
          <w:spacing w:val="-4"/>
          <w:sz w:val="24"/>
          <w:szCs w:val="24"/>
        </w:rPr>
        <w:t>-</w:t>
      </w:r>
      <w:r w:rsidRPr="00103C03">
        <w:rPr>
          <w:rFonts w:ascii="Garamond" w:hAnsi="Garamond"/>
          <w:spacing w:val="-4"/>
          <w:sz w:val="24"/>
          <w:szCs w:val="24"/>
        </w:rPr>
        <w:t>kryetari zgjidhet nga mbledhja e përgjithshme e gjyqtarëve për një mandat trevjeçar pa të drejtë rizgjedhjeje.</w:t>
      </w:r>
    </w:p>
    <w:p w:rsidR="000D4AEA"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4. Vendimi i mbledhjes së përgjithshme të gjyqtarëve për zgjedhjen e zëvendëskryetarit merret me shumicën e votave të anëtarëve të pranishëm. Të gjithë gjyqtarët me funksionin e gjyqtarit ose ndihmësmagjistratit në atë gjykatë, në momentin e votimit janë anëtarë dhe kanë për detyrë të votojnë. Mbledhja e përgjithshme e gjyqtarëve është e vlefshme kur në të marrin pjesë të paktën dy të tretat e të gjithë anëtarëve. Në rast të një rezultati të barabartë të kandidatëve, përparësi ka gjyqtari me përvojën më të gjatë profesionale si gjyqtar.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5. Rezultatet e votimit ruhen në një listë me renditjen e kandidatëve për tre vjet nga data e votimit. Në rast se zëvendëskryetari është në pamundësi për të ushtruar detyrën ose përfundon veprimtarinë si gjyqtar i asaj gjykate për çfarëdo arsye, gjyqtari përkatës vijues me numrin më të madh të votave në listë e zëvendëson atë.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6. Këshilli i Lartë Gjyqësor miraton rregulla më të hollësishme për procedurën e zgjedhjes së zëvendëskryetarit.</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375"/>
          <w:tab w:val="center" w:pos="4680"/>
        </w:tabs>
        <w:spacing w:after="0" w:line="240" w:lineRule="auto"/>
        <w:jc w:val="center"/>
        <w:rPr>
          <w:rFonts w:ascii="Garamond" w:hAnsi="Garamond"/>
          <w:spacing w:val="-4"/>
          <w:sz w:val="24"/>
          <w:szCs w:val="24"/>
        </w:rPr>
      </w:pPr>
      <w:r w:rsidRPr="00103C03">
        <w:rPr>
          <w:rFonts w:ascii="Garamond" w:hAnsi="Garamond"/>
          <w:spacing w:val="-4"/>
          <w:sz w:val="24"/>
          <w:szCs w:val="24"/>
        </w:rPr>
        <w:t>Neni 27</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Përbërja e këshillave të gjykatës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Në çdo gjykatë ngrihet dhe funksionon Këshilli i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Këshilli i Gjykatës përbëhet nga tre anëtarët e mëposhtëm, përveç kur parashikohet ndryshe në </w:t>
      </w:r>
      <w:r w:rsidRPr="00103C03">
        <w:rPr>
          <w:rFonts w:ascii="Garamond" w:hAnsi="Garamond"/>
          <w:spacing w:val="-4"/>
          <w:sz w:val="24"/>
          <w:szCs w:val="24"/>
        </w:rPr>
        <w:lastRenderedPageBreak/>
        <w:t>pikat 3 dhe 4 të këtij neni: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kryetari i gjykatës, i cili vepron si kryetar i Këshillit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zëvendëskryetari i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kancelari i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Në rastet kur Këshilli i Gjykatës vendos për çështje të tjera të ndryshme nga ato disiplinore në lidhje me kancelarin, ai përbëhet nga:</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kryetari i gjykatës, i cili vepron si kryetar i Këshillit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zëvendëskryetari i gjykatës;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gjyqtari i renditur më pas, i zgjedhur në përputhje me parashikimet e nenit 26, pika 5, të këtij ligji.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Në rastet kur Këshilli i Gjykatës vepron si komision disiplinor në procedimin ndaj nëpunësve të tjerë civilë gjyqësorë, ai përbëhet nga:</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kryetari i gjykatës, i cili vepron si kryetar i Këshillit të Gjykatës;</w:t>
      </w:r>
    </w:p>
    <w:p w:rsidR="000D4AEA" w:rsidRPr="00103C03" w:rsidRDefault="000D4AEA" w:rsidP="000D4AEA">
      <w:pPr>
        <w:widowControl w:val="0"/>
        <w:shd w:val="clear" w:color="auto" w:fill="FFFFFF"/>
        <w:spacing w:after="0" w:line="240" w:lineRule="auto"/>
        <w:rPr>
          <w:rFonts w:ascii="Garamond" w:hAnsi="Garamond"/>
          <w:strike/>
          <w:spacing w:val="-4"/>
          <w:sz w:val="24"/>
          <w:szCs w:val="24"/>
        </w:rPr>
      </w:pPr>
      <w:r w:rsidRPr="00103C03">
        <w:rPr>
          <w:rFonts w:ascii="Garamond" w:hAnsi="Garamond"/>
          <w:spacing w:val="-4"/>
          <w:sz w:val="24"/>
          <w:szCs w:val="24"/>
        </w:rPr>
        <w:tab/>
        <w:t xml:space="preserve">b) zëvendëskryetari i gjykatës;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një nëpunës i lartë civil gjyqësor i Këshilli të Lartë Gjyqësor, i caktuar nga ky i fundit.</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5. Nëse Këshilli i Gjykatës për shkak të numrit të vogël të gjyqtarëve nuk e siguron përbërjen e përcaktuar, sipas parashikimeve të pikave 3 dhe 4, të këtij neni, atëherë kryetari i gjykatës së apelit me juridiksion të përgjithshëm vepron si anëtar zëvendësues në Këshillin e Gjykatës.</w:t>
      </w:r>
    </w:p>
    <w:p w:rsidR="000D4AEA" w:rsidRPr="00163CDC" w:rsidRDefault="000D4AEA" w:rsidP="000D4AEA">
      <w:pPr>
        <w:pStyle w:val="Hapesira7"/>
        <w:rPr>
          <w:spacing w:val="-4"/>
          <w:sz w:val="10"/>
        </w:rPr>
      </w:pPr>
    </w:p>
    <w:p w:rsidR="000D4AEA" w:rsidRPr="00103C03" w:rsidRDefault="000D4AEA" w:rsidP="000D4AEA">
      <w:pPr>
        <w:widowControl w:val="0"/>
        <w:shd w:val="clear" w:color="auto" w:fill="FFFFFF"/>
        <w:tabs>
          <w:tab w:val="left" w:pos="955"/>
        </w:tabs>
        <w:autoSpaceDE w:val="0"/>
        <w:autoSpaceDN w:val="0"/>
        <w:adjustRightInd w:val="0"/>
        <w:spacing w:after="0" w:line="240" w:lineRule="auto"/>
        <w:jc w:val="center"/>
        <w:rPr>
          <w:rFonts w:ascii="Garamond" w:hAnsi="Garamond"/>
          <w:spacing w:val="-4"/>
          <w:sz w:val="24"/>
          <w:szCs w:val="24"/>
        </w:rPr>
      </w:pPr>
      <w:r w:rsidRPr="00103C03">
        <w:rPr>
          <w:rFonts w:ascii="Garamond" w:hAnsi="Garamond"/>
          <w:spacing w:val="-4"/>
          <w:sz w:val="24"/>
          <w:szCs w:val="24"/>
        </w:rPr>
        <w:t>Neni 28</w:t>
      </w:r>
    </w:p>
    <w:p w:rsidR="000D4AEA" w:rsidRPr="00103C03" w:rsidRDefault="000D4AEA" w:rsidP="000D4AEA">
      <w:pPr>
        <w:widowControl w:val="0"/>
        <w:shd w:val="clear" w:color="auto" w:fill="FFFFFF"/>
        <w:tabs>
          <w:tab w:val="left" w:pos="955"/>
        </w:tabs>
        <w:autoSpaceDE w:val="0"/>
        <w:autoSpaceDN w:val="0"/>
        <w:adjustRightInd w:val="0"/>
        <w:spacing w:after="0" w:line="240" w:lineRule="auto"/>
        <w:jc w:val="center"/>
        <w:rPr>
          <w:rFonts w:ascii="Garamond" w:hAnsi="Garamond"/>
          <w:b/>
          <w:spacing w:val="-4"/>
          <w:sz w:val="24"/>
          <w:szCs w:val="24"/>
        </w:rPr>
      </w:pPr>
      <w:r w:rsidRPr="00103C03">
        <w:rPr>
          <w:rFonts w:ascii="Garamond" w:hAnsi="Garamond"/>
          <w:b/>
          <w:spacing w:val="-4"/>
          <w:sz w:val="24"/>
          <w:szCs w:val="24"/>
        </w:rPr>
        <w:t>Funksionimi i Këshillit të Gjykatës</w:t>
      </w:r>
    </w:p>
    <w:p w:rsidR="000D4AEA" w:rsidRPr="00163CDC" w:rsidRDefault="000D4AEA" w:rsidP="000D4AEA">
      <w:pPr>
        <w:pStyle w:val="Hapesira7"/>
        <w:rPr>
          <w:spacing w:val="-4"/>
          <w:sz w:val="10"/>
        </w:rPr>
      </w:pP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 xml:space="preserve">1. Këshilli i Gjykatës drejtohet nga kryetari.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Mbledhja e Këshillit të Gjykatës thirret nga kryetari pa vonesë në çdo rast që këshilli duhet të përmbushë një detyrë të përcaktuar nga ky ligj, me iniciativë të tij ose me kërkesë të motivuar me shkrim të cilitdo anëtar të këshillit. Kryetari, të paktën tri ditë përpara mbledhjes, njofton anëtarët për kohën, vendin dhe rendin e ditës, duke u dërguar atyre materialet dhe projektvendimet që do të shqyrtohen.</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Kur në rendin e ditës përfshihet marrja e një vendimi, materiali duhet të përmbajë projekt</w:t>
      </w:r>
      <w:r>
        <w:rPr>
          <w:rFonts w:ascii="Garamond" w:hAnsi="Garamond"/>
          <w:spacing w:val="-4"/>
          <w:sz w:val="24"/>
          <w:szCs w:val="24"/>
        </w:rPr>
        <w:t>-</w:t>
      </w:r>
      <w:r w:rsidRPr="00103C03">
        <w:rPr>
          <w:rFonts w:ascii="Garamond" w:hAnsi="Garamond"/>
          <w:spacing w:val="-4"/>
          <w:sz w:val="24"/>
          <w:szCs w:val="24"/>
        </w:rPr>
        <w:t>vendimin bashkë me arsyetimin ligjor të propozuar.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Në raste të veçanta, me kërkesë të cilitdo anëtar dhe me pëlqimin e të gjithë anëtarëve, Këshilli i Gjykatës, mund të diskutojë dhe të vendosë për një çështje, e cila nuk është përfshirë në rendin e ditës.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Mbledhjet e Këshillit të Gjykatës regjistrohen dhe regjistrimi zbardhet brenda pesë ditëve nga zhvillimi i mbledhjes. Saktësia e zbardhjes konfirmohet nga të gjithë anëtarët, nëpërmjet nënshkrimit të procesverbalit.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Këshilli i Gjykatës, pas shqyrtimit të projektakteve, vendos: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miratimin e tij;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miratimin me ndryshime, të cilat pasqyrohen menjëherë në tekstin e projektaktit;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përgatitjen e një projektakti të ri, për të vendosur lidhur me të, në mbledhjen e ardhshme.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7. Vendimet e Këshillit të Gjykatës merren me shumicën e votave të anëtarëve, të cilët duhet të jenë të gjithë të pranishëm në mbledhje. Vendimi nënshkruhet nga të gjithë anëtarët e Këshillit të Gjykatës.</w:t>
      </w:r>
    </w:p>
    <w:p w:rsidR="000D4AEA" w:rsidRPr="00163CDC" w:rsidRDefault="000D4AEA" w:rsidP="000D4AEA">
      <w:pPr>
        <w:widowControl w:val="0"/>
        <w:shd w:val="clear" w:color="auto" w:fill="FFFFFF"/>
        <w:spacing w:after="0" w:line="240" w:lineRule="auto"/>
        <w:rPr>
          <w:rFonts w:ascii="Garamond" w:hAnsi="Garamond"/>
          <w:spacing w:val="-6"/>
          <w:sz w:val="24"/>
          <w:szCs w:val="24"/>
        </w:rPr>
      </w:pPr>
      <w:r w:rsidRPr="00103C03">
        <w:rPr>
          <w:rFonts w:ascii="Garamond" w:hAnsi="Garamond"/>
          <w:spacing w:val="-4"/>
          <w:sz w:val="24"/>
          <w:szCs w:val="24"/>
        </w:rPr>
        <w:tab/>
        <w:t>8</w:t>
      </w:r>
      <w:r w:rsidRPr="00163CDC">
        <w:rPr>
          <w:rFonts w:ascii="Garamond" w:hAnsi="Garamond"/>
          <w:spacing w:val="-6"/>
          <w:sz w:val="24"/>
          <w:szCs w:val="24"/>
        </w:rPr>
        <w:t xml:space="preserve">. Përmbledhja e procesverbalit, e cila pasqyron pikat kryesore të diskutimit për çdo temë të rendit të ditës dhe vota e secilit anëtar publikohen në faqen zyrtare të gjykatës. Anëtarët mbajnë përgjegjësi për votimin e tyre në lidhje me mënyrën e ushtrimit të detyrave si anëtar i Këshillit të Gjykatës.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9. Këshilli i Lartë Gjyqësor miraton rregulla më të detajuara për procedurën e funksionimit të mbledhjes së Këshillit të Gjykatës.</w:t>
      </w:r>
    </w:p>
    <w:p w:rsidR="000D4AEA" w:rsidRPr="00163CDC" w:rsidRDefault="000D4AEA" w:rsidP="000D4AEA">
      <w:pPr>
        <w:pStyle w:val="Hapesira7"/>
        <w:rPr>
          <w:spacing w:val="-4"/>
          <w:sz w:val="10"/>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29</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Mbledhja e përgjithshme e gjyqtarëve të gjykatës</w:t>
      </w:r>
    </w:p>
    <w:p w:rsidR="000D4AEA" w:rsidRPr="00163CDC" w:rsidRDefault="000D4AEA" w:rsidP="000D4AEA">
      <w:pPr>
        <w:pStyle w:val="Hapesira7"/>
        <w:rPr>
          <w:spacing w:val="-4"/>
          <w:sz w:val="10"/>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lastRenderedPageBreak/>
        <w:tab/>
        <w:t>1. Mbledhja e përgjithshme e të gjithë gjyqtarëve të gjykatës thirret rregullisht dhe kryesohet nga kryetari i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Kryetari siguron që mbledhja të zhvillohet me regjistrim audio dhe të mbahet procesverbal për diskutimet e zhvilluara. Regjistrimi audio dhe procesverbali i mbledhjes i zbardhur ruhet për të paktën dhjetë vjet dhe i vihet në dispozicion gjyqtarëve të gjykatës, anëtarëve të Këshillit të Lartë Gjyqësor dhe Inspektorit të Lartë të Drejtësisë. Akses mund t’u jepet personave dhe institucioneve të tjera të interesuara, duke siguruar mbrojtjen e të dhënave personale.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Kryetari njofton Këshillin e Lartë Gjyqësor për datën dhe rendin e ditës së mbledhjes së përgjithshme të gjyqtarëve kur diskutohet analiza vjetore e gjykatës, të paktën dy javë më parë. Këshilli i Lartë Gjyqësor mund të vendosë për të marrë pjesë në mbledhjen e përgjithshme të gjyqtarëve përmes anëtarëve të tij si vëzhgues.</w:t>
      </w:r>
    </w:p>
    <w:p w:rsidR="000D4AEA" w:rsidRPr="00103C03" w:rsidRDefault="000D4AEA" w:rsidP="000D4AEA">
      <w:pPr>
        <w:widowControl w:val="0"/>
        <w:shd w:val="clear" w:color="auto" w:fill="FFFFFF"/>
        <w:spacing w:after="0" w:line="240" w:lineRule="auto"/>
        <w:rPr>
          <w:rFonts w:ascii="Garamond" w:hAnsi="Garamond"/>
          <w:strike/>
          <w:spacing w:val="-4"/>
          <w:sz w:val="24"/>
          <w:szCs w:val="24"/>
        </w:rPr>
      </w:pPr>
      <w:r w:rsidRPr="00103C03">
        <w:rPr>
          <w:rFonts w:ascii="Garamond" w:hAnsi="Garamond"/>
          <w:spacing w:val="-4"/>
          <w:sz w:val="24"/>
          <w:szCs w:val="24"/>
        </w:rPr>
        <w:tab/>
        <w:t xml:space="preserve">4. Kryetari mund të ftojë në mbledhjen e përgjithshme të gjyqtarëve, nëpunës civilë gjyqësorë në detyrë ose që kryejnë praktikën profesionale, ose palë të tjera të interesuara. </w:t>
      </w:r>
    </w:p>
    <w:p w:rsidR="000D4AEA" w:rsidRPr="00163CDC" w:rsidRDefault="000D4AEA" w:rsidP="000D4AEA">
      <w:pPr>
        <w:pStyle w:val="Hapesira7"/>
        <w:rPr>
          <w:spacing w:val="-4"/>
          <w:sz w:val="10"/>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SEKSIONI II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DISPOZITA TË VEÇANTA PËR GJYKATËN E LARTË</w:t>
      </w:r>
    </w:p>
    <w:p w:rsidR="000D4AEA" w:rsidRPr="00163CDC" w:rsidRDefault="000D4AEA" w:rsidP="000D4AEA">
      <w:pPr>
        <w:pStyle w:val="Hapesira7"/>
        <w:rPr>
          <w:spacing w:val="-4"/>
          <w:sz w:val="10"/>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30</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Analogjia e dispozitave të tjera</w:t>
      </w:r>
    </w:p>
    <w:p w:rsidR="000D4AEA" w:rsidRPr="00163CDC" w:rsidRDefault="000D4AEA" w:rsidP="000D4AEA">
      <w:pPr>
        <w:pStyle w:val="Hapesira7"/>
        <w:rPr>
          <w:spacing w:val="-4"/>
          <w:sz w:val="10"/>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Rregullimet e parashikuara në nenet e seksionit I të këtij kreu aplikohen për aq sa gjejnë zbatim edhe për Gjykatën e Lartë, përveç kur parashikohet ndryshe nga ky ligj.</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31</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 xml:space="preserve">Kolegjet dhe trupat gjykues të Gjykatës </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së Lartë</w:t>
      </w:r>
    </w:p>
    <w:p w:rsidR="000D4AEA" w:rsidRPr="00163CDC" w:rsidRDefault="000D4AEA" w:rsidP="000D4AEA">
      <w:pPr>
        <w:pStyle w:val="Hapesira7"/>
        <w:rPr>
          <w:spacing w:val="-4"/>
          <w:sz w:val="8"/>
        </w:rPr>
      </w:pPr>
      <w:r w:rsidRPr="00103C03">
        <w:rPr>
          <w:spacing w:val="-4"/>
        </w:rPr>
        <w:t xml:space="preser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Gjykata e Lartë organizohet në Kolegjin Civil, Kolegjin Penal dhe Kolegjin Administrativ. Kryetari i kolegjit zgjidhet nga anëtarët e tij me shumicë të thjeshtë votash për periudhën njëvjeçare, me të drejtë rizgjedhjeje.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Kolegji Civil shqyrton rekurse ndaj vendimeve të gjykatave me juridiksion të përgjithshëm për çështje tregtare, civile dhe familjare, si dhe çështje të tjera të caktuara në kompetencë me ligj. Ai gjykon në trupa gjykues të përbërë nga tre gjyqtarë.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Kolegji Penal shqyrton rekurse ndaj vendimeve të gjykatave me juridiksion të përgjithshëm dhe gjykatave të posaçme për gjykimin e veprave penale të korrupsionit dhe krimit të organizuar për çështje penale, si dhe çështje të tjera të caktuara në kompetencë me ligj. Ai gjykon në trupa gjykues të përbërë nga tre gjyqtarë. Çështjet penale të gjykuara nga gjykatat e posaçme për gjykimin e veprave penale të korrupsionit dhe krimit të organizuar gjykohen nga një trup gjykues i përbërë nga pesë gjyqtarë.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Kolegji Administrativ shqyrton rekurse ndaj vendimeve të gjykatave administrative. Trupat gjykues të Kolegjit Administrativ përbëhen nga tre gjyqtarë dhe për çështje që gjykojnë ligjshmërinë e akteve normative nënligjore trupat gjykues përbëhen nga pesë gjyqtarë.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Trupi gjykues kryesohet nga kryetari i gjykatës dhe në mungesë të tij nga kryetari i kolegjit. Në rast mungese të të dyve kryesohet nga gjyqtari relator.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32</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Kolegjet e Bashkuara të Gjykatës së Lartë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Gjykata e Lartë gjykon në Kolegje të Bashkuara për çështje civile, penale ose administrative, të cilat, me vendim të një prej trupave gjykues ose të Kryetarit të Gjykatës së Lartë, paraqiten për shqyrtim për ndryshimin e praktikës gjyqësore.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Kolegjet e Bashkuara shqyrtojnë rastet kur e njëjta çështje juridike nuk është interpretuar në </w:t>
      </w:r>
      <w:r w:rsidRPr="00103C03">
        <w:rPr>
          <w:rFonts w:ascii="Garamond" w:hAnsi="Garamond"/>
          <w:spacing w:val="-4"/>
          <w:sz w:val="24"/>
          <w:szCs w:val="24"/>
        </w:rPr>
        <w:lastRenderedPageBreak/>
        <w:t>mënyrë të njëjtë nga kolegje të ndryshme të Gjykatës së Lartë, ose në rast se ekziston rreziku për interpretim jo të njëjtë nga kolegje të ndryshme të Gjykatës së Lartë.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33</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Përbërja dhe gjykimi në Kolegje të Bashkuara</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Kolegjet e Bashkuara kryesohen nga Kryetari i Gjykatës së Lartë ose në mungesë të tij nga zëvendëskryetari.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Kolegjet e Bashkuara gjykojnë kur në to marrin pjesë jo më pak se dy të tretat e të gjithë gjyqtarëve të Gjykatës së Lartë.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Vendimi merret me shumicën e votave të gjyqtarëve që marrin pjesë në gjykim. Në rast të një numri të barabartë votash, votimi bëhet sërish dhe nëse numri është sërish i barabartë, vota e kryetarit është përcaktuese.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Kur Gjykata e Lartë gjykon në Kolegje të Bashkuara, sipas nenit 32, pika 1, e këtij ligji, krahas relatorit të çështjes në trupin gjykues që ka paraqitur çështjen, caktohet me short edhe një relator tjetër nga një tjetër trup gjykues që ka të bëjë me interpretimin e së njëjtës çështje. Relatorët, në mënyrë të pavarur, përgatisin relatimin e tyre mbi interpretimin e ligjit, gjendjen e praktikës gjyqësore, qëndrimet e doktrinës juridike dhe i paraqesin ato përpara Kolegjeve të Bashkuara.</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34</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Njësia e Shërbimit Ligjor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Pranë Gjykatës së Lartë funksionon Njësia e Shërbimit Ligjor.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Ajo ushtron veprimtari këshilluese dhe ndihmëse në procesin vendimmarrës të Gjykatës së Lartë duke përfshirë: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analizimin e praktikës gjyqësore përkatëse mbi interpretimin e dispozitave të zbatueshme për çështjet në gjykim;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analizimin e çështjes dhe përmbledhjen e procedurës;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c) kryerjen e detyrave të tjera për përpunimin e çështjes siç kërkohet nga gjyqtari. </w:t>
      </w:r>
    </w:p>
    <w:p w:rsidR="000D4AEA" w:rsidRPr="00103C03" w:rsidRDefault="000D4AEA" w:rsidP="000D4AEA">
      <w:pPr>
        <w:widowControl w:val="0"/>
        <w:shd w:val="clear" w:color="auto" w:fill="FFFFFF"/>
        <w:tabs>
          <w:tab w:val="left" w:pos="360"/>
        </w:tabs>
        <w:spacing w:after="0" w:line="240" w:lineRule="auto"/>
        <w:rPr>
          <w:rFonts w:ascii="Garamond" w:hAnsi="Garamond"/>
          <w:spacing w:val="-4"/>
          <w:sz w:val="24"/>
          <w:szCs w:val="24"/>
        </w:rPr>
      </w:pPr>
      <w:r w:rsidRPr="00103C03">
        <w:rPr>
          <w:rFonts w:ascii="Garamond" w:hAnsi="Garamond"/>
          <w:spacing w:val="-4"/>
          <w:sz w:val="24"/>
          <w:szCs w:val="24"/>
        </w:rPr>
        <w:tab/>
        <w:t xml:space="preserve">3. Njësia e Shërbimit Ligjor është në varësi të Kryetarit të Gjykatës, i cili për çdo çështje gjyqësore cakton këshilltarin ligjor, duke marrë parasysh përvojën profesionale dhe specializimin e tyre, si dhe duke siguruar ngarkesë pune të barabartë ndërmjet tyre. </w:t>
      </w:r>
    </w:p>
    <w:p w:rsidR="000D4AEA" w:rsidRPr="00103C03" w:rsidRDefault="000D4AEA" w:rsidP="000D4AEA">
      <w:pPr>
        <w:widowControl w:val="0"/>
        <w:shd w:val="clear" w:color="auto" w:fill="FFFFFF"/>
        <w:tabs>
          <w:tab w:val="left" w:pos="360"/>
        </w:tabs>
        <w:spacing w:after="0" w:line="240" w:lineRule="auto"/>
        <w:rPr>
          <w:rFonts w:ascii="Garamond" w:hAnsi="Garamond"/>
          <w:spacing w:val="-4"/>
          <w:sz w:val="24"/>
          <w:szCs w:val="24"/>
        </w:rPr>
      </w:pPr>
      <w:r w:rsidRPr="00103C03">
        <w:rPr>
          <w:rFonts w:ascii="Garamond" w:hAnsi="Garamond"/>
          <w:spacing w:val="-4"/>
          <w:sz w:val="24"/>
          <w:szCs w:val="24"/>
        </w:rPr>
        <w:tab/>
        <w:t xml:space="preserve">4. Njësia e Shërbimit Ligjor përbëhet nga këshilltarët ligjorë, </w:t>
      </w:r>
      <w:r w:rsidRPr="00103C03">
        <w:rPr>
          <w:rFonts w:ascii="Garamond" w:hAnsi="Garamond"/>
          <w:spacing w:val="-4"/>
          <w:sz w:val="24"/>
          <w:szCs w:val="24"/>
          <w:shd w:val="clear" w:color="auto" w:fill="FFFFFF"/>
        </w:rPr>
        <w:t>në të cilën më shumë se gjysma e numrit të përgjithshëm përbëhet nga</w:t>
      </w:r>
      <w:r w:rsidRPr="00103C03">
        <w:rPr>
          <w:rFonts w:ascii="Garamond" w:hAnsi="Garamond"/>
          <w:spacing w:val="-4"/>
          <w:sz w:val="24"/>
          <w:szCs w:val="24"/>
        </w:rPr>
        <w:t xml:space="preserve"> ndihmës</w:t>
      </w:r>
      <w:r>
        <w:rPr>
          <w:rFonts w:ascii="Garamond" w:hAnsi="Garamond"/>
          <w:spacing w:val="-4"/>
          <w:sz w:val="24"/>
          <w:szCs w:val="24"/>
        </w:rPr>
        <w:t>-</w:t>
      </w:r>
      <w:r w:rsidRPr="00103C03">
        <w:rPr>
          <w:rFonts w:ascii="Garamond" w:hAnsi="Garamond"/>
          <w:spacing w:val="-4"/>
          <w:sz w:val="24"/>
          <w:szCs w:val="24"/>
        </w:rPr>
        <w:t xml:space="preserve">magjistratë të komanduar, sipas procedurave të përcaktuara në ligjin “Për statusin e gjyqtarëve dhe prokurorëve në Republikën e Shqipërisë”. </w:t>
      </w:r>
    </w:p>
    <w:p w:rsidR="000D4AEA" w:rsidRPr="00103C03" w:rsidRDefault="000D4AEA" w:rsidP="000D4AEA">
      <w:pPr>
        <w:widowControl w:val="0"/>
        <w:shd w:val="clear" w:color="auto" w:fill="FFFFFF"/>
        <w:tabs>
          <w:tab w:val="left" w:pos="360"/>
        </w:tabs>
        <w:spacing w:after="0" w:line="240" w:lineRule="auto"/>
        <w:rPr>
          <w:rFonts w:ascii="Garamond" w:hAnsi="Garamond"/>
          <w:spacing w:val="-4"/>
          <w:sz w:val="24"/>
          <w:szCs w:val="24"/>
        </w:rPr>
      </w:pPr>
      <w:r w:rsidRPr="00103C03">
        <w:rPr>
          <w:rFonts w:ascii="Garamond" w:hAnsi="Garamond"/>
          <w:spacing w:val="-4"/>
          <w:sz w:val="24"/>
          <w:szCs w:val="24"/>
        </w:rPr>
        <w:tab/>
        <w:t>5. Këshilltarët ligjorë jomagjistratë emërohen nga Këshilli i Lartë Gjyqësor sipas rregullave të parashikuara në këtë ligj. Këshilltari ligjor që vjen nga radhët e juristëve përfiton pagë të barabartë me “pagën bruto fillestare” të gjyqtarit të gjykatës së shkallës së parë, pa përfitimet e tjera financiare, sipas referimeve të ligjit “Për statusin e gjyqtarëve dhe prokurorëve në Republikën e Shqipërisë”.</w:t>
      </w:r>
    </w:p>
    <w:p w:rsidR="000D4AEA" w:rsidRPr="00103C03" w:rsidRDefault="000D4AEA" w:rsidP="000D4AEA">
      <w:pPr>
        <w:widowControl w:val="0"/>
        <w:shd w:val="clear" w:color="auto" w:fill="FFFFFF"/>
        <w:tabs>
          <w:tab w:val="left" w:pos="360"/>
        </w:tabs>
        <w:spacing w:after="0" w:line="240" w:lineRule="auto"/>
        <w:rPr>
          <w:rFonts w:ascii="Garamond" w:hAnsi="Garamond"/>
          <w:spacing w:val="-4"/>
          <w:sz w:val="24"/>
          <w:szCs w:val="24"/>
        </w:rPr>
      </w:pPr>
      <w:r w:rsidRPr="00103C03">
        <w:rPr>
          <w:rFonts w:ascii="Garamond" w:hAnsi="Garamond"/>
          <w:spacing w:val="-4"/>
          <w:sz w:val="24"/>
          <w:szCs w:val="24"/>
        </w:rPr>
        <w:tab/>
        <w:t xml:space="preserve">6. Këshilltari ligjor jomagjistrat duhet të plotësojë kriteret e mëposhtme: </w:t>
      </w:r>
    </w:p>
    <w:p w:rsidR="000D4AEA" w:rsidRPr="00103C03" w:rsidRDefault="000D4AEA" w:rsidP="000D4AEA">
      <w:pPr>
        <w:widowControl w:val="0"/>
        <w:shd w:val="clear" w:color="auto" w:fill="FFFFFF"/>
        <w:spacing w:after="0" w:line="240" w:lineRule="auto"/>
        <w:rPr>
          <w:rFonts w:ascii="Garamond" w:eastAsia="Times New Roman" w:hAnsi="Garamond"/>
          <w:bCs/>
          <w:spacing w:val="-4"/>
          <w:sz w:val="24"/>
          <w:szCs w:val="24"/>
        </w:rPr>
      </w:pPr>
      <w:r w:rsidRPr="00103C03">
        <w:rPr>
          <w:rFonts w:ascii="Garamond" w:hAnsi="Garamond"/>
          <w:spacing w:val="-4"/>
          <w:sz w:val="24"/>
          <w:szCs w:val="24"/>
        </w:rPr>
        <w:tab/>
        <w:t xml:space="preserve">a) të jetë diplomuar në drejtësi në nivelin “Master shkencor”, </w:t>
      </w:r>
      <w:r w:rsidRPr="00103C03">
        <w:rPr>
          <w:rFonts w:ascii="Garamond" w:eastAsia="Times New Roman" w:hAnsi="Garamond"/>
          <w:bCs/>
          <w:spacing w:val="-4"/>
          <w:sz w:val="24"/>
          <w:szCs w:val="24"/>
          <w:shd w:val="clear" w:color="auto" w:fill="FFFFFF"/>
        </w:rPr>
        <w:t>të barasvlershëm me të, sipas përcaktimeve të legjislacionit të arsimit të lartë</w:t>
      </w:r>
      <w:r w:rsidRPr="00103C03">
        <w:rPr>
          <w:rFonts w:ascii="Garamond" w:eastAsia="Times New Roman" w:hAnsi="Garamond"/>
          <w:bCs/>
          <w:spacing w:val="-4"/>
          <w:sz w:val="24"/>
          <w:szCs w:val="24"/>
        </w:rPr>
        <w:t xml:space="preser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përvojë profesionale jo më pak se 10 vjet si nëpunës i lartë në sistemin gjyqësor ose të prokurorisë, në administratën publike, profesionet e lira ligjore, mësimdhënie në fakultetet e drejtësisë, ose në çdo pozicion tjetër të barasvlershëm me to, në sektorin privat ose organizatat ndërkombëtare;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njohuri në jurisprudencën e gjykatave vendase dhe atyre ndërkombëtare;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ç) njohuri shumë të mira të paktën të një gjuhe të vendeve të Bashkimit Europian;</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 aftësi të shkrimit dhe arsyetimit ligjor;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dh) të mos ketë masa disiplinore në fuqi në pozicionet e mëparshme; </w:t>
      </w:r>
    </w:p>
    <w:p w:rsidR="000D4AEA" w:rsidRPr="00103C03" w:rsidRDefault="000D4AEA" w:rsidP="000D4AEA">
      <w:pPr>
        <w:widowControl w:val="0"/>
        <w:shd w:val="clear" w:color="auto" w:fill="FFFFFF"/>
        <w:tabs>
          <w:tab w:val="left" w:pos="360"/>
        </w:tabs>
        <w:spacing w:after="0" w:line="240" w:lineRule="auto"/>
        <w:rPr>
          <w:rFonts w:ascii="Garamond" w:hAnsi="Garamond"/>
          <w:spacing w:val="-4"/>
          <w:sz w:val="24"/>
          <w:szCs w:val="24"/>
        </w:rPr>
      </w:pPr>
      <w:r w:rsidRPr="00103C03">
        <w:rPr>
          <w:rFonts w:ascii="Garamond" w:hAnsi="Garamond"/>
          <w:spacing w:val="-4"/>
          <w:sz w:val="24"/>
          <w:szCs w:val="24"/>
        </w:rPr>
        <w:lastRenderedPageBreak/>
        <w:tab/>
        <w:t>e) të jetë autor i artikujve dhe botimeve shkencore në fushën e jurisprudencës.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7. Këshilltari ligjor dhe ndihmësmagjistrati u nënshtrohen rregullave të papajtueshmërisë, kufizimeve në detyrë dhe konfliktit të interesave ashtu si magjistrati.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8. Këshilli i Gjykatës përfshin në projekt</w:t>
      </w:r>
      <w:r>
        <w:rPr>
          <w:rFonts w:ascii="Garamond" w:hAnsi="Garamond"/>
          <w:spacing w:val="-4"/>
          <w:sz w:val="24"/>
          <w:szCs w:val="24"/>
        </w:rPr>
        <w:t>-</w:t>
      </w:r>
      <w:r w:rsidRPr="00103C03">
        <w:rPr>
          <w:rFonts w:ascii="Garamond" w:hAnsi="Garamond"/>
          <w:spacing w:val="-4"/>
          <w:sz w:val="24"/>
          <w:szCs w:val="24"/>
        </w:rPr>
        <w:t>buxhetin që paraqet në Këshillin e Lartë Gjyqësor propozimin për numrin e këshilltarëve ligjorë.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9. Mbledhja e përgjithshme e gjyqtarëve miraton rregulla të detajuara për numrin e këshilltarëve ligjorë dhe funksionimin e Njësisë së Shërbimit Ligjor.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35</w:t>
      </w:r>
    </w:p>
    <w:p w:rsidR="000D4AEA" w:rsidRPr="00103C03" w:rsidRDefault="000D4AEA" w:rsidP="000D4AEA">
      <w:pPr>
        <w:widowControl w:val="0"/>
        <w:shd w:val="clear" w:color="auto" w:fill="FFFFFF"/>
        <w:spacing w:after="0" w:line="240" w:lineRule="auto"/>
        <w:jc w:val="center"/>
        <w:rPr>
          <w:rFonts w:ascii="Garamond" w:hAnsi="Garamond"/>
          <w:b/>
          <w:iCs/>
          <w:spacing w:val="-4"/>
          <w:sz w:val="24"/>
          <w:szCs w:val="24"/>
        </w:rPr>
      </w:pPr>
      <w:r w:rsidRPr="00103C03">
        <w:rPr>
          <w:rFonts w:ascii="Garamond" w:hAnsi="Garamond"/>
          <w:b/>
          <w:iCs/>
          <w:spacing w:val="-4"/>
          <w:sz w:val="24"/>
          <w:szCs w:val="24"/>
        </w:rPr>
        <w:t>Qendra e dokumentacionit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Qendra e dokumentacionit bën: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sigurimin e publikimit të menjëhershëm të vendimeve të Gjykatës së Lartë, në përputhje me dispozitat për mbrojtjen e të dhënave personale;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analizën dhe vlerësimin e vendimeve të Gjykatës së Lartë dhe siguron publikimin e ekstrak</w:t>
      </w:r>
      <w:r>
        <w:rPr>
          <w:rFonts w:ascii="Garamond" w:hAnsi="Garamond"/>
          <w:spacing w:val="-4"/>
          <w:sz w:val="24"/>
          <w:szCs w:val="24"/>
        </w:rPr>
        <w:t>-</w:t>
      </w:r>
      <w:r w:rsidRPr="00103C03">
        <w:rPr>
          <w:rFonts w:ascii="Garamond" w:hAnsi="Garamond"/>
          <w:spacing w:val="-4"/>
          <w:sz w:val="24"/>
          <w:szCs w:val="24"/>
        </w:rPr>
        <w:t>teve të vendimeve kryesore, si dhe publikimin e vendimit të plotë;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ndjekjen dhe studimin e praktikës gjyqësore të gjykatave të tjera dhe gjykatave ndërkombëtare, si dhe u jep gjyqtarëve, ndihmësmagjistratëve dhe këshilltarëve ligjorë jomagjistratë informacion mbi interpretimin e ligjit nga ana e gjykatave.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Qendra e dokumentacionit punon nën mbikëqyrjen e Zëvendëskryetarit të Gjykatës së Lartë.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Vendimet e trupave gjykues të Gjykatës së Lartë, bashkë me mendimin e pakicës, publikohen në Buletinin Periodik të Gjykatës, në përputhje me ligjin “Për Qendrën e Botimeve Zyrtare”.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Vendimet e Gjykatës së Lartë për njësimin dhe zhvillimin e praktikës gjyqësore publikohen në Fletoren Zyrtare të radhës.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KREU IV</w:t>
      </w: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FUNKSIONIMI I ADMINISTRIMIT GJYQËSOR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SEKSIONI 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KOMPETENCAT E ORGANEVE TË ADMINISTRIMIT GJYQËSOR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36</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Kompetencat e Këshillit të Lartë Gjyqësor</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Këshilli i Lartë Gjyqësor ka në kompetencë organizimin dhe funksionimin e shërbimeve, të cilat lidhen me administrimin gjyqësor, sipas kompetencave të parashikuara në ligjin “Për organet e qeverisjes së sistemit të drejtësisë”.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37</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Kompetencat e kryetarit të gjykatës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Kryetari i gjykatës ka përgjegjësi për mena</w:t>
      </w:r>
      <w:r>
        <w:rPr>
          <w:rFonts w:ascii="Garamond" w:hAnsi="Garamond"/>
          <w:spacing w:val="-4"/>
          <w:sz w:val="24"/>
          <w:szCs w:val="24"/>
        </w:rPr>
        <w:t>-</w:t>
      </w:r>
      <w:r w:rsidRPr="00103C03">
        <w:rPr>
          <w:rFonts w:ascii="Garamond" w:hAnsi="Garamond"/>
          <w:spacing w:val="-4"/>
          <w:sz w:val="24"/>
          <w:szCs w:val="24"/>
        </w:rPr>
        <w:t>xhimin e përgjithshëm gjyqësor dhe ushtron këto detyra:</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përfaqëson gjykatën në marrëdhënie me të tretët;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në fillim të çdo viti miraton një listë, e cila përditësohet kur është e nevojshme,  që përcakton gjyqtarët për gjykimet e rasteve urgjente, siç përcaktohet me ligj, sipas rendit alfabetik me bazë mbiemrin, në përputhje me rregullat e miratuara nga Këshilli i Lartë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mban kontakt me grupet e kontrollit të institucioneve të tjera shtetërore, njihet me qëllimin dhe objektin e kontrollit dhe u krijon atyre mundësi për ushtrimin e detyrës;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ç) mbikëqyr respektimin e etikës gjyqësore dhe të solemnitetit, si dhe bashkëpunon me Këshillin e Lartë Gjyqësor në lidhje me vlerësimin etik dhe profesional të gjyqtarëve;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lastRenderedPageBreak/>
        <w:tab/>
        <w:t>d) mbikëqyr disiplinën në punë të gjyqtarëve dhe kërkon fillimin e hetimit kur dyshohet shkelje disiplinore e gjyqtarëve në gjykatat e tyre;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dh) kujdeset për organizimin dhe funksionimin e administrimit gjyqësor në gjykatë në lidhje me veprimtaritë jogjyqësore nëpërmjet kancelarit, përveç rasteve kur parashikohet ndryshe në këtë ligj;</w:t>
      </w:r>
    </w:p>
    <w:p w:rsidR="000D4AEA" w:rsidRPr="00103C03" w:rsidRDefault="000D4AEA" w:rsidP="000D4AEA">
      <w:pPr>
        <w:widowControl w:val="0"/>
        <w:tabs>
          <w:tab w:val="left" w:pos="284"/>
        </w:tabs>
        <w:spacing w:after="0" w:line="240" w:lineRule="auto"/>
        <w:contextualSpacing/>
        <w:rPr>
          <w:rFonts w:ascii="Garamond" w:hAnsi="Garamond"/>
          <w:spacing w:val="-4"/>
          <w:sz w:val="24"/>
          <w:szCs w:val="24"/>
        </w:rPr>
      </w:pPr>
      <w:r w:rsidRPr="00103C03">
        <w:rPr>
          <w:rFonts w:ascii="Garamond" w:hAnsi="Garamond"/>
          <w:spacing w:val="-4"/>
          <w:sz w:val="24"/>
          <w:szCs w:val="24"/>
        </w:rPr>
        <w:tab/>
        <w:t>e) thërret, përgatit dhe drejton mbledhjet e përgjithshme të gjyqtarëve dhe të Këshillit të Gjykatës, përveçse kur parashikohet ndryshe në këtë ligj;</w:t>
      </w:r>
    </w:p>
    <w:p w:rsidR="000D4AEA" w:rsidRPr="00103C03" w:rsidRDefault="000D4AEA" w:rsidP="000D4AEA">
      <w:pPr>
        <w:widowControl w:val="0"/>
        <w:tabs>
          <w:tab w:val="left" w:pos="284"/>
        </w:tabs>
        <w:spacing w:after="0" w:line="240" w:lineRule="auto"/>
        <w:contextualSpacing/>
        <w:rPr>
          <w:rFonts w:ascii="Garamond" w:hAnsi="Garamond"/>
          <w:spacing w:val="-4"/>
          <w:sz w:val="24"/>
          <w:szCs w:val="24"/>
        </w:rPr>
      </w:pPr>
      <w:r w:rsidRPr="00103C03">
        <w:rPr>
          <w:rFonts w:ascii="Garamond" w:hAnsi="Garamond"/>
          <w:spacing w:val="-4"/>
          <w:sz w:val="24"/>
          <w:szCs w:val="24"/>
        </w:rPr>
        <w:tab/>
        <w:t>ë) udhëzon dhe mbikëqyr kancelarin;</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 xml:space="preserve">f) verifikon ankesat, heton shkeljet disiplinore dhe propozon fillimin e procedimit disiplinor ndaj kancelarit; </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g) kryen veprimet dhe merr vendime që lidhen me statusin e nëpunësve civilë gjyqësorë, siç parashikohet në këtë ligj;</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gj) garanton zbatimin e vendimeve të Këshillit të Lartë Gjyqësor, në veçanti në lidhje me masat që kanë për qëllim rritjen e efikasitetit dhe cilësisë së shërbimeve gjyqësore;</w:t>
      </w:r>
    </w:p>
    <w:p w:rsidR="000D4AEA" w:rsidRPr="00103C03" w:rsidRDefault="000D4AEA" w:rsidP="000D4AEA">
      <w:pPr>
        <w:widowControl w:val="0"/>
        <w:tabs>
          <w:tab w:val="left" w:pos="0"/>
        </w:tabs>
        <w:spacing w:after="0" w:line="240" w:lineRule="auto"/>
        <w:contextualSpacing/>
        <w:rPr>
          <w:rFonts w:ascii="Garamond" w:hAnsi="Garamond"/>
          <w:spacing w:val="-4"/>
          <w:sz w:val="24"/>
          <w:szCs w:val="24"/>
        </w:rPr>
      </w:pPr>
      <w:r w:rsidRPr="00103C03">
        <w:rPr>
          <w:rFonts w:ascii="Garamond" w:hAnsi="Garamond"/>
          <w:spacing w:val="-4"/>
          <w:sz w:val="24"/>
          <w:szCs w:val="24"/>
        </w:rPr>
        <w:tab/>
        <w:t>h) garanton qasjen dhe mënyrën e përdorimit të sistemit të menaxhimit të çështjeve, në përputhje me politikat e përgjithshme shtetërore në fushën e teknologjisë dhe sigurisë së informacionit dhe rregullave të miratuara nga Këshilli i Lartë Gjyqësor, sipas parashikimeve të  ligjit “Për organet e qeverisjes së sistemit të drejtësisë”;</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i) ushtron çdo detyrë tjetër që lidhet me veprimtaritë jogjyqësore të gjykatës, siç përcaktohet me ligj ose vendim të Këshillit të Lartë Gjyqësor.</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955"/>
        </w:tabs>
        <w:autoSpaceDE w:val="0"/>
        <w:autoSpaceDN w:val="0"/>
        <w:adjustRightInd w:val="0"/>
        <w:spacing w:after="0" w:line="240" w:lineRule="auto"/>
        <w:jc w:val="center"/>
        <w:rPr>
          <w:rFonts w:ascii="Garamond" w:hAnsi="Garamond"/>
          <w:spacing w:val="-4"/>
          <w:sz w:val="24"/>
          <w:szCs w:val="24"/>
        </w:rPr>
      </w:pPr>
      <w:r w:rsidRPr="00103C03">
        <w:rPr>
          <w:rFonts w:ascii="Garamond" w:hAnsi="Garamond"/>
          <w:spacing w:val="-4"/>
          <w:sz w:val="24"/>
          <w:szCs w:val="24"/>
        </w:rPr>
        <w:t>Neni 38</w:t>
      </w:r>
    </w:p>
    <w:p w:rsidR="000D4AEA" w:rsidRPr="00103C03" w:rsidRDefault="000D4AEA" w:rsidP="000D4AEA">
      <w:pPr>
        <w:widowControl w:val="0"/>
        <w:shd w:val="clear" w:color="auto" w:fill="FFFFFF"/>
        <w:tabs>
          <w:tab w:val="left" w:pos="955"/>
        </w:tabs>
        <w:autoSpaceDE w:val="0"/>
        <w:autoSpaceDN w:val="0"/>
        <w:adjustRightInd w:val="0"/>
        <w:spacing w:after="0" w:line="240" w:lineRule="auto"/>
        <w:jc w:val="center"/>
        <w:rPr>
          <w:rFonts w:ascii="Garamond" w:hAnsi="Garamond"/>
          <w:b/>
          <w:spacing w:val="-4"/>
          <w:sz w:val="24"/>
          <w:szCs w:val="24"/>
        </w:rPr>
      </w:pPr>
      <w:r w:rsidRPr="00103C03">
        <w:rPr>
          <w:rFonts w:ascii="Garamond" w:hAnsi="Garamond"/>
          <w:b/>
          <w:spacing w:val="-4"/>
          <w:sz w:val="24"/>
          <w:szCs w:val="24"/>
        </w:rPr>
        <w:t>Kompetencat e Këshillit të Gjykatës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 xml:space="preserve">Këshilli i Gjykatës ka kompetencat e mëposhtme: </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 xml:space="preserve">a) miraton përshkrimet e punës për të gjitha kategoritë e nëpunësve të shërbimit civil gjyqësor dhe punonjësve të gjykatës, sipas modelit të miratuar nga Këshilli i Lartë Gjyqësor, dhe në raste të veçanta i përshtat me nevojat e gjykatës dhe kriteret e vendit të punës; </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b) merr vendime në lidhje me statusin e nëpunësve civilë gjyqësorë, siç përcaktohet në këtë ligj;</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c) miraton strukturën dhe organikën e administratës së gjykatës, sipas modelit të miratuar nga Këshilli i Lartë Gjyqësor, dhe në raste të veçanta i përshtat me nevojat e gjykatës dhe aftësitë e personave në detyrë;</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ç) miraton strukturën e gjykatës dhe cakton gjyqtarët në seksione dhe trupa gjykues pasi merr mendimin e mbledhjes së përgjithshme të gjyqtarëve, duke ndjekur rregullat e përgjithshme të miratuara nga Këshilli i Lartë Gjyqësor;</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d) shqyrton ankesa në lidhje me çështje të infrastrukturës së gjykatës, shërbimet ndihmëse në gjykatë dhe çështje të tjera që nuk lidhen me ushtrimin e detyrave të administratës gjyqësore dhe i raporton Këshillit të Lartë Gjyqësor mbi ankesat dhe masat e marra në përputhje me rregullat e miratuara nga Këshilli i Lartë Gjyqësor;</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dh) vlerëson dhe shqyrton projektbuxhetin e përgatitur nga nëpunësi i financës përpara paraqitjes në Këshillin e Lartë Gjyqësor;</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e) jep informacion, mendime ose raporte të kërkuara nga institucione shtetërore sipas ligjit;</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ë) bashkëpunon me Shkollën e Magjistraturës dhe Këshillin e Lartë Gjyqësor për çështje që lidhen me formimin fillestar dhe vazhdues të gjyqtarëve dhe nëpunësve civilë gjyqësorë;</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 xml:space="preserve">f) organizon rregullisht takime me përdoruesit e gjykatës për rritjen e efikasitetit dhe cilësisë së drejtësisë; </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g) miraton rregulla të veçanta të gjykatës për çështje të ruajtjes dhe sigurisë në gjykatë;</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gj) ushtron detyra të tjera të caktuara me ligj.</w:t>
      </w:r>
    </w:p>
    <w:p w:rsidR="000D4AEA" w:rsidRPr="00103C03" w:rsidRDefault="000D4AEA" w:rsidP="000D4AEA">
      <w:pPr>
        <w:pStyle w:val="Hapesira7"/>
        <w:rPr>
          <w:spacing w:val="-4"/>
        </w:rPr>
      </w:pP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Neni 39</w:t>
      </w:r>
    </w:p>
    <w:p w:rsidR="000D4AEA" w:rsidRPr="00103C03" w:rsidRDefault="000D4AEA" w:rsidP="000D4AEA">
      <w:pPr>
        <w:widowControl w:val="0"/>
        <w:spacing w:after="0" w:line="240" w:lineRule="auto"/>
        <w:jc w:val="center"/>
        <w:rPr>
          <w:rFonts w:ascii="Garamond" w:hAnsi="Garamond"/>
          <w:b/>
          <w:spacing w:val="-4"/>
          <w:sz w:val="24"/>
          <w:szCs w:val="24"/>
        </w:rPr>
      </w:pPr>
      <w:r w:rsidRPr="00103C03">
        <w:rPr>
          <w:rFonts w:ascii="Garamond" w:hAnsi="Garamond"/>
          <w:b/>
          <w:spacing w:val="-4"/>
          <w:sz w:val="24"/>
          <w:szCs w:val="24"/>
        </w:rPr>
        <w:lastRenderedPageBreak/>
        <w:t>Kompetencat e kancelarit</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1. Kancelari është përgjegjës për menaxhimin e administrimit gjyqësor dhe në veçanti ka kompetencat e mëposhtme: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a) është anëtar me të drejtë vote në Këshillin e Gjykatës, në përputhje me nenin 27, dhe i Komisionit të Ristrukturimit, sipas pikës 6, të nenit 66, të këtij ligji;</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b) kryen veprime dhe merr vendime që lidhen me statusin e nëpunësve civilë gjyqësorë siç parashikohet në këtë ligj;</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c) mbikëqyr procesin e organizimit dhe dokumentimit të ndarjes së çështjeve me short;</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ç) emëron, drejton, mbikëqyr dhe shkarkon punonjësit e gjykatës;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d) mbikëqyr mirëmbajtjen e godinës së gjykatës.</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2. Pas këshillimit me Kryetarin e Gjykatës, kancelari është përgjegjës për: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a) funksionimin e sistemit të menaxhimit të çështjeve në gjykatë, në përputhje me legjislacionin në fuqi për teknologjinë dhe sigurinë e informacionit dhe mbikëqyrjen e mbledhjes dhe përpunimit të saktë të të dhënave;</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b) dorëzimin e raporteve periodike për gjendjen e përdorimit dhe funksionimit të sistemit të menaxhimit të çështjeve Këshillit të Lartë Gjyqësor;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c) raportimin pa vonesë Këshillit të Lartë Gjyqësor mbi nevojat dhe përditësimet e nevojshme të funksionimit të sistemit të menaxhimit të çështjeve;</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ç) udhëzimin dhe mbikëqyrjen e punës së nëpunësve civilë gjyqësorë të gjykatës;</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d) i siguron Këshillit të Lartë Gjyqësor dhe Ministrisë së Drejtësisë qasje në të dhënat statistikore për aq sa u nevojitet këtyre institucioneve në ushtrimin e kompetencave të tyre të caktuara me ligj;</w:t>
      </w:r>
      <w:r w:rsidRPr="00103C03">
        <w:rPr>
          <w:rFonts w:ascii="Garamond" w:hAnsi="Garamond"/>
          <w:strike/>
          <w:spacing w:val="-4"/>
          <w:sz w:val="24"/>
          <w:szCs w:val="24"/>
        </w:rPr>
        <w:t xml:space="preser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dh) kryen çdo detyrë, siç përcaktohet me ligj ose siç autorizohet nga kryetari.</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40</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Kompetencat e mbledhjes së përgjithshme të gjyqtarëve të gjykatës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Mbledhja e përgjithshme e gjyqtarëve mblidhet rregullisht, të paktën një herë në muaj. Mbledhja e përgjithshme e gjyqtarëve ushtron kompetencat e mëposhtme: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zgjedh një gjyqtar si zëvendëskryetar me shumicën e votave nga radhët e gjyqtarëve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diskuton dhe jep mendim për raportin vjetor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diskuton çështje të natyrës juridike, vendimet unifikuese të Gjykatës së Lartë, vendimet e gjykatave të tjera, vendimet e Këshillit të Lartë Gjyqësor, aktet e kontrollit dhe inspektimit të ushtruara nga Inspektori i Lartë i Drejtësisë, si dhe akte përkatëse të Ministrisë së Drejtësisë dhe çdo çështje tjetër në lidhje me gjykatën në tërësi;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ç) ushtron çdo detyrë tjetër të caktuar me ligj.</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SEKSIONI II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ADMINISTRIMI I BRENDSHËM GJYQËSOR</w:t>
      </w:r>
    </w:p>
    <w:p w:rsidR="000D4AEA" w:rsidRPr="00103C03" w:rsidRDefault="000D4AEA" w:rsidP="000D4AEA">
      <w:pPr>
        <w:pStyle w:val="Hapesira7"/>
        <w:ind w:firstLine="0"/>
        <w:rPr>
          <w:spacing w:val="-4"/>
        </w:rPr>
      </w:pPr>
    </w:p>
    <w:p w:rsidR="000D4AEA" w:rsidRPr="00103C03" w:rsidRDefault="000D4AEA" w:rsidP="000D4AEA">
      <w:pPr>
        <w:widowControl w:val="0"/>
        <w:spacing w:after="0" w:line="240" w:lineRule="auto"/>
        <w:jc w:val="center"/>
        <w:rPr>
          <w:rFonts w:ascii="Garamond" w:eastAsia="Times New Roman" w:hAnsi="Garamond"/>
          <w:spacing w:val="-4"/>
          <w:sz w:val="24"/>
          <w:szCs w:val="24"/>
        </w:rPr>
      </w:pPr>
      <w:r w:rsidRPr="00103C03">
        <w:rPr>
          <w:rFonts w:ascii="Garamond" w:eastAsia="Times New Roman" w:hAnsi="Garamond"/>
          <w:spacing w:val="-4"/>
          <w:sz w:val="24"/>
          <w:szCs w:val="24"/>
        </w:rPr>
        <w:t>Neni 41</w:t>
      </w:r>
    </w:p>
    <w:p w:rsidR="000D4AEA" w:rsidRPr="00103C03" w:rsidRDefault="000D4AEA" w:rsidP="000D4AEA">
      <w:pPr>
        <w:widowControl w:val="0"/>
        <w:spacing w:after="0" w:line="240" w:lineRule="auto"/>
        <w:jc w:val="center"/>
        <w:rPr>
          <w:rFonts w:ascii="Garamond" w:eastAsia="Times New Roman" w:hAnsi="Garamond"/>
          <w:b/>
          <w:spacing w:val="-4"/>
          <w:sz w:val="24"/>
          <w:szCs w:val="24"/>
        </w:rPr>
      </w:pPr>
      <w:r w:rsidRPr="00103C03">
        <w:rPr>
          <w:rFonts w:ascii="Garamond" w:eastAsia="Times New Roman" w:hAnsi="Garamond"/>
          <w:b/>
          <w:spacing w:val="-4"/>
          <w:sz w:val="24"/>
          <w:szCs w:val="24"/>
        </w:rPr>
        <w:t>Organizimi i administratës gjyqësore</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 xml:space="preserve">1. Administrata gjyqësore realizon misionin e saj nëpërmjet shërbimeve të mëposhtme: </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a) shërbime gjyqësore, që mbështesin drejtpër</w:t>
      </w:r>
      <w:r>
        <w:rPr>
          <w:rFonts w:ascii="Garamond" w:eastAsia="Times New Roman" w:hAnsi="Garamond"/>
          <w:spacing w:val="-4"/>
          <w:sz w:val="24"/>
          <w:szCs w:val="24"/>
        </w:rPr>
        <w:t>-</w:t>
      </w:r>
      <w:r w:rsidRPr="00103C03">
        <w:rPr>
          <w:rFonts w:ascii="Garamond" w:eastAsia="Times New Roman" w:hAnsi="Garamond"/>
          <w:spacing w:val="-4"/>
          <w:sz w:val="24"/>
          <w:szCs w:val="24"/>
        </w:rPr>
        <w:t xml:space="preserve">drejt veprimtaritë gjyqësore, duke përfshirë dokumentimin dhe veprimtari që kryhen nga këshilltarët dhe ndihmësit ligjorë, kryesekretarja dhe sekretarët gjyqësorë; </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b) shërbime administrative, që përfshijnë financën dhe buxhetimin, marrëdhëniet me jashtë dhe me publikun, teknologjinë e informacionit, arkivin gjyqësor, sigurinë, si dhe burimet njerëzore;</w:t>
      </w:r>
    </w:p>
    <w:p w:rsidR="000D4AEA" w:rsidRPr="00103C03" w:rsidRDefault="000D4AEA" w:rsidP="000D4AEA">
      <w:pPr>
        <w:widowControl w:val="0"/>
        <w:spacing w:after="0" w:line="240" w:lineRule="auto"/>
        <w:rPr>
          <w:rFonts w:ascii="Garamond" w:eastAsia="Times New Roman" w:hAnsi="Garamond"/>
          <w:spacing w:val="-4"/>
          <w:sz w:val="24"/>
          <w:szCs w:val="24"/>
        </w:rPr>
      </w:pPr>
      <w:r w:rsidRPr="00103C03">
        <w:rPr>
          <w:rFonts w:ascii="Garamond" w:eastAsia="Times New Roman" w:hAnsi="Garamond"/>
          <w:spacing w:val="-4"/>
          <w:sz w:val="24"/>
          <w:szCs w:val="24"/>
        </w:rPr>
        <w:tab/>
        <w:t xml:space="preserve">c) shërbime mbështetëse, që sigurojnë në mënyrë të veçantë kryerjen e shërbimeve të njoftimeve, </w:t>
      </w:r>
      <w:r w:rsidRPr="00103C03">
        <w:rPr>
          <w:rFonts w:ascii="Garamond" w:eastAsia="Times New Roman" w:hAnsi="Garamond"/>
          <w:spacing w:val="-4"/>
          <w:sz w:val="24"/>
          <w:szCs w:val="24"/>
        </w:rPr>
        <w:lastRenderedPageBreak/>
        <w:t>dhënien ndihmë trupit gjykues dhe kryesuesit të seancës, si dhe çdo veprimtari tjetër që ka të bëjë me rregullin dhe sjelljen e përshtatshme gjatë seancës gjyqësore, shërbimet e transportit, mirëmbajtjen e mjediseve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Veprimtaritë që duhet të kryhen rregullisht për secilin nga këto shërbime përcaktohen në përshkrimin standard të punës, të miratuar nga Këshilli i Lartë Gjyqësor.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42</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Ndihmësit ligjorë të gjykatave të apelit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Pranë gjykatave të apelit mund të funksionojë njësia e shërbimit ligjor, e përbërë nga ndihmësit ligjorë, e krijuar me vendim të Këshillit të Lartë Gjyqësor. Numri i ndihmësve ligjorë nuk mund të jetë më i madh se gjysma e numrit të gjyqtarëve në gjykatë.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Ndihmësi ligjor në veçanti: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analizon praktikën gjyqësore përkatëse mbi interpretimin e dispozitave të zbatueshme për çështjet në gjykim;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përpunon çështjen dhe përgatit çështje të thjeshta standarde me shkallë kompleksiteti të ulët për marrjen e vendimit nga gjyqtari;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kryen detyra të tjera për përpunimin e çështjes siç kërkohet nga gjyqtari ose siç parashikohet në ligj.</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Kryetari përcakton detyrat për ndihmësin ligjor, duke mbajtur parasysh përvojën profesionale dhe specializimin e tij, si dhe duke  siguruar ngarkesë pune të barabartë ndërmjet ndihmësve ligjorë.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Gjyqtari i caktuar me short për çështjen mund t’i japë udhëzime ndihmësit ligjor kur është e nevojshme. Ndihmësi ligjor është i lidhur vetëm me udhëzimet e dhëna nga gjyqtari i caktuar me short për çështjen. Çdo udhëzim për interpretimin dhe zbatimin e ligjit duhet të jetë në formë të shkruar dhe është pjesë e dosjes.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Gjatë përpunimit dhe përgatitjes së çështjes për vendim, ndihmësi ligjor i ushtron detyrat: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në mënyrë të pavarur, në bazë të vlerësimit të fakteve dhe në përputhje me një kuptim të ndërgjegjshëm të ligjit, pa asnjë ndikim të jashtëm, nxitje, presion kërcënim ose ndërhyrje, direkte ose indirekte, nga asnjë dhe për asnjë arsye;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me paanshmëri, pa favorizime dhe pa paragjykime.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Gjyqtari i caktuar me short e tërheq dosjen gjyqësore nga ndihmësi ligjor nëse e vlerëson të nevojshme, sipas kompleksitetit të çështjes që lidhet me faktet, me zbatimin e ligjit ose nëse kjo është e nevojshme në përshtatje me rëndësinë e vendimit. Në këtë rast gjyqtari harton një dokument me shkrim që përmban arsyet për tërheqjen e çështjes, i cili është pjesë e dosjes.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7. Ndihmësi ligjor i dorëzon pa vonesë dosjen e çështjes gjyqtarit.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8. Gjyqtari procedon me çështjen më tej nëse: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gjyqtari do të tërheqë çështjen;</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zbulon çështje faktike ose ligjore, të cilat, sipas kompleksitetit ose vështirësisë së çështjes, duhet të përpunohen nga një gjyqtar.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9. Ndihmësi ligjor, ndihmësi magjistrat ose jomagjistrat u nënshtrohen rregullave të papajtueshmërisë, kufizimeve në detyrë dhe konfliktit të interesave ashtu si magjistrati.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10. Këshilli i Lartë Gjyqësor miraton rregulla të detajuara për kushtet dhe kriteret profesionale që duhet të përmbushin ndihmësit ligjorë në gjykatat e apelit, llojin dhe natyrën e detyrave të ndihmësve ligjorë, llojin dhe natyrën e çështjeve për t’u përpunuar dhe përgatitur nga ndihmësit ligjorë, për kriteret dhe procedurat për ndarjen e çështjeve me short, si dhe vlerëson rregullisht ngarkesën e punës së ndihmësve ligjorë dhe siguron një numër të përshtatshëm të tyre për çdo gjykatë apeli. </w:t>
      </w:r>
    </w:p>
    <w:p w:rsidR="000D4AEA" w:rsidRPr="00103C03" w:rsidRDefault="000D4AEA" w:rsidP="000D4AEA">
      <w:pPr>
        <w:pStyle w:val="Hapesira7"/>
        <w:rPr>
          <w:rStyle w:val="grame"/>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43</w:t>
      </w:r>
    </w:p>
    <w:p w:rsidR="000D4AEA" w:rsidRPr="00103C03" w:rsidRDefault="000D4AEA" w:rsidP="000D4AEA">
      <w:pPr>
        <w:widowControl w:val="0"/>
        <w:shd w:val="clear" w:color="auto" w:fill="FFFFFF"/>
        <w:spacing w:after="0" w:line="240" w:lineRule="auto"/>
        <w:jc w:val="center"/>
        <w:rPr>
          <w:rFonts w:ascii="Garamond" w:hAnsi="Garamond"/>
          <w:b/>
          <w:strike/>
          <w:spacing w:val="-4"/>
          <w:sz w:val="24"/>
          <w:szCs w:val="24"/>
        </w:rPr>
      </w:pPr>
      <w:r w:rsidRPr="00103C03">
        <w:rPr>
          <w:rFonts w:ascii="Garamond" w:hAnsi="Garamond"/>
          <w:b/>
          <w:spacing w:val="-4"/>
          <w:sz w:val="24"/>
          <w:szCs w:val="24"/>
        </w:rPr>
        <w:t>Kryesekretari</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Kryesekretari ka në kompetencë bashkë</w:t>
      </w:r>
      <w:r>
        <w:rPr>
          <w:rFonts w:ascii="Garamond" w:hAnsi="Garamond"/>
          <w:spacing w:val="-4"/>
          <w:sz w:val="24"/>
          <w:szCs w:val="24"/>
        </w:rPr>
        <w:t>-</w:t>
      </w:r>
      <w:r w:rsidRPr="00103C03">
        <w:rPr>
          <w:rFonts w:ascii="Garamond" w:hAnsi="Garamond"/>
          <w:spacing w:val="-4"/>
          <w:sz w:val="24"/>
          <w:szCs w:val="24"/>
        </w:rPr>
        <w:t>rendimin, organizimin dhe ndarjen e punës së zyrës së sekretarisë nën drejtimin e kancelarit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Kryesekretari ushtron kompetencat e mëposhtme: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lëshon vërtetime për të dhënat e kërkuara nga palët nga regjistrat në gjykatë;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nënshkruan të gjitha aktet procedurale që kërkojnë njoftime procedurale, siç janë: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i) vendimet gjyqësore që bëhen përfundimtare;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ii) vendime përfundimtare dhe të ndërmjetme që dërgohen për ekzekutim;</w:t>
      </w:r>
    </w:p>
    <w:p w:rsidR="000D4AEA"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iii) ekstrakte dhe fotokopje të njësuara me origjinalin të akteve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iv) të gjitha aktet e tjera të nxjerra nga gjykata, krahas nënshkrimit të personit që i ka përgatitur;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çdo detyrë tjetër e përcaktuar me ligj.</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Veprimtari të tjera, të cilat kryhen rregullisht nga kryesekretarët, renditen në përshkrimet standarde të punës, miratuar nga Këshilli i Lartë Gjyqësor.</w:t>
      </w:r>
    </w:p>
    <w:p w:rsidR="000D4AEA" w:rsidRPr="008A7B74" w:rsidRDefault="000D4AEA" w:rsidP="000D4AEA">
      <w:pPr>
        <w:pStyle w:val="Hapesira7"/>
        <w:rPr>
          <w:spacing w:val="-4"/>
          <w:sz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44</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Sekretari gjyqësor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Sekretari gjyqësor kryen detyra procedurale, në përputhje me legjislacionin procedural në fuqi.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Sekretari gjyqësor ushtron në veçanti funksionet e mëposhtme: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vërteton aktet e gjykatës dhe lëshon vërtetime apo kopje të njësuara me origjinalin të akteve procedurale gjyqësore. Kur përdoren pajisje regjistrimi apo pajisje që kryejnë funksione të ngjashme, sekretari garanton që regjistrimi ose riprodhimi është origjinal dhe i paprekur;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është përgjegjës për krijimin e dosjeve dhe ndihmon gjyqtarin për mbajtjen e dosjeve sipas një rregulli të caktuar, si dhe për regjistrimin dhe zbatimin e urdhrave të shpallur apo të nxjerrë nga gjykatat dhe gjyqtarët;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ndihmon në mbajtjen e regjistrave, si dhe për regjistrimet në regjistra dhe ndihmon në mbajtjen dhe përdorimin e mjeteve teknike, audiovizive dhe kompjuterike atje ku këto janë të disponueshme;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ç) ndihmon në çështje që lidhen me mbajtjen e dosjeve personale;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 bashkëpunon me autoritetet kompetente për çështje të taksave dhe tarifave gjyqësore;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dh) ndihmon në krijimin e statistikave të gjykatës, sipas kritereve të përcaktuara për këtë qëllim dhe për saktësinë e të dhënave;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e) ushtron çdo detyrë tjetër të caktuar me ligj.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Veprimtari të tjera, të cilat kryhen rregullisht nga sekretarët gjyqësorë, renditen në përshkrimet standarde të punës, miratuar nga Këshilli i Lartë Gjyqësor.</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45</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Shërbimi financiar</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Shërbimi financiar ushtron dhe zbaton detyrimet që rrjedhin nga ligji “Për menaxhimin e sistemit buxhetor në Republikën e Shqipërisë” dhe ligji “Për menaxhimin dhe kontrollin financiar”, si dhe aktet në zbatim të tyre.</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46</w:t>
      </w:r>
    </w:p>
    <w:p w:rsidR="000D4AEA" w:rsidRPr="00103C03" w:rsidRDefault="000D4AEA" w:rsidP="000D4AEA">
      <w:pPr>
        <w:widowControl w:val="0"/>
        <w:shd w:val="clear" w:color="auto" w:fill="FFFFFF"/>
        <w:tabs>
          <w:tab w:val="left" w:pos="946"/>
        </w:tabs>
        <w:autoSpaceDE w:val="0"/>
        <w:autoSpaceDN w:val="0"/>
        <w:adjustRightInd w:val="0"/>
        <w:spacing w:after="0" w:line="240" w:lineRule="auto"/>
        <w:jc w:val="center"/>
        <w:rPr>
          <w:rFonts w:ascii="Garamond" w:hAnsi="Garamond"/>
          <w:b/>
          <w:spacing w:val="-4"/>
          <w:sz w:val="24"/>
          <w:szCs w:val="24"/>
        </w:rPr>
      </w:pPr>
      <w:r w:rsidRPr="00103C03">
        <w:rPr>
          <w:rFonts w:ascii="Garamond" w:hAnsi="Garamond"/>
          <w:b/>
          <w:spacing w:val="-4"/>
          <w:sz w:val="24"/>
          <w:szCs w:val="24"/>
        </w:rPr>
        <w:t>Marrëdhëniet me publikun</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Shërbimet për marrëdhëniet me publikun kujdesen për informimin e publikut dhe medias në lidhje me veprimtaritë e gjykatës, si dhe për çështje të caktuara gjyqësore, në përputhje me rregullat e miratuara nga Këshilli i Lartë Gjyqësor, me qëllim që: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t’i sigurohet medias dhe publikut informacion faktik rreth vendimeve gjyqësore dhe për korrigjimin e gabimeve të mundshme mbi faktet për çështje të caktuara;</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lastRenderedPageBreak/>
        <w:tab/>
        <w:t>b) t’i komunikohet medias përmbledhje e vendimeve gjyqësore për çështje që kanë interes publik;</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të mbahen kontakte me median për seancat gjyqësore të çështjeve që kanë interes të veçantë publik;</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ç) të sigurohet informacion, në përputhje me ligjin “Për të drejtën e informimit”, në veçanti në lidhje me çështjet në gjykim dhe administratën gjyqësore;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 të publikohen të gjitha vendimet gjyqësore në përputhje me ligjin.</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Shërbimet e marrëdhënieve me publikun kryhen duke respektuar parimin për të drejtën e informimit, mbrojtjen e dinjitetit njerëzor, privatësisë dhe të dhënave personale, reputacionit dhe prezumimit të pafajësisë.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Shërbimi i marrëdhënieve me publikun ndërvepron dhe bashkëpunon me Këshillin e Lartë Gjyqësor mbi ecurinë e marrëdhënieve me publikun pranë gjykatave dhe kërkon mendimin e tij kur është e nevojshme.</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4. Këshilli i Gjykatës cakton nëpunësin civil gjyqësor për marrëdhëniet me publikun si koordi</w:t>
      </w:r>
      <w:r>
        <w:rPr>
          <w:rFonts w:ascii="Garamond" w:hAnsi="Garamond"/>
          <w:spacing w:val="-4"/>
          <w:sz w:val="24"/>
          <w:szCs w:val="24"/>
        </w:rPr>
        <w:t>-</w:t>
      </w:r>
      <w:r w:rsidRPr="00103C03">
        <w:rPr>
          <w:rFonts w:ascii="Garamond" w:hAnsi="Garamond"/>
          <w:spacing w:val="-4"/>
          <w:sz w:val="24"/>
          <w:szCs w:val="24"/>
        </w:rPr>
        <w:t>nator, në përputhje me ligjin për kompetencat e koordinatorit për të drejtën e informimit.</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 xml:space="preserve">5. Shërbimet e marrëdhënieve me publikun ushtrohen nga ose nën mbikëqyrjen e gjyqtarit të caktuar për marrëdhëniet me publikun. </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47</w:t>
      </w:r>
    </w:p>
    <w:p w:rsidR="000D4AEA" w:rsidRPr="00103C03" w:rsidRDefault="000D4AEA" w:rsidP="000D4AEA">
      <w:pPr>
        <w:widowControl w:val="0"/>
        <w:shd w:val="clear" w:color="auto" w:fill="FFFFFF"/>
        <w:tabs>
          <w:tab w:val="left" w:pos="946"/>
        </w:tabs>
        <w:autoSpaceDE w:val="0"/>
        <w:autoSpaceDN w:val="0"/>
        <w:adjustRightInd w:val="0"/>
        <w:spacing w:after="0" w:line="240" w:lineRule="auto"/>
        <w:jc w:val="center"/>
        <w:rPr>
          <w:rFonts w:ascii="Garamond" w:hAnsi="Garamond"/>
          <w:b/>
          <w:spacing w:val="-4"/>
          <w:sz w:val="24"/>
          <w:szCs w:val="24"/>
        </w:rPr>
      </w:pPr>
      <w:r w:rsidRPr="00103C03">
        <w:rPr>
          <w:rFonts w:ascii="Garamond" w:hAnsi="Garamond"/>
          <w:b/>
          <w:spacing w:val="-4"/>
          <w:sz w:val="24"/>
          <w:szCs w:val="24"/>
        </w:rPr>
        <w:t>Shërbimi i teknologjisë së informacionit</w:t>
      </w:r>
    </w:p>
    <w:p w:rsidR="000D4AEA" w:rsidRPr="00103C03" w:rsidRDefault="000D4AEA" w:rsidP="000D4AEA">
      <w:pPr>
        <w:pStyle w:val="Hapesira7"/>
        <w:rPr>
          <w:spacing w:val="-4"/>
        </w:rPr>
      </w:pP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Shërbimet e teknologjisë së informacionit sigurojnë:</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a) mirëmbajtjen dhe administrimin e bazës së të dhënave në gjykatë, të mbajtura në formë elektronike nëpërmjet sistemeve kompjuterike, duke respektuar legjislacionin në fuqi për mbrojtjen e të dhënave personale;</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b) ruajtjen e rregullt të statistikave të gjykatës.</w:t>
      </w:r>
    </w:p>
    <w:p w:rsidR="000D4AEA" w:rsidRPr="00103C03" w:rsidRDefault="000D4AEA" w:rsidP="000D4AEA">
      <w:pPr>
        <w:pStyle w:val="Hapesira7"/>
        <w:rPr>
          <w:spacing w:val="-4"/>
        </w:rPr>
      </w:pP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Neni 48</w:t>
      </w:r>
    </w:p>
    <w:p w:rsidR="000D4AEA" w:rsidRPr="00103C03" w:rsidRDefault="000D4AEA" w:rsidP="000D4AEA">
      <w:pPr>
        <w:widowControl w:val="0"/>
        <w:tabs>
          <w:tab w:val="left" w:pos="946"/>
        </w:tabs>
        <w:autoSpaceDE w:val="0"/>
        <w:autoSpaceDN w:val="0"/>
        <w:adjustRightInd w:val="0"/>
        <w:spacing w:after="0" w:line="240" w:lineRule="auto"/>
        <w:jc w:val="center"/>
        <w:rPr>
          <w:rFonts w:ascii="Garamond" w:hAnsi="Garamond"/>
          <w:b/>
          <w:spacing w:val="-4"/>
          <w:sz w:val="24"/>
          <w:szCs w:val="24"/>
        </w:rPr>
      </w:pPr>
      <w:r w:rsidRPr="00103C03">
        <w:rPr>
          <w:rFonts w:ascii="Garamond" w:hAnsi="Garamond"/>
          <w:b/>
          <w:spacing w:val="-4"/>
          <w:sz w:val="24"/>
          <w:szCs w:val="24"/>
        </w:rPr>
        <w:t>Shërbimi i arkivit gjyqësor</w:t>
      </w:r>
    </w:p>
    <w:p w:rsidR="000D4AEA" w:rsidRPr="00103C03" w:rsidRDefault="000D4AEA" w:rsidP="000D4AEA">
      <w:pPr>
        <w:pStyle w:val="Hapesira7"/>
        <w:rPr>
          <w:spacing w:val="-4"/>
        </w:rPr>
      </w:pP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1. Shërbimi i arkivit gjyqësor mban dhe administron dokumentacionin gjyqësor, i cili përfshin dosje, regjistra dhe akte të tjera gjyqësore, si dhe akte që lidhen me veprimtarinë adminis</w:t>
      </w:r>
      <w:r>
        <w:rPr>
          <w:rFonts w:ascii="Garamond" w:hAnsi="Garamond"/>
          <w:spacing w:val="-4"/>
          <w:sz w:val="24"/>
          <w:szCs w:val="24"/>
        </w:rPr>
        <w:t>-</w:t>
      </w:r>
      <w:r w:rsidRPr="00103C03">
        <w:rPr>
          <w:rFonts w:ascii="Garamond" w:hAnsi="Garamond"/>
          <w:spacing w:val="-4"/>
          <w:sz w:val="24"/>
          <w:szCs w:val="24"/>
        </w:rPr>
        <w:t xml:space="preserve">trative të gjykatës, në përputhje me legjislacionin në fuqi për arkivat shtetërorë. </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 xml:space="preserve">2. Shërbimi i arkivit gjyqësor bashkëpunon me Arkivin Shtetëror të Sistemit Gjyqësor për ruajtjen, përpunimin dhe administrimin e dokumentacionit gjyqësor, i cili i nënshtrohet procedurës së arkivimit. </w:t>
      </w:r>
    </w:p>
    <w:p w:rsidR="000D4AEA" w:rsidRPr="00D153C5" w:rsidRDefault="000D4AEA" w:rsidP="000D4AEA">
      <w:pPr>
        <w:pStyle w:val="Hapesira7"/>
        <w:rPr>
          <w:spacing w:val="-4"/>
          <w:sz w:val="2"/>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49</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Rregulli dhe siguria në gjykata</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1.  Rregulli dhe siguria në gjykata rregullohet sipas parashikimeve të legjislacionit në fuqi.</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2. Këshilli i Ministrave, pasi merr mendimin e Këshilli të Lartë Gjyqësor, përcakton kriteret dhe procedurat për garantimin e rregullit dhe sigurisë në gjykata.</w:t>
      </w:r>
    </w:p>
    <w:p w:rsidR="000D4AEA" w:rsidRPr="00D153C5" w:rsidRDefault="000D4AEA" w:rsidP="000D4AEA">
      <w:pPr>
        <w:pStyle w:val="Hapesira7"/>
        <w:rPr>
          <w:spacing w:val="-4"/>
          <w:sz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KREU V</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STATUSI I NËPUNËSVE CIVILË GJYQËSORË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SEKSIONI 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KUALIFIKIMI I NËPUNËSVE CIVILË GJYQËSORË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50</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Kategoritë e nëpunësve civilë gjyqësorë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Kategoritë e nëpunësve civilë gjyqësorë janë: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lastRenderedPageBreak/>
        <w:tab/>
        <w:t>a) kancelari;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këshilltari ligjor në Gjykatën e Lartë;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ndihmësi ligjor në Gjykatën e Apelit;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ç) kryesekretari;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d) sekretari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dh) nëpunësi i financës dhe buxhetit;</w:t>
      </w:r>
    </w:p>
    <w:p w:rsidR="000D4AEA" w:rsidRPr="00103C03" w:rsidRDefault="000D4AEA" w:rsidP="000D4AEA">
      <w:pPr>
        <w:widowControl w:val="0"/>
        <w:shd w:val="clear" w:color="auto" w:fill="FFFFFF"/>
        <w:spacing w:after="0" w:line="240" w:lineRule="auto"/>
        <w:rPr>
          <w:rFonts w:ascii="Garamond" w:hAnsi="Garamond"/>
          <w:b/>
          <w:spacing w:val="-4"/>
          <w:sz w:val="24"/>
          <w:szCs w:val="24"/>
        </w:rPr>
      </w:pPr>
      <w:r w:rsidRPr="00103C03">
        <w:rPr>
          <w:rFonts w:ascii="Garamond" w:hAnsi="Garamond"/>
          <w:spacing w:val="-4"/>
          <w:sz w:val="24"/>
          <w:szCs w:val="24"/>
        </w:rPr>
        <w:tab/>
        <w:t>e) nëpunës të tjerë që punojnë në fushat e kërkimit ligjor dhe dokumentacionit, burimeve njerëzore, teknologjisë së informacionit, arkivit dhe marrëdhëniet me publikun, me jashtë ose me median.</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Statusi i nëpunësve civilë gjyqësorë rregullohet nga ky ligj.</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51</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Punonjësit e tjerë gjyqësorë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Marrëdhënia e punës e punonjësve të tjerë në gjykatë rregullohet nga Kodi i Punës.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52</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Formimi profesional</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Formimi profesional i nëpunësve civilë gjyqësorë garantohet nëpërmjet përfshirjes së tyre në programet e mëposhtme: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programin e formimit fillestar, mbi bazën e të cilit nëpunësit civilë gjyqësorë që pranohen në shërbimin civil gjyqësor trajnohen brenda periudhës së provës së tyre;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programin e formimit vazhdues, i cili kryhet nga nëpunësit në detyrë të shërbimit civil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Shkolla e Magjistraturës në bashkëpunim me Këshillin e Lartë Gjyqësor, Ministrinë e Drejtësisë, gjykatat dhe institucione të tjera kryen formimin fillestar dhe vazhdues të kancelarëve, këshilltarëve ligjorë në Gjykatën e Lartë dhe ndihmësve të tjerë ligjorë, si dhe përgatit kurrikulën për formimin fillestar për kancelarin për një periudhë prej të paktën tre muajsh dhe për këshilltarët dhe ndihmësit ligjorë për një periudhë prej të paktën nëntë muajsh, sipas kushteve të vendosura në ligjin “Për organet e qeverisjes të sistemit gjyqësor në Republikën e Shqipërisë”.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Këshilli i Lartë Gjyqësor, në bashkëpunim me Shkollën e Magjistraturës, Ministrinë e Drejtësisë, gjykatat dhe institucione të tjera kryen formimin profesional fillestar dhe vazhdues të nëpunësve të tjerë civilë gjyqësorë dhe përgatit kurrikulën për formimin fillestar të tyre për një periudhë prej të paktën një muaji.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Shkolla e Magjistraturës miraton rregulla më të detajuara për formimin fillestar dhe atë vazhdues për kancelarët, këshilltarët dhe ndihmësit ligjorë.  Këshilli i Lartë Gjyqësor miraton rregulla më të detajuara për formimin fillestar dhe atë vazhdues për gjithë nëpunësit e tjerë civilë gjyqësorë.</w:t>
      </w:r>
    </w:p>
    <w:p w:rsidR="000D4AEA" w:rsidRPr="00D153C5" w:rsidRDefault="000D4AEA" w:rsidP="000D4AEA">
      <w:pPr>
        <w:widowControl w:val="0"/>
        <w:shd w:val="clear" w:color="auto" w:fill="FFFFFF"/>
        <w:spacing w:after="0" w:line="240" w:lineRule="auto"/>
        <w:jc w:val="center"/>
        <w:rPr>
          <w:rFonts w:ascii="Garamond" w:hAnsi="Garamond"/>
          <w:spacing w:val="-4"/>
          <w:sz w:val="16"/>
          <w:szCs w:val="2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53</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Vlerësimi kualifikues për kancelar, këshilltar dhe ndihmës ligjor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Shkolla e Magjistraturës ofron formim fillestar për këshilltarët dhe ndihmësit ligjorë dhe, të paktën çdo tre vjet, për kancelarët.</w:t>
      </w:r>
    </w:p>
    <w:p w:rsidR="000D4AEA"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 xml:space="preserve">2. Këshilli i Lartë Gjyqësor, pasi merr mendimin e kryetarëve të gjykatave, përcakton numrin e vendeve të lira për këshilltarët dhe ndihmësit ligjorë për vitin e ardhshëm dhe për kancelarët për tri vitet e ardhshme.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Shkolla e Magjistraturës njofton kandidatët e interesuar për paraqitjen e  kërkesave për formim fillestar, nëpërmjet njoftimeve të publikuara pranë gjithë gjykatave, në faqet zyrtare të gjykatave, të Këshillit të Lartë Gjyqësor dhe të Shkollës së Magjistraturës.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lastRenderedPageBreak/>
        <w:tab/>
        <w:t>4. Këshilli i Lartë Gjyqësor ka për detyrë: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të verifikojë nëse kandidatët i plotësojnë kriteret e përgjithshme dhe të veçanta për vendin e punës;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të përcaktojë listën e kandidatëve që kualifikohen për të marrë pjesë në provimin e pranimit.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Shkolla e Magjistraturës: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zhvillon provimin e pranimit;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vlerëson dhe publikon rezultatet e provimit të pranimit;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c) përcakton kandidatët me pikët më të larta që duhet të pranohen në programin e formimit fillestar;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ç) organizon dhe zbaton programin e formimit fillestar.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6. Kandidatët e pranuar në programin e formimit fillestar janë të detyruar të ndjekin rregullisht programin dhe të respektojnë rregulloren e Shkollës së Magjistraturës.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7. Në përfundim të formimit fillestar Shkolla e Magjistraturës organizon provimin përfundimtar. Kandidatët që marrin jo më pak se 70 për qind të pikëve totale në provimin përfundimtar, vlerësohen se kanë kaluar me sukses programin e formimit fillestar.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8. Në përputhje me pikën 7, të këtij neni, Shkolla e Magjistraturës rendit kandidatët fitues, sipas  numrit të pikëve që kanë marrë. Lista e kandidatëve fitues miratohet nga Shkolla e Magjistraturës, publikohet në faqen zyrtare të saj, dhe i paraqitet Këshillit të Lartë Gjyqësor.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9. Këshilli i Lartë Gjyqësor miraton rregulla më të hollësishme për mënyrën e përllogaritjes së numrit të kandidatëve që pranohen në programin e formimit fillestar dhe verifikimin e kandidatëve që pranohen në provimin e pranimit.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10. Shkolla e Magjistraturës miraton rregulla më të hollësishme për procedurën dhe vlerësimin e provimit të pranimit dhe provimit përfundimtar.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11. Nëpunësi civil gjyqësor në gjykatat e posaçme për gjykimin e veprave penale të korrupsionit dhe krimit të organizuar duhet të përmbushë edhe kërkesat dhe kushtet shtesë të parashikuara në ligjin “Për organizimin dhe funksionimin e institucioneve për të luftuar korrupsionin dhe krimin e organizuar në Republikën e Shqipërisë”.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54</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Vlerësimi kualifikues i nëpunësve civilë gjyqësorë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Pranimi në shërbimin civil gjyqësor i nëpunësve të tjerë civilë gjyqësorë bëhet sipas rregullave të këtij neni nëpërmjet një konkurrimi të hapur.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Pas përfundimit të procedurës së lëvizjes paralele dhe ngritjes në detyrë, sipas nenit 57, të këtij ligji, Këshilli i Lartë Gjyqësor, jo më vonë se tri javë nga marrja e njoftimit për vendin e lirë, shpall konkurrimin e hapur në faqen zyrtare të tij dhe i kërkon kancelarit ta shpallë edhe në faqen zyrtare të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Njoftimi përmban informacion për vendin e lirë, afatin e paraqitjes së kërkesës për kandidim, dokumentacionin shoqërues, procedurën e kandidimit dhe vendin ku paraqitet kërkesa dhe dokumentacioni. Afati për paraqitjen e kërkesës së kandidimit nuk mund të jetë më pak se dy javë nga data e njoftimit.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4. Konkurrimi zhvillohet në dy faza: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verifikimi paraprak nëse kandidatët i plotësojnë kriteret e përgjithshme dhe të veçanta, të publikuara në njoftim;</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vlerësimi i kandidatëve.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5. Verifikimi paraprak bëhet nga kancelari, ndërsa vlerësimi i kandidatëve bëhet nga Komisioni i Pranimit në gjykatë.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Komisioni i Pranimit rendit kandidatët fitues me më shumë pikë dhe që kanë marrë më shumë </w:t>
      </w:r>
      <w:r w:rsidRPr="00103C03">
        <w:rPr>
          <w:rFonts w:ascii="Garamond" w:hAnsi="Garamond"/>
          <w:spacing w:val="-4"/>
          <w:sz w:val="24"/>
          <w:szCs w:val="24"/>
        </w:rPr>
        <w:lastRenderedPageBreak/>
        <w:t>se 70 për qind të pikëve totale të vlerësimit, në listën e kandidatëve fitues, referuar më poshtë si “lista e kandidatëve”.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7. Këshilli i Lartë i Gjyqësor miraton me vendim rregulla të hollësishme për vlerësimin paraprak, krijimin, përbërjen dhe kompetencat e Komisionit të Pranimit, si dhe për procedurën e vlerësimit.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55</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Kritere të përgjithshme për pranimin</w:t>
      </w:r>
    </w:p>
    <w:p w:rsidR="000D4AEA" w:rsidRPr="00103C03" w:rsidRDefault="000D4AEA" w:rsidP="000D4AEA">
      <w:pPr>
        <w:pStyle w:val="Hapesira7"/>
        <w:ind w:firstLine="0"/>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Për pranimin në shërbimin civil gjyqësor dhe në provimin e pranimit për kancelarët, këshilltarët ose ndihmësit ligjorë në Shkollën e Magjistraturës, kandidatët duhet të plotësojnë kriteret e përgjithshme për pranimin në shërbimin civil, të parashikuara në ligjin “Për nëpunësin civil” dhe kërkesat e veçanta të parashikuara nga ky ligj.</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Për pranimin në shërbimet e gjykatave të posaçme për gjykimin e veprave penale të korrupsionit dhe krimit të organizuar, kandidatët duhet të plotësojnë kushtet e sigurimit, të caktuara me ligj të veçantë, si dhe japin pëlqimin për kontrollin periodik të llogarive të tyre bankare dhe të telekomunikimeve vetjake, të nënshkruar nga kandidati dhe familjarët e afërm të kandidatit. </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405"/>
          <w:tab w:val="center" w:pos="4680"/>
        </w:tabs>
        <w:spacing w:after="0" w:line="240" w:lineRule="auto"/>
        <w:jc w:val="center"/>
        <w:rPr>
          <w:rFonts w:ascii="Garamond" w:hAnsi="Garamond"/>
          <w:spacing w:val="-4"/>
          <w:sz w:val="24"/>
          <w:szCs w:val="24"/>
        </w:rPr>
      </w:pPr>
      <w:r w:rsidRPr="00103C03">
        <w:rPr>
          <w:rFonts w:ascii="Garamond" w:hAnsi="Garamond"/>
          <w:spacing w:val="-4"/>
          <w:sz w:val="24"/>
          <w:szCs w:val="24"/>
        </w:rPr>
        <w:t>Neni 56</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Kritere të veçanta për pranimin e nëpunësve civilë gjyqësorë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Për t'u pranuar në provimin e pranimit për formimin fillestar për kancelar, kandidatët duhet të plotësojnë edhe kriteret e veçanta si vijon: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të jenë diplomuar në drejtësi ose ekonomi në nivelin “Master shkencor” </w:t>
      </w:r>
      <w:r w:rsidRPr="00103C03">
        <w:rPr>
          <w:rFonts w:ascii="Garamond" w:eastAsia="Times New Roman" w:hAnsi="Garamond"/>
          <w:bCs/>
          <w:spacing w:val="-4"/>
          <w:sz w:val="24"/>
          <w:szCs w:val="24"/>
        </w:rPr>
        <w:t>ose të barasvlershëm me të, sipas përcaktimeve të legjislacionit të arsimit të lartë;</w:t>
      </w:r>
      <w:r w:rsidRPr="00103C03">
        <w:rPr>
          <w:rFonts w:ascii="Garamond" w:hAnsi="Garamond"/>
          <w:spacing w:val="-4"/>
          <w:sz w:val="24"/>
          <w:szCs w:val="24"/>
        </w:rPr>
        <w:t xml:space="preser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të kenë përvojë profesionale mbi tetë vjet, nga të cilat së paku tre vjet në pozicione administruese ose pesë vjet në sistemin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Për pozicionin e ndihmësit ligjor në gjykatat e apelit, kandidatët duhet të përmbushin këto kritere të veçanta:</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të jenë diplomuar në drejtësi në nivelin “Master shkencor”, </w:t>
      </w:r>
      <w:r w:rsidRPr="00103C03">
        <w:rPr>
          <w:rFonts w:ascii="Garamond" w:eastAsia="Times New Roman" w:hAnsi="Garamond"/>
          <w:bCs/>
          <w:spacing w:val="-4"/>
          <w:sz w:val="24"/>
          <w:szCs w:val="24"/>
          <w:shd w:val="clear" w:color="auto" w:fill="FFFFFF"/>
        </w:rPr>
        <w:t>të barasvlershëm me të, sipas përcaktimeve të legjislacionit të arsimit të lartë</w:t>
      </w:r>
      <w:r w:rsidRPr="00103C03">
        <w:rPr>
          <w:rFonts w:ascii="Garamond" w:eastAsia="Times New Roman" w:hAnsi="Garamond"/>
          <w:bCs/>
          <w:spacing w:val="-4"/>
          <w:sz w:val="24"/>
          <w:szCs w:val="24"/>
        </w:rPr>
        <w: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të kenë përvojë profesionale jo më pak se pesë vjet, duke përfshirë së paku tre vjet përvojë pune profesionale që lidhet me gjykatën.</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Për pozicionin e këshilltarit ligjor në Gjykatën e Lartë, kandidatët duhet të përmbushin kriteret e parashikuara në nenin 34, pika 6, të këtij ligji.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4. Për pozicionin e kryesekretarit, kandidatët duhet të përmbushin këto kritere të veçanta: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të jenë diplomuar në drejtësi në nivelin </w:t>
      </w:r>
      <w:r w:rsidRPr="00103C03">
        <w:rPr>
          <w:rFonts w:ascii="Garamond" w:eastAsia="Times New Roman" w:hAnsi="Garamond"/>
          <w:bCs/>
          <w:spacing w:val="-4"/>
          <w:sz w:val="24"/>
          <w:szCs w:val="24"/>
        </w:rPr>
        <w:t>“Master profesional” o</w:t>
      </w:r>
      <w:r w:rsidRPr="00103C03">
        <w:rPr>
          <w:rFonts w:ascii="Garamond" w:eastAsia="Times New Roman" w:hAnsi="Garamond"/>
          <w:bCs/>
          <w:spacing w:val="-4"/>
          <w:sz w:val="24"/>
          <w:szCs w:val="24"/>
          <w:shd w:val="clear" w:color="auto" w:fill="FFFFFF"/>
        </w:rPr>
        <w:t>se të barasvlershëm me të, sipas përcaktimeve të legjislacionit të arsimit të lartë;</w:t>
      </w:r>
      <w:r w:rsidRPr="00103C03">
        <w:rPr>
          <w:rFonts w:ascii="Garamond" w:eastAsia="Times New Roman" w:hAnsi="Garamond"/>
          <w:bCs/>
          <w:spacing w:val="-4"/>
          <w:sz w:val="24"/>
          <w:szCs w:val="24"/>
        </w:rPr>
        <w: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të kenë përvojë profesionale jo më pak se pesë vjet, duke përfshirë së paku tre vjet përvojë pune si sekretar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Për pozicionin e sekretarit gjyqësor, kandidatët duhet të përmbushin këto kritere të veçanta:</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të jenë diplomuar në drejtësi;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të kenë përvojë prej të paktën një vit të njohur si praktikë  profesionale ose çdo lloj përvoje tjetër profesionale që lidhet me gjykatën.</w:t>
      </w:r>
    </w:p>
    <w:p w:rsidR="000D4AEA" w:rsidRPr="00103C03" w:rsidRDefault="000D4AEA" w:rsidP="000D4AEA">
      <w:pPr>
        <w:widowControl w:val="0"/>
        <w:shd w:val="clear" w:color="auto" w:fill="FFFFFF"/>
        <w:spacing w:after="0" w:line="240" w:lineRule="auto"/>
        <w:rPr>
          <w:rFonts w:ascii="Garamond" w:eastAsia="Times New Roman" w:hAnsi="Garamond"/>
          <w:bCs/>
          <w:spacing w:val="-4"/>
          <w:sz w:val="24"/>
          <w:szCs w:val="24"/>
        </w:rPr>
      </w:pPr>
      <w:r w:rsidRPr="00103C03">
        <w:rPr>
          <w:rFonts w:ascii="Garamond" w:eastAsia="Times New Roman" w:hAnsi="Garamond"/>
          <w:bCs/>
          <w:spacing w:val="-4"/>
          <w:sz w:val="24"/>
          <w:szCs w:val="24"/>
        </w:rPr>
        <w:tab/>
        <w:t>6. Për pozicionin e nëpunësit zbatues duhet të përmbushin kriteret e përcaktuara në legjislacionin përkatës për menaxhimin financiar dhe kontrollin.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7. Për pozicionin drejtues të buxhetit, kandidatët duhet të përmbushin këto kritere të veçanta:</w:t>
      </w:r>
    </w:p>
    <w:p w:rsidR="000D4AEA" w:rsidRPr="00103C03" w:rsidRDefault="000D4AEA" w:rsidP="000D4AEA">
      <w:pPr>
        <w:widowControl w:val="0"/>
        <w:shd w:val="clear" w:color="auto" w:fill="FFFFFF"/>
        <w:spacing w:after="0" w:line="240" w:lineRule="auto"/>
        <w:rPr>
          <w:rFonts w:ascii="Garamond" w:eastAsia="Times New Roman" w:hAnsi="Garamond"/>
          <w:bCs/>
          <w:spacing w:val="-4"/>
          <w:sz w:val="24"/>
          <w:szCs w:val="24"/>
        </w:rPr>
      </w:pPr>
      <w:r w:rsidRPr="00103C03">
        <w:rPr>
          <w:rFonts w:ascii="Garamond" w:hAnsi="Garamond"/>
          <w:spacing w:val="-4"/>
          <w:sz w:val="24"/>
          <w:szCs w:val="24"/>
        </w:rPr>
        <w:tab/>
        <w:t xml:space="preserve">a) të jenë diplomuar në </w:t>
      </w:r>
      <w:r w:rsidRPr="00103C03">
        <w:rPr>
          <w:rFonts w:ascii="Garamond" w:eastAsia="Times New Roman" w:hAnsi="Garamond"/>
          <w:bCs/>
          <w:spacing w:val="-4"/>
          <w:sz w:val="24"/>
          <w:szCs w:val="24"/>
        </w:rPr>
        <w:t>shkenca ekonomike, të paktën në nivelin “Master shkencor” </w:t>
      </w:r>
      <w:r w:rsidRPr="00103C03">
        <w:rPr>
          <w:rFonts w:ascii="Garamond" w:eastAsia="Times New Roman" w:hAnsi="Garamond"/>
          <w:bCs/>
          <w:spacing w:val="-4"/>
          <w:sz w:val="24"/>
          <w:szCs w:val="24"/>
          <w:shd w:val="clear" w:color="auto" w:fill="FFFFFF"/>
        </w:rPr>
        <w:t>ose të barasvlershëm me të, sipas përcaktimeve të legjislacionit të arsimit të lartë</w:t>
      </w:r>
      <w:r w:rsidRPr="00103C03">
        <w:rPr>
          <w:rFonts w:ascii="Garamond" w:eastAsia="Times New Roman" w:hAnsi="Garamond"/>
          <w:bCs/>
          <w:spacing w:val="-4"/>
          <w:sz w:val="24"/>
          <w:szCs w:val="24"/>
        </w:rPr>
        <w: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të kenë përvojë profesionale jo më pak se tre vjet në fushën e kontabilitetit dhe/ose </w:t>
      </w:r>
      <w:r w:rsidRPr="00103C03">
        <w:rPr>
          <w:rFonts w:ascii="Garamond" w:hAnsi="Garamond"/>
          <w:spacing w:val="-4"/>
          <w:sz w:val="24"/>
          <w:szCs w:val="24"/>
        </w:rPr>
        <w:lastRenderedPageBreak/>
        <w:t xml:space="preserve">menaxhimit të buxhetit. </w:t>
      </w:r>
    </w:p>
    <w:p w:rsidR="000D4AEA" w:rsidRPr="00103C03" w:rsidRDefault="000D4AEA" w:rsidP="000D4AEA">
      <w:pPr>
        <w:widowControl w:val="0"/>
        <w:shd w:val="clear" w:color="auto" w:fill="FFFFFF"/>
        <w:spacing w:after="0" w:line="240" w:lineRule="auto"/>
        <w:rPr>
          <w:rFonts w:ascii="Garamond" w:hAnsi="Garamond"/>
          <w:strike/>
          <w:spacing w:val="-4"/>
          <w:sz w:val="24"/>
          <w:szCs w:val="24"/>
        </w:rPr>
      </w:pPr>
      <w:r w:rsidRPr="00103C03">
        <w:rPr>
          <w:rFonts w:ascii="Garamond" w:hAnsi="Garamond"/>
          <w:spacing w:val="-4"/>
          <w:sz w:val="24"/>
          <w:szCs w:val="24"/>
        </w:rPr>
        <w:tab/>
        <w:t xml:space="preserve">8. Për pozicionet drejtuese si nëpunës civil gjyqësor në fusha të tjera të shërbimeve administrative të gjykatës, kandidatët duhet të përmbushin këto kritere të veçanta: </w:t>
      </w:r>
    </w:p>
    <w:p w:rsidR="000D4AEA" w:rsidRPr="00103C03" w:rsidRDefault="000D4AEA" w:rsidP="000D4AEA">
      <w:pPr>
        <w:widowControl w:val="0"/>
        <w:shd w:val="clear" w:color="auto" w:fill="FFFFFF"/>
        <w:spacing w:after="0" w:line="240" w:lineRule="auto"/>
        <w:rPr>
          <w:rFonts w:ascii="Garamond" w:eastAsia="Times New Roman" w:hAnsi="Garamond"/>
          <w:bCs/>
          <w:spacing w:val="-4"/>
          <w:sz w:val="24"/>
          <w:szCs w:val="24"/>
        </w:rPr>
      </w:pPr>
      <w:r w:rsidRPr="00103C03">
        <w:rPr>
          <w:rFonts w:ascii="Garamond" w:hAnsi="Garamond"/>
          <w:spacing w:val="-4"/>
          <w:sz w:val="24"/>
          <w:szCs w:val="24"/>
        </w:rPr>
        <w:tab/>
        <w:t>a) të jenë diplomuar në drejtësi, ekonomi ose teknologji e informacionit ose shkenca komunikimi</w:t>
      </w:r>
      <w:r>
        <w:rPr>
          <w:rFonts w:ascii="Garamond" w:hAnsi="Garamond"/>
          <w:spacing w:val="-4"/>
          <w:sz w:val="24"/>
          <w:szCs w:val="24"/>
        </w:rPr>
        <w:t xml:space="preserve"> </w:t>
      </w:r>
      <w:r w:rsidRPr="00103C03">
        <w:rPr>
          <w:rFonts w:ascii="Garamond" w:hAnsi="Garamond"/>
          <w:spacing w:val="-4"/>
          <w:sz w:val="24"/>
          <w:szCs w:val="24"/>
        </w:rPr>
        <w:t xml:space="preserve">/gazetari, ose në fusha të tjera të përshtatshme me përshkrimin e punës, </w:t>
      </w:r>
      <w:r w:rsidRPr="00103C03">
        <w:rPr>
          <w:rFonts w:ascii="Garamond" w:eastAsia="Times New Roman" w:hAnsi="Garamond"/>
          <w:bCs/>
          <w:spacing w:val="-4"/>
          <w:sz w:val="24"/>
          <w:szCs w:val="24"/>
        </w:rPr>
        <w:t>të paktën në nivelin “Master shkencor” </w:t>
      </w:r>
      <w:r w:rsidRPr="00103C03">
        <w:rPr>
          <w:rFonts w:ascii="Garamond" w:eastAsia="Times New Roman" w:hAnsi="Garamond"/>
          <w:bCs/>
          <w:spacing w:val="-4"/>
          <w:sz w:val="24"/>
          <w:szCs w:val="24"/>
          <w:shd w:val="clear" w:color="auto" w:fill="FFFFFF"/>
        </w:rPr>
        <w:t>ose të barasvlershëm me të, sipas përcaktimeve të legjislacionit të arsimit të lartë</w:t>
      </w:r>
      <w:r w:rsidRPr="00103C03">
        <w:rPr>
          <w:rFonts w:ascii="Garamond" w:eastAsia="Times New Roman" w:hAnsi="Garamond"/>
          <w:bCs/>
          <w:spacing w:val="-4"/>
          <w:sz w:val="24"/>
          <w:szCs w:val="24"/>
        </w:rPr>
        <w: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të kenë kryer të paktën një vit praktikë profesionale ose çdo lloj përvoje tjetër profesionale që lidhet me gjykatën.</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SEKSIONI II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PRANIMI I NËPUNËSVE CIVILË GJYQËSORË</w:t>
      </w:r>
    </w:p>
    <w:p w:rsidR="000D4AEA" w:rsidRPr="00103C03" w:rsidRDefault="000D4AEA" w:rsidP="000D4AEA">
      <w:pPr>
        <w:pStyle w:val="Hapesira7"/>
        <w:ind w:firstLine="0"/>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57</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Lëvizja paralele dhe ngritja në detyrë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Plotësimi i vendeve të lira në shërbimin civil gjyqësor bëhet sipas kësaj radhe:</w:t>
      </w:r>
    </w:p>
    <w:p w:rsidR="000D4AEA" w:rsidRPr="00103C03" w:rsidRDefault="000D4AEA" w:rsidP="000D4AEA">
      <w:pPr>
        <w:widowControl w:val="0"/>
        <w:shd w:val="clear" w:color="auto" w:fill="FFFFFF"/>
        <w:tabs>
          <w:tab w:val="left" w:pos="0"/>
        </w:tabs>
        <w:spacing w:after="0" w:line="240" w:lineRule="auto"/>
        <w:rPr>
          <w:rFonts w:ascii="Garamond" w:hAnsi="Garamond"/>
          <w:spacing w:val="-4"/>
          <w:sz w:val="24"/>
          <w:szCs w:val="24"/>
        </w:rPr>
      </w:pPr>
      <w:r w:rsidRPr="00103C03">
        <w:rPr>
          <w:rFonts w:ascii="Garamond" w:hAnsi="Garamond"/>
          <w:spacing w:val="-4"/>
          <w:sz w:val="24"/>
          <w:szCs w:val="24"/>
        </w:rPr>
        <w:tab/>
        <w:t>a) fillimisht vendi i lirë i ofrohet një nëpunësi civil gjyqësor, i regjistruar në listën e nëpunësve civilë gjyqësorë, ose ata të cilët kanë të drejtë të rikthehen ose të transferohen, sipas dispozitës për efektet e pezullimit të ligjit “Për nëpunësin civil” ose për transferimin;</w:t>
      </w:r>
    </w:p>
    <w:p w:rsidR="000D4AEA" w:rsidRPr="00103C03" w:rsidRDefault="000D4AEA" w:rsidP="000D4AEA">
      <w:pPr>
        <w:widowControl w:val="0"/>
        <w:shd w:val="clear" w:color="auto" w:fill="FFFFFF"/>
        <w:tabs>
          <w:tab w:val="left" w:pos="0"/>
        </w:tabs>
        <w:spacing w:after="0" w:line="240" w:lineRule="auto"/>
        <w:rPr>
          <w:rFonts w:ascii="Garamond" w:hAnsi="Garamond"/>
          <w:spacing w:val="-4"/>
          <w:sz w:val="24"/>
          <w:szCs w:val="24"/>
        </w:rPr>
      </w:pPr>
      <w:r w:rsidRPr="00103C03">
        <w:rPr>
          <w:rFonts w:ascii="Garamond" w:hAnsi="Garamond"/>
          <w:spacing w:val="-4"/>
          <w:sz w:val="24"/>
          <w:szCs w:val="24"/>
        </w:rPr>
        <w:tab/>
        <w:t>b) nëse vendi nuk mund të plotësohet sipas procedurës së referuar në shkronjën “a”, plotësimi bëhet nëpërmjet procedurës së lëvizjes paralele;</w:t>
      </w:r>
    </w:p>
    <w:p w:rsidR="000D4AEA" w:rsidRPr="00103C03" w:rsidRDefault="000D4AEA" w:rsidP="000D4AEA">
      <w:pPr>
        <w:widowControl w:val="0"/>
        <w:shd w:val="clear" w:color="auto" w:fill="FFFFFF"/>
        <w:tabs>
          <w:tab w:val="left" w:pos="0"/>
        </w:tabs>
        <w:spacing w:after="0" w:line="240" w:lineRule="auto"/>
        <w:rPr>
          <w:rFonts w:ascii="Garamond" w:hAnsi="Garamond"/>
          <w:spacing w:val="-4"/>
          <w:sz w:val="24"/>
          <w:szCs w:val="24"/>
        </w:rPr>
      </w:pPr>
      <w:r w:rsidRPr="00103C03">
        <w:rPr>
          <w:rFonts w:ascii="Garamond" w:hAnsi="Garamond"/>
          <w:spacing w:val="-4"/>
          <w:sz w:val="24"/>
          <w:szCs w:val="24"/>
        </w:rPr>
        <w:tab/>
        <w:t xml:space="preserve">c) nëse vendi nuk mund të plotësohet sipas procedurës së referuar në shkronjën “a” ose “b”, plotësimi bëhet nëpërmjet procedurës së ngritjes në detyrë.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Nëpunësit e shërbimit civil gjyqësor të një kategorie të caktuar kanë të drejtë të aplikojnë nëpërmjet procedurës së lëvizjes paralele për pozicionet e së njëjtës kategori të një gjykate tjetër.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Nëpunësit e shërbimit civil gjyqësor të një kategorie të caktuar, të cilët plotësojnë kriteret për një kategori më të lartë, kanë të drejtë të aplikojnë nëpërmjet procedurës së ngritjes në detyrë në pozicionin e një kategorie më të lartë brenda së njëjtës gjykatë ose në një gjykate tjetër.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4. Kancelari njofton menjëherë dhe pa vonesë Këshillin e Lartë Gjyqësor për vendin e lirë të krijuar në gjykatë ose që mund të krijohet në të ardhmen, në çdo rast, jo më vonë se dy javë pas marrjes së informacionit.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5. Këshilli i Lartë Gjyqësor, pa vonesë, vë në dijeni Këshillin e Gjykatës për nëpunësit civilë gjyqësorë të regjistruar në listën e nëpunësve civilë gjyqësorë, sipas pikës 1 të këtij neni. Këshilli i Gjykatës i ofron vendin kandidatit të regjistruar në listën përkatëse.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Në rast se vendi i lirë nuk mund të plotësohet nga një procedurë e tillë, Këshilli i Lartë Gjyqësor shpall fillimin e procedurave për lëvizje paralele dhe ngritje në detyrë. Këshilli i Lartë Gjyqësor njofton të gjithë nëpunësit civilë gjyqësorë të së njëjtës kategori, nëpunësit e shërbimit civil gjyqësor të kategorive më të ulëta, të cilët plotësojnë kriteret për kategorinë përkatëse më të lartë, për vendet e lira dhe hapjen e procedurave për lëvizje paralele dhe ngritje në detyrë.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7. Njoftimi shpallet në të gjitha gjykatat. Ai përmban informacion për vendin e lirë, afatin e paraqitjes së kërkesës për kandidim, dokumentacionin shoqërues, procedurën e shqyrtimit të kërkesës dhe vendin ku paraqitet kërkesa dhe dokumentacioni. Afati për paraqitjen e kërkesës për kandidim nuk mund të jetë më pak se dy javë nga data e njoftimit.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8. Kërkesa për kandidim paraqitet pranë Këshillit të Gjykatës që ka njoftuar vendin e lirë.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9. Këshilli i Gjykatës shqyrton kërkesat, bazuar në dokumentacionin e paraqitur. Në rastin e lëvizjes paralele, Këshilli i Gjykatës mund të zhvillojë një intervistë. Në rastin e ngritjes në detyrë, zhvillimi i intervistës nga Këshilli i Gjykatës me kandidatët është i detyrueshëm.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10. Këshilli i Gjykatës, në rastin e paraqitjes së dy ose më shumë kërkesave për të njëjtin pozicion, i rendit kandidatët sipas radhës së kritereve të mëposhtme: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lastRenderedPageBreak/>
        <w:tab/>
        <w:t xml:space="preserve">a) rezultateve të vlerësimit të punës, në rast rezultatesh të njëjta Këshilli i Gjykatës krijon një renditje brenda grupit të kandidatëve me rezultatet më të larta;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viteve të përvojës profesionale në pozicionin përkatës;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c) viteve të përgjithshme të përvojës profesionale në sektorin e drejtësisë ose përvojën profesionale që lidhet me fushën e pozicionit përkatës.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11. Këshilli i Gjykatës  përzgjedh dhe njofton kandidatin brenda dy javëve nga përfundimi i afatit të paraqitjes së kërkesës për kandidim.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12. Këshilli i Gjykatës, në të cilin pranohet një nëpunës civil gjyqësor i ri, sipas këtij neni, brenda pesë ditëve nga përzgjedhja e kandidatit, njofton Këshillin e Lartë Gjyqësor për rezultatet e procedurës së lëvizjes paralele ose ngritjes në detyrë.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13. Këshilli i Lartë Gjyqësor miraton me vendim rregulla më të detajuara për procedurat për lëvizje paralele dhe ngritje në detyrë.</w:t>
      </w:r>
    </w:p>
    <w:p w:rsidR="000D4AEA" w:rsidRPr="00103C03" w:rsidRDefault="000D4AEA" w:rsidP="000D4AEA">
      <w:pPr>
        <w:pStyle w:val="Hapesira7"/>
        <w:rPr>
          <w:spacing w:val="-4"/>
        </w:rPr>
      </w:pP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Neni 58</w:t>
      </w:r>
    </w:p>
    <w:p w:rsidR="000D4AEA" w:rsidRPr="00103C03" w:rsidRDefault="000D4AEA" w:rsidP="000D4AEA">
      <w:pPr>
        <w:widowControl w:val="0"/>
        <w:spacing w:after="0" w:line="240" w:lineRule="auto"/>
        <w:jc w:val="center"/>
        <w:rPr>
          <w:rFonts w:ascii="Garamond" w:hAnsi="Garamond"/>
          <w:b/>
          <w:spacing w:val="-4"/>
          <w:sz w:val="24"/>
          <w:szCs w:val="24"/>
        </w:rPr>
      </w:pPr>
      <w:r w:rsidRPr="00103C03">
        <w:rPr>
          <w:rFonts w:ascii="Garamond" w:hAnsi="Garamond"/>
          <w:b/>
          <w:spacing w:val="-4"/>
          <w:sz w:val="24"/>
          <w:szCs w:val="24"/>
        </w:rPr>
        <w:t>Emërimi në shërbimin civil gjyqësor</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1. Pas përfundimit të procedurës së lëvizjes paralele dhe ngritjes në detyrë, Këshilli i Lartë Gjyqësor fillon procedurën e pranimit për emërimin e kandidatëve për vendet të mbetura të lira për kancelar, ndërsa Këshilli i Gjykatës fillon procedurën e pranimit për emërimin e kandidatëve për vendet e tjera të lira të nëpunësve civilë gjyqësorë.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2. Kandidatët fitues, të përcaktuar në përputhje me listën e Shkollës së Magjistraturës për renditjen e kancelarëve, këshilltarëve dhe ndihmësve ligjorë ose në përputhje me renditjen e bërë nga Komisioni i Pranimit, duke filluar nga ai me më shumë pikë, kanë të drejtë të zgjedhin të emërohen në çdo pozicion të kategorisë, për të cilin është zhvilluar konkurrimi. Këshilli i Lartë Gjyqësor dhe Këshilli i Gjykatës emërojnë kandidatët në pozicionin e zgjedhur, sipas neneve 59 dhe 60 të këtij ligji.</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3. Lista e kandidatëve fitues, e krijuar nga Shkolla e Magjistraturës, në përputhje me pikën 7, të nenit 53, të këtij ligji, të paemëruar ende, sipas pikës 2, të këtij neni, është e vlefshme për një periudhë katërvjeçare nga shpallja e fituesve. Lista e krijuar nga Komisioni i Pranimit, në përputhje me pikën 6, të nenit 54, të këtij ligji, e kandidatëve fitues të paemëruar ende, sipas pikës 2, të këtij neni, është e vlefshme për një periudhë dyvjeçare nga shpallja e fituesve. Nëse gjatë kësaj periudhe organizohet një konkurs tjetër për të njëjtën kategori, kandidatët fitues të listave, që nuk janë emëruar ende, renditen sërish sipas rezultatit përfundimtar.</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4. Vendet e lira, të krijuara në mënyrë të përkohshme, mund të plotësohen nga kandidatët fitues të paemëruar ende, sipas renditjes së tyre në listën e përcaktuar në pikën 3, të këtij neni. Në çdo rast, ky proces realizohet me pëlqimin e kandidatëve fitues dhe nuk cenon të drejtat që ata gëzojnë, sipas pikës 3 të këtij neni. Këshilli i Lartë Gjyqësor dhe Këshilli i Gjykatës bëjnë emërimin e përkohshëm, respektivisht, për kancelarin, këshilltarin, ndihmësin ligjor dhe nëpunësit e tjerë civilë gjyqësorë, pas marrjes së pëlqimit të tyre.</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5. Çdo emërim në pozicione të shërbimit civil gjyqësor, në kundërshtim me këtë nen, është absolutisht i pavlefshëm.</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6. Këshilli i Lartë Gjyqësor miraton rregulla më të hollësishme për procedurën në zbatim të këtij neni.</w:t>
      </w:r>
    </w:p>
    <w:p w:rsidR="000D4AEA" w:rsidRPr="00E76564" w:rsidRDefault="000D4AEA" w:rsidP="000D4AEA">
      <w:pPr>
        <w:pStyle w:val="Hapesira7"/>
        <w:rPr>
          <w:spacing w:val="-4"/>
          <w:sz w:val="4"/>
        </w:rPr>
      </w:pP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Neni 59</w:t>
      </w:r>
    </w:p>
    <w:p w:rsidR="000D4AEA" w:rsidRPr="00103C03" w:rsidRDefault="000D4AEA" w:rsidP="000D4AEA">
      <w:pPr>
        <w:widowControl w:val="0"/>
        <w:spacing w:after="0" w:line="240" w:lineRule="auto"/>
        <w:jc w:val="center"/>
        <w:rPr>
          <w:rFonts w:ascii="Garamond" w:hAnsi="Garamond"/>
          <w:b/>
          <w:spacing w:val="-4"/>
          <w:sz w:val="24"/>
          <w:szCs w:val="24"/>
        </w:rPr>
      </w:pPr>
      <w:r w:rsidRPr="00103C03">
        <w:rPr>
          <w:rFonts w:ascii="Garamond" w:hAnsi="Garamond"/>
          <w:b/>
          <w:spacing w:val="-4"/>
          <w:sz w:val="24"/>
          <w:szCs w:val="24"/>
        </w:rPr>
        <w:t>Emërimi i kancelarit, këshilltarit ligjor dhe ndihmësit ligjor</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1. Organi kompetent për emërimin e kancelarit, këshilltarit dhe ndihmësit ligjor është Këshilli i Lartë Gjyqësor.</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2. Për vendin e lirë për kancelar, këshilltar ose ndihmës ligjor, pas përfundimit të procedurës së lëvizjes paralele dhe ngritjes në detyrë, kandidatët e renditur në listën e kandidatëve për pozicionin e </w:t>
      </w:r>
      <w:r w:rsidRPr="00103C03">
        <w:rPr>
          <w:rFonts w:ascii="Garamond" w:hAnsi="Garamond"/>
          <w:spacing w:val="-4"/>
          <w:sz w:val="24"/>
          <w:szCs w:val="24"/>
        </w:rPr>
        <w:lastRenderedPageBreak/>
        <w:t xml:space="preserve">kancelarit, këshilltarit dhe ndihmësit ligjor, të publikuar nga Shkolla e Magjistraturës, kanë të drejtë të paraqesin kërkesë pranë Këshillit të Lartë Gjyqësor.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3. Këshilli i Lartë Gjyqësor zgjedh kandidatin për kancelar, këshilltar ose ndihmës ligjor, duke marrë parasysh kriteret e mëposhtme sipas kësaj radhe: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a) renditjen në listën e kandidatëve; </w:t>
      </w:r>
    </w:p>
    <w:p w:rsidR="000D4AEA" w:rsidRPr="00103C03" w:rsidRDefault="000D4AEA" w:rsidP="000D4AEA">
      <w:pPr>
        <w:widowControl w:val="0"/>
        <w:spacing w:after="0" w:line="240" w:lineRule="auto"/>
        <w:rPr>
          <w:rFonts w:ascii="Garamond" w:hAnsi="Garamond"/>
          <w:strike/>
          <w:spacing w:val="-4"/>
          <w:sz w:val="24"/>
          <w:szCs w:val="24"/>
        </w:rPr>
      </w:pPr>
      <w:r w:rsidRPr="00103C03">
        <w:rPr>
          <w:rFonts w:ascii="Garamond" w:hAnsi="Garamond"/>
          <w:spacing w:val="-4"/>
          <w:sz w:val="24"/>
          <w:szCs w:val="24"/>
        </w:rPr>
        <w:tab/>
        <w:t xml:space="preserve">b) çdo njohuri ose përvojë të veçantë të kanditatit, që e bën atë veçanërisht të kualifikuar për vendin e lirë;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c) vitet e përgjithshme të përvojës profesionale në sektorin e drejtësisë ose në pozicione drejtuese.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4. Këshilli i Lartë Gjyqësor arsyeton dhe publikon në faqen zyrtare vendimin për rezultatet e procedurës së emërimit. Vendimi i arsyetuar u njoftohet të gjithë kandidatëve. Kandidatët që nuk janë përzgjedhur kanë të drejtë të ankimojnë vendimin në gjykatën kompetente. </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509"/>
        </w:tabs>
        <w:spacing w:after="0" w:line="240" w:lineRule="auto"/>
        <w:jc w:val="center"/>
        <w:rPr>
          <w:rFonts w:ascii="Garamond" w:hAnsi="Garamond"/>
          <w:spacing w:val="-4"/>
          <w:sz w:val="24"/>
          <w:szCs w:val="24"/>
        </w:rPr>
      </w:pPr>
      <w:r w:rsidRPr="00103C03">
        <w:rPr>
          <w:rFonts w:ascii="Garamond" w:hAnsi="Garamond"/>
          <w:spacing w:val="-4"/>
          <w:sz w:val="24"/>
          <w:szCs w:val="24"/>
        </w:rPr>
        <w:t>Neni 60</w:t>
      </w:r>
    </w:p>
    <w:p w:rsidR="000D4AEA" w:rsidRPr="00103C03" w:rsidRDefault="000D4AEA" w:rsidP="000D4AEA">
      <w:pPr>
        <w:widowControl w:val="0"/>
        <w:shd w:val="clear" w:color="auto" w:fill="FFFFFF"/>
        <w:tabs>
          <w:tab w:val="left" w:pos="509"/>
        </w:tabs>
        <w:spacing w:after="0" w:line="240" w:lineRule="auto"/>
        <w:jc w:val="center"/>
        <w:rPr>
          <w:rFonts w:ascii="Garamond" w:hAnsi="Garamond"/>
          <w:b/>
          <w:spacing w:val="-4"/>
          <w:sz w:val="24"/>
          <w:szCs w:val="24"/>
        </w:rPr>
      </w:pPr>
      <w:r w:rsidRPr="00103C03">
        <w:rPr>
          <w:rFonts w:ascii="Garamond" w:hAnsi="Garamond"/>
          <w:b/>
          <w:spacing w:val="-4"/>
          <w:sz w:val="24"/>
          <w:szCs w:val="24"/>
        </w:rPr>
        <w:t>Emërimi i nëpunësve civilë gjyqësorë të tjerë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Organi kompetent për emërimin e nëpunësve të tjerë civilë gjyqësorë është Këshilli i Gjykatës.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Për vendet e lira për nëpunësit civilë gjyqësorë të tjerë, pas përfundimit të procedurës së lëvizjes paralele dhe ngritjes në detyrë, kandidatët e renditur në listën e kandidatëve nga Komisionet e Pranimit, kanë të drejtë të paraqesin kërkesë pranë Këshillit të Gjykatës.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Këshilli i Gjykatës fton kandidatët për intervistë dhe zgjedh kandidatin për vendin e lirë përkatës në shërbimin civil gjyqësor, duke marrë parasysh kriteret e mëposhtme, sipas kësaj radhe: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renditjen në listën e kandidatëve;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çdo karakteristikë të veçantë të kanditatit në lidhje me vendin e lirë;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c) vitet e përvojës profesionale në sektorin e drejtësisë ose përvoja të tjera profesionale që lidhen me vendin përkatës.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Këshilli i Gjykatës arsyeton dhe publikon vendimin për rezultatet e procedurës së emërimit. Vendimi i arsyetuar i njoftohet të gjithë kandidatëve. Kandidatët që nuk janë përzgjedhur kanë të drejtë të ankimojnë vendimin në gjykatën kompetente.</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61</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Emërimi paraprak</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Nëpunësi i shërbimit civil gjyqësor merr emërimin paraprak në shërbimin civil gjyqësor me kusht që vendimi i emërimit të mos cenohet nga një vendim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Në rast se nuk bëhet ankim brenda afatit kundër vendimit të organit kompetent për emërimin e nëpunësve të shërbimit civil gjyqësor, vendimi bëhet përfundimtar dhe emërimi konsiderohet përfundimtar që nga data e mbarimit të afatit të ankimit ndaj këtij vendimi.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Në rast se bëhet ankim dhe vendimi gjyqësor përfundimtar lë në fuqi vendimin e emërimit, emërimi konsiderohet përfundimtar, duke filluar nga dita e njoftimit të vendimit gjyqësor te nëpunësi civil gjyqësor i emëruar.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4. Në rast se gjykata e cenon vendimin e emërimit, organi kompetent përkatës rivlerëson sipas rregullave të vlerësimit të gjitha kërkesat e kandidatëve në përputhje me këtë ligj dhe merr një vendim të ri pas dhënies së vendimit përfundimtar të gjykatës. Emërimi paraprak konsiderohet i përfunduar në datën e vendimit të organit kompetent, i cili rishikon vendimin e emërimit, duke pasur parasysh vendimin përfundimtar të gjykatës. Kandidatët e emëruar paraprakisht dhe të sapoemëruar njoftohen në datën e dhënies së vendimit.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Viti i parë i shërbimit gjatë periudhës së emërimit paraprak konsiderohet si periudhë prove, sipas nenit 62 të këtij ligji.</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Këshilli i Gjykatës njofton pa vonesë Këshillin e Lartë Gjyqësor mbi rezultatin e procesit të </w:t>
      </w:r>
      <w:r w:rsidRPr="00103C03">
        <w:rPr>
          <w:rFonts w:ascii="Garamond" w:hAnsi="Garamond"/>
          <w:spacing w:val="-4"/>
          <w:sz w:val="24"/>
          <w:szCs w:val="24"/>
        </w:rPr>
        <w:lastRenderedPageBreak/>
        <w:t xml:space="preserve">pranimit, duke përfshirë ankimet e bëra dhe çdo vendim gjyqësor përfundimtar.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7. Në rast se organi kompetent vendos të ndërpresë marrëdhënien e punës për nëpunësin civil gjyqësor të emëruar paraprakisht, gjatë periudhës së provës, sipas nenit 62, të këtij ligji, ai njofton kandidatët e tjerë që kanë paraqitur kërkesë për vendin përkatës. Këta kandidatë mund të mbështesin kërkesën e tyre edhe në rastin kur ka mbaruar afati i listës së kandidatëve në të cilën ata janë përfshirë. Në rastet kur kandidatët kanë paraqitur ankim, ky ankim konsiderohet i tërhequr. Organi kompetent fton të gjithë kandidatët e tjerë nga lista përkatëse e kandidatëve për të paraqitur kërkesë për kandidim për vendin përkatës.</w:t>
      </w:r>
    </w:p>
    <w:p w:rsidR="000D4AEA" w:rsidRDefault="000D4AEA" w:rsidP="000D4AEA">
      <w:pPr>
        <w:widowControl w:val="0"/>
        <w:shd w:val="clear" w:color="auto" w:fill="FFFFFF"/>
        <w:spacing w:after="0" w:line="240" w:lineRule="auto"/>
        <w:jc w:val="center"/>
        <w:rPr>
          <w:rFonts w:ascii="Garamond" w:hAnsi="Garamond"/>
          <w:spacing w:val="-4"/>
          <w:sz w:val="24"/>
          <w:szCs w:val="2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62</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Periudha e provës</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1. Personi, i cili në momentin e emërimit nuk gëzon statusin e nëpunësit të shërbimit civil gjyqësor, i nënshtrohet periudhës së provës, e cila zgjat një vit nga data e njoftimit të vendimit të emërimit paraprak.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2. Gjatë periudhës së provës, nëpunësi civil gjyqësor kryen detyrat nën kujdesin e një nëpunësi të vjetër civil gjyqësor të së njëjtës kategori ose të një kategorie më të lartë.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3. Në fund të periudhës së provës, organi kompetent, ku është emëruar nëpunësi i shërbimit civil gjyqësor, vendos: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a) konfirmimin e nëpunësit civil gjyqësor;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b) zgjatjen e periudhës së provës një herë të vetme, deri në gjashtë muaj, nëse për arsye të justifikuara, ka qenë i pamundur vlerësimi i nëpunësit civil gjyqësor;</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c) moskonfirmimin e nëpunësit civil gjyqësor.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4. Vendimi, sipas parashikimeve të pikës 3, të këtij neni, bazohet në çdo rast në vlerësimin e rezultateve individuale të punës. </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5. Këshilli i Gjykatës i përcjell vendimin Këshillit të Lartë Gjyqësor brenda tri ditëve për emërimet që janë në kompetencën e tij. Këshilli i Lartë Gjyqësor regjistron vendimet e marra, sipas këtij neni, në Regjistrin Qendror të Personelit brenda dhjetë ditëve nga marrja e njoftimit. </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63</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Dosja dhe Regjistri Qendror i Personelit</w:t>
      </w:r>
    </w:p>
    <w:p w:rsidR="000D4AEA" w:rsidRPr="00103C03" w:rsidRDefault="000D4AEA" w:rsidP="000D4AEA">
      <w:pPr>
        <w:pStyle w:val="Hapesira7"/>
        <w:rPr>
          <w:spacing w:val="-4"/>
        </w:rPr>
      </w:pP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1. Kancelari i çdo gjykate krijon dhe administron dosjen individuale për çdo nëpunës civil gjyqësor dhe punonjësi të administratës së gjykatës. Dosja individuale përmban të dhëna profesionale për çdo nëpunës civil gjyqësor dhe punonjës të administratës, si dhe çdo të dhënë tjetër në lidhje me shërbimin civil gjyqësor ose marrëdhënien e punës.</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 xml:space="preserve">2. </w:t>
      </w:r>
      <w:r w:rsidRPr="00103C03">
        <w:rPr>
          <w:rFonts w:ascii="Garamond" w:hAnsi="Garamond"/>
          <w:bCs/>
          <w:spacing w:val="-4"/>
          <w:sz w:val="24"/>
          <w:szCs w:val="24"/>
        </w:rPr>
        <w:t>Kancelari i çdo gjykate reflekton në Regjistrin Qendror të Personelit, të </w:t>
      </w:r>
      <w:r w:rsidRPr="00103C03">
        <w:rPr>
          <w:rFonts w:ascii="Garamond" w:hAnsi="Garamond"/>
          <w:bCs/>
          <w:spacing w:val="-4"/>
          <w:sz w:val="24"/>
          <w:szCs w:val="24"/>
          <w:shd w:val="clear" w:color="auto" w:fill="FFFFFF"/>
        </w:rPr>
        <w:t>krijuar dhe administruar nga Departamenti i Administratës Publike, sipas parashikimeve të ligjit “Për nëpunësin civil” dhe akteve nënligjore në zbatim të tij</w:t>
      </w:r>
      <w:r w:rsidRPr="00103C03">
        <w:rPr>
          <w:rFonts w:ascii="Garamond" w:hAnsi="Garamond"/>
          <w:bCs/>
          <w:spacing w:val="-4"/>
          <w:sz w:val="24"/>
          <w:szCs w:val="24"/>
        </w:rPr>
        <w:t>, </w:t>
      </w:r>
      <w:r w:rsidRPr="00103C03">
        <w:rPr>
          <w:rFonts w:ascii="Garamond" w:hAnsi="Garamond"/>
          <w:bCs/>
          <w:spacing w:val="-4"/>
          <w:sz w:val="24"/>
          <w:szCs w:val="24"/>
          <w:shd w:val="clear" w:color="auto" w:fill="FFFFFF"/>
        </w:rPr>
        <w:t>të dhënat profesionale për çdo nëpunës civil gjyqësor dhe punonjës të administratës, si dhe çdo të dhënë tjetër në lidhje me shërbimin civil gjyqë</w:t>
      </w:r>
      <w:r>
        <w:rPr>
          <w:rFonts w:ascii="Garamond" w:hAnsi="Garamond"/>
          <w:bCs/>
          <w:spacing w:val="-4"/>
          <w:sz w:val="24"/>
          <w:szCs w:val="24"/>
          <w:shd w:val="clear" w:color="auto" w:fill="FFFFFF"/>
        </w:rPr>
        <w:t>-</w:t>
      </w:r>
      <w:r w:rsidRPr="00103C03">
        <w:rPr>
          <w:rFonts w:ascii="Garamond" w:hAnsi="Garamond"/>
          <w:bCs/>
          <w:spacing w:val="-4"/>
          <w:sz w:val="24"/>
          <w:szCs w:val="24"/>
          <w:shd w:val="clear" w:color="auto" w:fill="FFFFFF"/>
        </w:rPr>
        <w:t>sor, ose marrëdhënien e punës, si dhe informa</w:t>
      </w:r>
      <w:r>
        <w:rPr>
          <w:rFonts w:ascii="Garamond" w:hAnsi="Garamond"/>
          <w:bCs/>
          <w:spacing w:val="-4"/>
          <w:sz w:val="24"/>
          <w:szCs w:val="24"/>
          <w:shd w:val="clear" w:color="auto" w:fill="FFFFFF"/>
        </w:rPr>
        <w:t>-</w:t>
      </w:r>
      <w:r w:rsidRPr="00103C03">
        <w:rPr>
          <w:rFonts w:ascii="Garamond" w:hAnsi="Garamond"/>
          <w:bCs/>
          <w:spacing w:val="-4"/>
          <w:sz w:val="24"/>
          <w:szCs w:val="24"/>
          <w:shd w:val="clear" w:color="auto" w:fill="FFFFFF"/>
        </w:rPr>
        <w:t>cionin për strukturën dhe organikën e gjykatës përkatëse.</w:t>
      </w:r>
    </w:p>
    <w:p w:rsidR="000D4AEA" w:rsidRPr="00E76564" w:rsidRDefault="000D4AEA" w:rsidP="000D4AEA">
      <w:pPr>
        <w:widowControl w:val="0"/>
        <w:shd w:val="clear" w:color="auto" w:fill="FFFFFF"/>
        <w:spacing w:after="0" w:line="240" w:lineRule="auto"/>
        <w:rPr>
          <w:rFonts w:ascii="Garamond" w:eastAsia="Times New Roman" w:hAnsi="Garamond"/>
          <w:bCs/>
          <w:sz w:val="24"/>
          <w:szCs w:val="24"/>
        </w:rPr>
      </w:pPr>
      <w:r w:rsidRPr="00103C03">
        <w:rPr>
          <w:rFonts w:ascii="Garamond" w:eastAsia="Times New Roman" w:hAnsi="Garamond"/>
          <w:bCs/>
          <w:spacing w:val="-4"/>
          <w:sz w:val="24"/>
          <w:szCs w:val="24"/>
        </w:rPr>
        <w:tab/>
      </w:r>
      <w:r w:rsidRPr="00E76564">
        <w:rPr>
          <w:rFonts w:ascii="Garamond" w:eastAsia="Times New Roman" w:hAnsi="Garamond"/>
          <w:bCs/>
          <w:sz w:val="24"/>
          <w:szCs w:val="24"/>
        </w:rPr>
        <w:t>3. Departamenti i Administratës Publike, në cilësinë e administratorit të Regjistrit Qendror të Personelit, është i detyruar t’i sigurojë</w:t>
      </w:r>
      <w:r>
        <w:rPr>
          <w:rFonts w:ascii="Garamond" w:eastAsia="Times New Roman" w:hAnsi="Garamond"/>
          <w:bCs/>
          <w:sz w:val="24"/>
          <w:szCs w:val="24"/>
        </w:rPr>
        <w:t xml:space="preserve"> </w:t>
      </w:r>
      <w:r w:rsidRPr="00E76564">
        <w:rPr>
          <w:rFonts w:ascii="Garamond" w:eastAsia="Times New Roman" w:hAnsi="Garamond"/>
          <w:bCs/>
          <w:sz w:val="24"/>
          <w:szCs w:val="24"/>
          <w:shd w:val="clear" w:color="auto" w:fill="FFFFFF"/>
        </w:rPr>
        <w:t>Këshillit të</w:t>
      </w:r>
      <w:r>
        <w:rPr>
          <w:rFonts w:ascii="Garamond" w:eastAsia="Times New Roman" w:hAnsi="Garamond"/>
          <w:bCs/>
          <w:sz w:val="24"/>
          <w:szCs w:val="24"/>
          <w:shd w:val="clear" w:color="auto" w:fill="FFFFFF"/>
        </w:rPr>
        <w:t xml:space="preserve"> </w:t>
      </w:r>
      <w:r w:rsidRPr="00E76564">
        <w:rPr>
          <w:rFonts w:ascii="Garamond" w:eastAsia="Times New Roman" w:hAnsi="Garamond"/>
          <w:bCs/>
          <w:sz w:val="24"/>
          <w:szCs w:val="24"/>
          <w:shd w:val="clear" w:color="auto" w:fill="FFFFFF"/>
        </w:rPr>
        <w:t>Lartë Gjyqësor dhe gjykatave aksesin e plotë dhe të nevojshëm mbi të dhënat e gjykatave në këtë regjistër.</w:t>
      </w:r>
    </w:p>
    <w:p w:rsidR="000D4AEA" w:rsidRPr="00103C03" w:rsidRDefault="000D4AEA" w:rsidP="000D4AEA">
      <w:pPr>
        <w:widowControl w:val="0"/>
        <w:shd w:val="clear" w:color="auto" w:fill="FFFFFF"/>
        <w:autoSpaceDE w:val="0"/>
        <w:autoSpaceDN w:val="0"/>
        <w:adjustRightInd w:val="0"/>
        <w:spacing w:after="0" w:line="240" w:lineRule="auto"/>
        <w:rPr>
          <w:rFonts w:ascii="Garamond" w:eastAsia="Times New Roman" w:hAnsi="Garamond"/>
          <w:bCs/>
          <w:spacing w:val="-4"/>
          <w:sz w:val="24"/>
          <w:szCs w:val="24"/>
        </w:rPr>
      </w:pPr>
      <w:r w:rsidRPr="00103C03">
        <w:rPr>
          <w:rFonts w:ascii="Garamond" w:eastAsia="Times New Roman" w:hAnsi="Garamond"/>
          <w:bCs/>
          <w:spacing w:val="-4"/>
          <w:sz w:val="24"/>
          <w:szCs w:val="24"/>
        </w:rPr>
        <w:tab/>
        <w:t>4. Këshilli i Lartë Gjyqësor miraton me vendim rregulla të hollësishme për përmbajtjen, procedurën dhe administrimin e dosjeve të personelit, sipas pikës 1, të këtij neni, të dhënat që mbahen në to, si dhe mënyrën e mbajtjes, të hedhjes, të përditësimit dhe përdorimit të të dhënave.</w:t>
      </w:r>
    </w:p>
    <w:p w:rsidR="000D4AEA" w:rsidRPr="00103C03" w:rsidRDefault="000D4AEA" w:rsidP="000D4AEA">
      <w:pPr>
        <w:widowControl w:val="0"/>
        <w:shd w:val="clear" w:color="auto" w:fill="FFFFFF"/>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 xml:space="preserve">5. Të gjithë nëpunësit civilë gjyqësorë dhe punonjësit e tjerë të administratës gjyqësore kanë akses të pakufizuar në dosjen e tyre personale, e cila përmban të dhëna në përputhje me ligjin për mbrojtjen e </w:t>
      </w:r>
      <w:r w:rsidRPr="00103C03">
        <w:rPr>
          <w:rFonts w:ascii="Garamond" w:hAnsi="Garamond"/>
          <w:spacing w:val="-4"/>
          <w:sz w:val="24"/>
          <w:szCs w:val="24"/>
        </w:rPr>
        <w:lastRenderedPageBreak/>
        <w:t xml:space="preserve">të dhënave personale. </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SEKSIONI III</w:t>
      </w: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TË DREJTAT, DETYRIMET, VLERËSIMI I PUNËS, TRANSFERIMI</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64</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Të drejtat dhe detyrat e nëpunësit civil gjyqësor</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1. Nëpunësit civilë gjyqësorë gëzojnë të drejta dhe u nënshtrohen detyrimeve, sipas dispozitave të parashikuara në kapitullin e të drejtave dhe detyrimeve në shërbimin civil të ligjit “Për nëpunësin civil”, përveç kur në këtë ligj parashi</w:t>
      </w:r>
      <w:r>
        <w:rPr>
          <w:rFonts w:ascii="Garamond" w:hAnsi="Garamond"/>
          <w:spacing w:val="-4"/>
          <w:sz w:val="24"/>
          <w:szCs w:val="24"/>
        </w:rPr>
        <w:t>-</w:t>
      </w:r>
      <w:r w:rsidRPr="00103C03">
        <w:rPr>
          <w:rFonts w:ascii="Garamond" w:hAnsi="Garamond"/>
          <w:spacing w:val="-4"/>
          <w:sz w:val="24"/>
          <w:szCs w:val="24"/>
        </w:rPr>
        <w:t>kohet ndryshe.</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2. Nëpunësit civilë gjyqësorë kanë të drejtë të ankimojnë vendimet e Këshillit të Gjykatës në Gjykatën Administrative të Apelit.</w:t>
      </w:r>
    </w:p>
    <w:p w:rsidR="000D4AEA" w:rsidRPr="00103C03" w:rsidRDefault="000D4AEA" w:rsidP="000D4AEA">
      <w:pPr>
        <w:widowControl w:val="0"/>
        <w:spacing w:after="0" w:line="240" w:lineRule="auto"/>
        <w:rPr>
          <w:rFonts w:ascii="Garamond" w:hAnsi="Garamond"/>
          <w:strike/>
          <w:spacing w:val="-4"/>
          <w:sz w:val="24"/>
          <w:szCs w:val="24"/>
        </w:rPr>
      </w:pPr>
      <w:r w:rsidRPr="00103C03">
        <w:rPr>
          <w:rFonts w:ascii="Garamond" w:hAnsi="Garamond"/>
          <w:spacing w:val="-4"/>
          <w:sz w:val="24"/>
          <w:szCs w:val="24"/>
        </w:rPr>
        <w:tab/>
        <w:t>3. Vendimet e Këshillit të Lartë Gjyqësor për emërimin e kancelarëve, këshilltarëve dhe ndihmësve ligjorë ankimohen në përputhje me ligjin “Për organet e qeverisjes së sistemit të drejtësisë”.</w:t>
      </w:r>
    </w:p>
    <w:p w:rsidR="000D4AEA" w:rsidRPr="00103C03" w:rsidRDefault="000D4AEA" w:rsidP="000D4AEA">
      <w:pPr>
        <w:widowControl w:val="0"/>
        <w:shd w:val="clear" w:color="auto" w:fill="FFFFFF"/>
        <w:tabs>
          <w:tab w:val="left" w:pos="360"/>
          <w:tab w:val="left" w:pos="600"/>
        </w:tabs>
        <w:spacing w:after="0" w:line="240" w:lineRule="auto"/>
        <w:rPr>
          <w:rFonts w:ascii="Garamond" w:hAnsi="Garamond"/>
          <w:spacing w:val="-4"/>
          <w:sz w:val="24"/>
          <w:szCs w:val="24"/>
        </w:rPr>
      </w:pPr>
      <w:r w:rsidRPr="00103C03">
        <w:rPr>
          <w:rFonts w:ascii="Garamond" w:hAnsi="Garamond"/>
          <w:spacing w:val="-4"/>
          <w:sz w:val="24"/>
          <w:szCs w:val="24"/>
        </w:rPr>
        <w:tab/>
        <w:t xml:space="preserve">4. Këshilli i Ministrave miraton me vendim: </w:t>
      </w:r>
    </w:p>
    <w:p w:rsidR="000D4AEA" w:rsidRPr="00103C03" w:rsidRDefault="000D4AEA" w:rsidP="000D4AEA">
      <w:pPr>
        <w:widowControl w:val="0"/>
        <w:shd w:val="clear" w:color="auto" w:fill="FFFFFF"/>
        <w:tabs>
          <w:tab w:val="left" w:pos="360"/>
          <w:tab w:val="left" w:pos="600"/>
        </w:tabs>
        <w:spacing w:after="0" w:line="240" w:lineRule="auto"/>
        <w:rPr>
          <w:rFonts w:ascii="Garamond" w:hAnsi="Garamond"/>
          <w:spacing w:val="-4"/>
          <w:sz w:val="24"/>
          <w:szCs w:val="24"/>
        </w:rPr>
      </w:pPr>
      <w:r w:rsidRPr="00103C03">
        <w:rPr>
          <w:rFonts w:ascii="Garamond" w:hAnsi="Garamond"/>
          <w:spacing w:val="-4"/>
          <w:sz w:val="24"/>
          <w:szCs w:val="24"/>
        </w:rPr>
        <w:tab/>
        <w:t xml:space="preserve">a) rregulla mbi strukturën dhe rritjen e pagave për nëpunësit civilë gjyqësorë, përmes së cilës, skema e pagës duhet të jetë së paku e njëjtë me atë të kategorive përkatëse të nëpunësit civil; </w:t>
      </w:r>
    </w:p>
    <w:p w:rsidR="000D4AEA" w:rsidRPr="00103C03" w:rsidRDefault="000D4AEA" w:rsidP="000D4AEA">
      <w:pPr>
        <w:widowControl w:val="0"/>
        <w:shd w:val="clear" w:color="auto" w:fill="FFFFFF"/>
        <w:tabs>
          <w:tab w:val="left" w:pos="360"/>
          <w:tab w:val="left" w:pos="600"/>
        </w:tabs>
        <w:spacing w:after="0" w:line="240" w:lineRule="auto"/>
        <w:rPr>
          <w:rFonts w:ascii="Garamond" w:hAnsi="Garamond"/>
          <w:spacing w:val="-4"/>
          <w:sz w:val="24"/>
          <w:szCs w:val="24"/>
        </w:rPr>
      </w:pPr>
      <w:r w:rsidRPr="00103C03">
        <w:rPr>
          <w:rFonts w:ascii="Garamond" w:hAnsi="Garamond"/>
          <w:spacing w:val="-4"/>
          <w:sz w:val="24"/>
          <w:szCs w:val="24"/>
        </w:rPr>
        <w:tab/>
        <w:t>b) rregullat mbi kohëzgjatjen e punës, ditët pushim dhe lejen, orët jashtë orarit dhe shpërblimin e tyre, si dhe kompensimin e shpenzimeve për kryerjen e detyrës jashtë vendit të punës. Në përcaktimin e këtyre rregullave duhet të sigurohet që nëpunësi i shërbimit civil gjyqësor të trajtohet në mënyrë të barabartë me nëpunësin e shërbimit civil.</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5. Kancelari kandidat merr një shpërblim të barabartë me 50  për qind të pagës fillestare si kancelar gjatë kursit të formimit fillestar. Këshilli i Lartë Gjyqësor me vendim përcakton tri kategoritë e kancelarëve, në përputhje me ngarkesën dhe nivelin e çdo gjykate. Niveli më i lartë i pagës së kancelarit barazohet me “pagën për funksion” të drejtorit të drejtorisë së përgjithshme, niveli i mesëm barazohet me “pagën për funksion” të drejtorit të drejtorisë dhe niveli më i ulët me “pagën për funksion” të përgjegjësit të sektori në nivel ministrie. </w:t>
      </w:r>
    </w:p>
    <w:p w:rsidR="000D4AEA" w:rsidRPr="00103C03" w:rsidRDefault="000D4AEA" w:rsidP="000D4AEA">
      <w:pPr>
        <w:widowControl w:val="0"/>
        <w:shd w:val="clear" w:color="auto" w:fill="FFFFFF"/>
        <w:spacing w:after="0" w:line="240" w:lineRule="auto"/>
        <w:rPr>
          <w:rFonts w:ascii="Garamond" w:hAnsi="Garamond"/>
          <w:strike/>
          <w:spacing w:val="-4"/>
          <w:sz w:val="24"/>
          <w:szCs w:val="24"/>
        </w:rPr>
      </w:pPr>
      <w:r w:rsidRPr="00103C03">
        <w:rPr>
          <w:rFonts w:ascii="Garamond" w:hAnsi="Garamond"/>
          <w:spacing w:val="-4"/>
          <w:sz w:val="24"/>
          <w:szCs w:val="24"/>
        </w:rPr>
        <w:tab/>
        <w:t xml:space="preserve">6. Këshilltari dhe ndihmësi ligjor kandidat merr një shpërblim të barabartë me 50 për qind të pagës fillestare si këshilltar dhe ndihmës ligjor gjatë kursit të formimit fillestar. Ndihmësi ligjor, pas emërimit përfiton pagë, e cila është e njëjtë me pagën e funksionit të drejtorit të drejtorisë në ministri.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7. Kancelarët, këshilltarët dhe ndihmësit ligjorë kandidatë detyrohen të kthejnë të gjithë shpërblimin e marrë brenda tre vjetëve në rast se kandidati përjashtohet ose largohet nga shkolla ose në rast se kandidati nuk kërkon të caktohet në një pozicion brenda një viti nga përfundimi i arsimimit në Shkollën e Magjistraturës.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8. Kandidati detyrohet të kthejë 50 për qind të shpërblimit të marrë, brenda tre vjetëve nga përfundimi i arsimimit në Shkollën e Magjistraturës nëse: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kandidati nuk ka mundur të përmbushë kërkesat për t’u emëruar sipas nenit 53 të këtij ligji;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mandati i kancelarit, këshilltarit ose ndihmësit ligjor përfundon përpara plotësimit të të paktën pesë viteve në ushtrimin e detyrës. </w:t>
      </w:r>
    </w:p>
    <w:p w:rsidR="000D4AEA" w:rsidRPr="00103C03" w:rsidRDefault="000D4AEA" w:rsidP="000D4AEA">
      <w:pPr>
        <w:widowControl w:val="0"/>
        <w:shd w:val="clear" w:color="auto" w:fill="FFFFFF"/>
        <w:spacing w:after="0" w:line="240" w:lineRule="auto"/>
        <w:rPr>
          <w:rFonts w:ascii="Garamond" w:eastAsia="Times New Roman" w:hAnsi="Garamond"/>
          <w:strike/>
          <w:spacing w:val="-4"/>
          <w:sz w:val="24"/>
          <w:szCs w:val="24"/>
        </w:rPr>
      </w:pPr>
      <w:r w:rsidRPr="00103C03">
        <w:rPr>
          <w:rFonts w:ascii="Garamond" w:eastAsia="Times New Roman" w:hAnsi="Garamond"/>
          <w:spacing w:val="-4"/>
          <w:sz w:val="24"/>
          <w:szCs w:val="24"/>
        </w:rPr>
        <w:tab/>
        <w:t xml:space="preserve">9. Për shkaqe shëndetësore ose për shkaqe të tjera të justifikuara, miratuar me vendim nga Këshilli Drejtues i Shkollës së Magjistraturës, detyrimi për kthimin e shumës së përfituar të bursës së shkollimit, sipas parashikimeve të pikës 8, të këtij neni, nuk zbatohet për kandidatin.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10. Nëpunësi civil gjyqësor në gjykatat e posaçme për gjykimin e veprave penale të korrupsionit dhe krimit të organizuar përfiton shtesë për vështirësi në masën 10 për qind të pagës përkatëse.  </w:t>
      </w: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65</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Vlerësimi i veprimtarisë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Veprimtaria e çdo nëpunësi civil vlerësohet periodikisht të paktën çdo dy vjet, nga data e </w:t>
      </w:r>
      <w:r w:rsidRPr="00103C03">
        <w:rPr>
          <w:rFonts w:ascii="Garamond" w:hAnsi="Garamond"/>
          <w:spacing w:val="-4"/>
          <w:sz w:val="24"/>
          <w:szCs w:val="24"/>
        </w:rPr>
        <w:lastRenderedPageBreak/>
        <w:t xml:space="preserve">fillimit të ushtrimit të detyrës në vendin përkatës, sipas këtyre kritereve: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njohuritë profesionale dhe aftësitë teknike; </w:t>
      </w:r>
    </w:p>
    <w:p w:rsidR="000D4AEA" w:rsidRPr="00103C03" w:rsidRDefault="000D4AEA" w:rsidP="000D4AEA">
      <w:pPr>
        <w:widowControl w:val="0"/>
        <w:shd w:val="clear" w:color="auto" w:fill="FFFFFF"/>
        <w:spacing w:after="0" w:line="240" w:lineRule="auto"/>
        <w:rPr>
          <w:rFonts w:ascii="Garamond" w:hAnsi="Garamond"/>
          <w:strike/>
          <w:spacing w:val="-4"/>
          <w:sz w:val="24"/>
          <w:szCs w:val="24"/>
        </w:rPr>
      </w:pPr>
      <w:r w:rsidRPr="00103C03">
        <w:rPr>
          <w:rFonts w:ascii="Garamond" w:hAnsi="Garamond"/>
          <w:spacing w:val="-4"/>
          <w:sz w:val="24"/>
          <w:szCs w:val="24"/>
        </w:rPr>
        <w:tab/>
        <w:t xml:space="preserve">b) përkushtimi në punë;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etika në punë.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Kryetari i gjykatës njofton nëpunësin civil gjyqësor për fillimin e procesit të vlerësimit dhe i kërkon atij vetëvlerësimin dy muaj para përfundimit të periudhës dyvjeçare të vlerësimit. Nëpunësit civilë gjyqësorë bëjnë vetëvlerësimin brenda dy javëve nga data e marrjes së njoftimit përkatës. Nëpërmjet vetëvlerësimit, nëpunësi civil gjyqësor përshkruan veprimtaritë, identifikon nevojat për trajnim, sugjeron përmirësim të kushteve të punës dhe masa për zhvillimin e tij/saj profesional, identifikon dobësitë dhe përparësitë në lidhje me çdo kriter vlerësimi.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Kryetari i gjykatës njofton të gjithë eprorët të paraqesin, brenda dy javëve nga data e njoftimit, mendim me shkrim për punën e nëpunësit civil gjyqësor, sipas kritereve të vlerësimit.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Nëpunësi civil gjyqësor që vlerësohet dhe eprori paraqesin aktet e vlerësimit te kryetari i gjykatës, i cili është përgjegjës për të hartuar projektraportin e vlerësimit, brenda katër javëve pas njoftimit të nëpunësit civil gjyqësor. Me finalizimin e projektraportit të vlerësimit, nëpunësi civil gjyqësor njoftohet dhe ka të drejtë të ketë akses në dosjen e vlerësimit.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Nëpunësi civil gjyqësor ka të drejtën të kundërshtojë me shkrim projektraportin e vlerësimit, brenda dy javëve nga marrja e tij.</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Kryetari i gjykatës i paraqet Këshillit të Gjykatës projektvendimin e vlerësimit, projektraportin e vlerësimit, së bashku me vetëvlerësimin, mendimin me shkrim të të gjithë mbikëqyrësve dhe, sipas rastit, çdo kundërshtim, sipas pikës 5 të këtij neni.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7. Këshilli i Gjykatës mund të vendosë të dëgjojë nëpunësin civil gjyqësor që vlerësohet dhe të diskutojë rastin, duke vendosur në përfundim vlerësimin me një nga këto nivele: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“Shumë mirë”;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“Mirë”;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“Kënaqshëm”;</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ç) “Jokënaqshëm”.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8. Këshilli i Gjykatës arsyeton rregullisht me shkrim vendimin dhe njofton nëpunësin civil gjyqësor brenda tri ditëve nga marrja e tij.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9. Në rast se vendimi i Këshillit të Gjykatës cakton vlerësimin më pak se “mirë”, nëpunësi civil gjyqësor ka të drejtë të ankimojë vendimin brenda 15 ditëve nga marrja e njoftimit për vendimin në gjykatën kompetente vetëm për çështje të ligjit për shkak të moszbatimit të njëjtë të tij.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10. Në rastin e një nëpunësi civil gjyqësor në periudhë prove, veprimtaria e tij vlerësohet për një periudhë prej gjashtë muajsh.</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11. Këshilli i Lartë Gjyqësor miraton me vendim rregulla të mëtejshme për treguesit e kritereve që lidhen me kriteret e vlerësimit, burimet dhe procedurën e vlerësimit.</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66</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Transferimi i nëpunësve civilë gjyqësorë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Dispozitat e parashikuara në ligjin “Për nëpunësin civil” për transferimin e përkohshëm dhe të përhershëm aplikohen për aq sa gjejnë zbatim, përveçse kur në këtë ligj parashikohet ndryshe.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Transferimi mund të zbatohet vetëm brenda shërbimit civil gjyqësor. Nëpunësi civil gjyqësor mund edhe të transferohet përkohësisht për nevojat e gjykatës ose shtetit, në pozicionet që i përshtaten profilit të punës, në një organizatë ndërkombëtare, në të cilën Republika e Shqipërisë është anëtare ose në një institucion ndërkombëtar.</w:t>
      </w:r>
    </w:p>
    <w:p w:rsidR="000D4AEA" w:rsidRPr="00103C03" w:rsidRDefault="000D4AEA" w:rsidP="000D4AEA">
      <w:pPr>
        <w:widowControl w:val="0"/>
        <w:shd w:val="clear" w:color="auto" w:fill="FFFFFF"/>
        <w:spacing w:after="0" w:line="240" w:lineRule="auto"/>
        <w:rPr>
          <w:rFonts w:ascii="Garamond" w:hAnsi="Garamond"/>
          <w:strike/>
          <w:spacing w:val="-4"/>
          <w:sz w:val="24"/>
          <w:szCs w:val="24"/>
        </w:rPr>
      </w:pPr>
      <w:r w:rsidRPr="00103C03">
        <w:rPr>
          <w:rFonts w:ascii="Garamond" w:hAnsi="Garamond"/>
          <w:spacing w:val="-4"/>
          <w:sz w:val="24"/>
          <w:szCs w:val="24"/>
        </w:rPr>
        <w:tab/>
        <w:t xml:space="preserve">3. Këshilli i Gjykatës, në të cilën nëpunësi civil gjyqësor transferohet, është kompetent për dhënien e vendimit të transferimit. Në rast transferimi në institucione të ndryshme nga gjykata, organi </w:t>
      </w:r>
      <w:r w:rsidRPr="00103C03">
        <w:rPr>
          <w:rFonts w:ascii="Garamond" w:hAnsi="Garamond"/>
          <w:spacing w:val="-4"/>
          <w:sz w:val="24"/>
          <w:szCs w:val="24"/>
        </w:rPr>
        <w:lastRenderedPageBreak/>
        <w:t xml:space="preserve">kompetent që vendos për transferimin është Këshilli i Gjykatës në të cilën është i punësuar nëpunësi civil gjyqësor. Në rastin e kancelarit, këshilltarit dhe ndihmësit ligjor, organi kompetent që vendos për transferimin është Këshilli i Lartë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Këshilli i Gjykatës njofton Këshillin e Lartë Gjyqësor në rastet kur nëpunësi civil gjyqësor kërkon transferimin në një institucion tjetër të shërbimit civil gjyqësor për shkak të: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arsyeve mjekësore ose gjatë shtatzënisë;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paaftësisë shëndetësore;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shmangies së një situate të vazhdueshme të konfliktit të interesit.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Këshilli i Lartë Gjyqësor regjistron nëpunësin civil gjyqësor në listë deri në sistemimin e tij/saj në një pozicion të përshtatshëm. Dispozitat për efektet e pezullimit zbatohen për aq sa është e mundur.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Në rast të mbylljes ose riorganizimit të strukturës së gjykatës, Këshilli i Lartë Gjyqësor ngre Komisionin e Ristrukturimit, sipas ligjit “Për nëpunësin civil”. Komisioni i Ristrukturimit drejtohet nga një përfaqësues i Këshillit të Lartë Gjyqësor dhe kryetarët dhe kancelarët e gjykatave që i nënshtrohen procedurës së riorganizimit.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7. Këshilli i Lartë Gjyqësor miraton me vendim rregulla më të hollësishme për procedurën e transferimit. </w:t>
      </w:r>
    </w:p>
    <w:p w:rsidR="000D4AEA" w:rsidRPr="00E76564" w:rsidRDefault="000D4AEA" w:rsidP="000D4AEA">
      <w:pPr>
        <w:pStyle w:val="Hapesira7"/>
        <w:rPr>
          <w:spacing w:val="-4"/>
          <w:sz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SEKSIONI IV</w:t>
      </w: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PEZULLIMI DHE PËRGJEGJËSIA DISIPLINORE</w:t>
      </w:r>
    </w:p>
    <w:p w:rsidR="000D4AEA" w:rsidRPr="00E76564" w:rsidRDefault="000D4AEA" w:rsidP="000D4AEA">
      <w:pPr>
        <w:pStyle w:val="Hapesira7"/>
        <w:rPr>
          <w:spacing w:val="-4"/>
          <w:sz w:val="8"/>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67</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Pezullimi nga shërbimi civil gjyqësor</w:t>
      </w:r>
    </w:p>
    <w:p w:rsidR="000D4AEA" w:rsidRPr="00E76564" w:rsidRDefault="000D4AEA" w:rsidP="000D4AEA">
      <w:pPr>
        <w:pStyle w:val="Hapesira7"/>
        <w:rPr>
          <w:spacing w:val="-4"/>
          <w:sz w:val="10"/>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Dispozitat e parashikuara në ligjin “Për nëpunësin civil” për pezullimin nga shërbimi civil, aplikohen për nëpunësit civilë gjyqësorë për aq sa gjejnë zbatim, përveçse kur në këtë ligj parashi</w:t>
      </w:r>
      <w:r>
        <w:rPr>
          <w:rFonts w:ascii="Garamond" w:hAnsi="Garamond"/>
          <w:spacing w:val="-4"/>
          <w:sz w:val="24"/>
          <w:szCs w:val="24"/>
        </w:rPr>
        <w:t>-</w:t>
      </w:r>
      <w:r w:rsidRPr="00103C03">
        <w:rPr>
          <w:rFonts w:ascii="Garamond" w:hAnsi="Garamond"/>
          <w:spacing w:val="-4"/>
          <w:sz w:val="24"/>
          <w:szCs w:val="24"/>
        </w:rPr>
        <w:t>kohet ndryshe.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Organi kompetent për deklarimin e pezullimit është Këshilli i Lartë Gjyqësor për kancelarin, këshilltarin dhe ndihmësin ligjor dhe Këshilli i Gjykatës për nëpunësit e tjerë civilë gjyqësorë.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Në rast pezullimi, sipas një kërkese të motivuar për shkak të një interesi tjetër të ligjshëm të nëpunësit civil gjyqësor, organi kompetent mund të vendosë pezullimin për një periudhë deri në dy vjet, në përputhje me rregullat e nxjerra nga Këshilli i Lartë Gjyqësor. </w:t>
      </w:r>
    </w:p>
    <w:p w:rsidR="000D4AEA" w:rsidRPr="00E76564" w:rsidRDefault="000D4AEA" w:rsidP="000D4AEA">
      <w:pPr>
        <w:pStyle w:val="Hapesira7"/>
        <w:rPr>
          <w:spacing w:val="-4"/>
          <w:sz w:val="10"/>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68</w:t>
      </w:r>
    </w:p>
    <w:p w:rsidR="000D4AEA" w:rsidRPr="00103C03" w:rsidRDefault="000D4AEA" w:rsidP="000D4AEA">
      <w:pPr>
        <w:widowControl w:val="0"/>
        <w:autoSpaceDE w:val="0"/>
        <w:autoSpaceDN w:val="0"/>
        <w:adjustRightInd w:val="0"/>
        <w:spacing w:after="0" w:line="240" w:lineRule="auto"/>
        <w:jc w:val="center"/>
        <w:rPr>
          <w:rFonts w:ascii="Garamond" w:hAnsi="Garamond"/>
          <w:b/>
          <w:spacing w:val="-4"/>
          <w:sz w:val="24"/>
          <w:szCs w:val="24"/>
        </w:rPr>
      </w:pPr>
      <w:r w:rsidRPr="00103C03">
        <w:rPr>
          <w:rFonts w:ascii="Garamond" w:hAnsi="Garamond"/>
          <w:b/>
          <w:spacing w:val="-4"/>
          <w:sz w:val="24"/>
          <w:szCs w:val="24"/>
        </w:rPr>
        <w:t>Efektet e pezullimit</w:t>
      </w:r>
    </w:p>
    <w:p w:rsidR="000D4AEA" w:rsidRPr="00E76564" w:rsidRDefault="000D4AEA" w:rsidP="000D4AEA">
      <w:pPr>
        <w:pStyle w:val="Hapesira7"/>
        <w:rPr>
          <w:spacing w:val="-4"/>
          <w:sz w:val="10"/>
        </w:rPr>
      </w:pP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1. Gjatë periudhës së pezullimit, nëpunësi civil gjyqësor nuk përfiton pagë, përveç rasteve kur parashikohet ndryshe në këtë ligj.</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2. Nëpunësi civil gjyqësor përfiton pagën e plotë kur pezullohet vetëm në këto raste:</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a) në rastin e procedimit disiplinor;</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b) në rastin ku pezullimi është vendosur si masë ndaluese nga gjykata;</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c) nëse krijohet një situatë e vazhdueshme konflikti interesi që deklarohet në kohën dhe mënyrën e duhur, sipas ligjit për parandalimin e konfliktit të interesave, deri në transferimin përfundimtar në një pozicion tjetër;</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ç) gjatë ndjekjes së programit të formimit fillestar.</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3. Nëpunësi civil gjyqësor duhet të kthejë shumën prej 50 për qind të pagës së përfituar gjatë periudhës së pezullimit, bazuar në një procedurë të papërfunduar disiplinore ose penale në rastet kur:</w:t>
      </w:r>
    </w:p>
    <w:p w:rsidR="000D4AEA" w:rsidRPr="00103C03" w:rsidRDefault="000D4AEA" w:rsidP="000D4AEA">
      <w:pPr>
        <w:widowControl w:val="0"/>
        <w:autoSpaceDE w:val="0"/>
        <w:autoSpaceDN w:val="0"/>
        <w:adjustRightInd w:val="0"/>
        <w:spacing w:after="0" w:line="240" w:lineRule="auto"/>
        <w:rPr>
          <w:rFonts w:ascii="Garamond" w:hAnsi="Garamond"/>
          <w:strike/>
          <w:spacing w:val="-4"/>
          <w:sz w:val="24"/>
          <w:szCs w:val="24"/>
        </w:rPr>
      </w:pPr>
      <w:r w:rsidRPr="00103C03">
        <w:rPr>
          <w:rFonts w:ascii="Garamond" w:hAnsi="Garamond"/>
          <w:spacing w:val="-4"/>
          <w:sz w:val="24"/>
          <w:szCs w:val="24"/>
        </w:rPr>
        <w:tab/>
        <w:t>a) është larguar nga detyra me vendim përfun</w:t>
      </w:r>
      <w:r>
        <w:rPr>
          <w:rFonts w:ascii="Garamond" w:hAnsi="Garamond"/>
          <w:spacing w:val="-4"/>
          <w:sz w:val="24"/>
          <w:szCs w:val="24"/>
        </w:rPr>
        <w:t>-</w:t>
      </w:r>
      <w:r w:rsidRPr="00103C03">
        <w:rPr>
          <w:rFonts w:ascii="Garamond" w:hAnsi="Garamond"/>
          <w:spacing w:val="-4"/>
          <w:sz w:val="24"/>
          <w:szCs w:val="24"/>
        </w:rPr>
        <w:t xml:space="preserve">dimtar, në kuadër të procedimit disiplinor përkatës; </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b) është shpallur fajtor për kryerjen e një vepre penale në çështjen përkatëse, me vendim përfundimtar.</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4. Këshilli i Lartë Gjyqësor miraton rregulla më të hollësishme për efektet e pezullimit.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lastRenderedPageBreak/>
        <w:t>Neni 69</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Përgjegjësia disiplinore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Organi kompetent për propozimin e masave disiplinore është: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kancelari i gjykatës  për nëpunësit civilë gjyqësorë që ushtrojnë detyrën në gjykatën përkatëse, me përjashtim të këshilltarit dhe ndihmësit ligjor;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kryetari i gjykatës për kancelarin, këshilltarin dhe ndihmësin ligjor.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Organi kompetent për të caktuar masat disiplinore është: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a) Këshilli i Lartë Gjyqësor për kancelarin, këshilltarin dhe ndihmësin ligjor;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Këshilli i Gjykatës për nëpunësit e tjerë civilë gjyqësorë.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Rregullimet e parashikuara në ligjin “Për nëpunësin civil”, për përgjegjësinë disiplinore, aplikohen për aq sa gjejnë zbatim për nëpunësit civilë gjyqësorë, përveç kur parashikohet ndryshe në këtë ligj.</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Përveç shkeljeve disiplinore të renditura në ligjin “Për nëpunësin civil”, kancelari mban përgjegjësi edhe për mënyrën e ushtrimit të detyrave si anëtar i Këshillit të Gjykatës, si dhe për votimin haptazi në kundërshtim me faktet ose ligjin.</w:t>
      </w:r>
    </w:p>
    <w:p w:rsidR="000D4AEA" w:rsidRPr="00103C03" w:rsidRDefault="000D4AEA" w:rsidP="000D4AEA">
      <w:pPr>
        <w:widowControl w:val="0"/>
        <w:autoSpaceDE w:val="0"/>
        <w:autoSpaceDN w:val="0"/>
        <w:adjustRightInd w:val="0"/>
        <w:spacing w:after="0" w:line="240" w:lineRule="auto"/>
        <w:jc w:val="center"/>
        <w:rPr>
          <w:rFonts w:ascii="Garamond" w:hAnsi="Garamond"/>
          <w:bCs/>
          <w:spacing w:val="-4"/>
          <w:sz w:val="24"/>
          <w:szCs w:val="24"/>
        </w:rPr>
      </w:pPr>
      <w:r w:rsidRPr="00103C03">
        <w:rPr>
          <w:rFonts w:ascii="Garamond" w:hAnsi="Garamond"/>
          <w:bCs/>
          <w:spacing w:val="-4"/>
          <w:sz w:val="24"/>
          <w:szCs w:val="24"/>
        </w:rPr>
        <w:t>Neni 70</w:t>
      </w:r>
    </w:p>
    <w:p w:rsidR="000D4AEA" w:rsidRPr="00103C03" w:rsidRDefault="000D4AEA" w:rsidP="000D4AEA">
      <w:pPr>
        <w:widowControl w:val="0"/>
        <w:autoSpaceDE w:val="0"/>
        <w:autoSpaceDN w:val="0"/>
        <w:adjustRightInd w:val="0"/>
        <w:spacing w:after="0" w:line="240" w:lineRule="auto"/>
        <w:jc w:val="center"/>
        <w:rPr>
          <w:rFonts w:ascii="Garamond" w:hAnsi="Garamond"/>
          <w:b/>
          <w:bCs/>
          <w:spacing w:val="-4"/>
          <w:sz w:val="24"/>
          <w:szCs w:val="24"/>
        </w:rPr>
      </w:pPr>
      <w:r w:rsidRPr="00103C03">
        <w:rPr>
          <w:rFonts w:ascii="Garamond" w:hAnsi="Garamond"/>
          <w:b/>
          <w:bCs/>
          <w:spacing w:val="-4"/>
          <w:sz w:val="24"/>
          <w:szCs w:val="24"/>
        </w:rPr>
        <w:t>Afatet e parashkrimit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trike/>
          <w:spacing w:val="-4"/>
          <w:sz w:val="24"/>
          <w:szCs w:val="24"/>
        </w:rPr>
      </w:pPr>
      <w:r w:rsidRPr="00103C03">
        <w:rPr>
          <w:rFonts w:ascii="Garamond" w:hAnsi="Garamond"/>
          <w:spacing w:val="-4"/>
          <w:sz w:val="24"/>
          <w:szCs w:val="24"/>
        </w:rPr>
        <w:tab/>
        <w:t xml:space="preserve">1. Me kalimin e afatit dyvjeçar nga data në të cilën ka ndodhur shkelja e pretenduar, hetimet për shkeljen e pretenduar ndaj nëpunësit civil gjyqësor nuk mund të fillojnë.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Afati i parashkrimit fillon në momentin e përfundimit të shkeljes.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Afati i parashkrimit ndërpritet nëse ekzistojnë shkaqe të arsyeshme për të dyshuar se nëpunësi civil gjyqësor mund të jetë përfshirë në një shkelje tjetër të së njëjtës natyrë të kryer brenda afatit të parashkrimit. Në këtë rast, afati fillon në momentin e përfundimit të shkeljes së re. Në çdo rast, parashkrimi nuk zgjatet më shumë se një vit.</w:t>
      </w:r>
    </w:p>
    <w:p w:rsidR="000D4AEA"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 xml:space="preserve">4. Pavarësisht parashikimeve të bëra në pikat 1, 2 dhe 3, të këtij neni, shkelje që njëkohësisht janë vepra penale, kanë të njëjtin afat parashkrimi sipas parashikimeve në Kodin Penal.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Afati i parashkrimit pezullohet gjatë kohës së procedimit penal, procedurës civile ose procedurës administrative në lidhje me të njëjtin nëpunës civil gjyqësor, nëse e njëjta shkelje është objekt i këtyre procedurave.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Me fillimin e hetimit, afati i parashkrimit nuk vazhdon të ecë më. Hetimi fillon sipas këtij neni në datën e marrjes së ankesës ose në atë të marrjes së informacionit që justifikon fillimin e hetimit kryesisht nga organi i lartë hetues. </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71</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Afatet për fillimin e hetimit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Organi kompetent për propozimin e masës disiplinore vendos për arkivimin e ankesës ose fillimin e hetimit për shkeljen e pretenduar, brenda gjashtë muajve nga marrja e ankesës ose nga marrja e informacionit dhe fakteve të rëndësishme.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Organi kompetent i paraqet propozimin organit kompetent për caktimin e masës disiplinore ose miraton me vendim mbylljen e hetimit brenda gjashtë muajve nga vendimi për fillimin e hetimit.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Organi kompetent për propozimin e masave disiplinore mund të vendosë shtyrjen e afatit gjashtëmujor të hetimit, sipas pikës 2, të këtij neni, edhe me gjashtë muaj të tjerë, në rastet e mëposhtme: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kur nëpunësi civil gjyqësor është i sëmurë ose kur nuk mund të paraqitet për shkaqe të justifikuara;</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kur vendoset zgjerimi i hetimit ose kur ndryshon shkaku ligjor i hetimit;</w:t>
      </w:r>
      <w:r w:rsidRPr="00103C03">
        <w:rPr>
          <w:rFonts w:ascii="Garamond" w:hAnsi="Garamond"/>
          <w:strike/>
          <w:spacing w:val="-4"/>
          <w:sz w:val="24"/>
          <w:szCs w:val="24"/>
        </w:rPr>
        <w:t xml:space="preserv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lastRenderedPageBreak/>
        <w:tab/>
        <w:t>c) në raste të tjera komplekse.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Në rast se pas përfundimit të afatit të hetimit, të përcaktuar në pikën 2 ose 3, të këtij neni, zbulohen prova të reja, të cilat tregojnë në mënyrë të arsyeshme se shkelja ka ndodhur, organi kompetent rihap hetimin, me kusht që afati i parashkrimit të mos ketë përfunduar, sipas përcaktimeve të nenit 70, pikat 1 dhe 4, të këtij ligji. Organi kompetent paraqet propozimin për caktimin e masës disiplinore ose miraton me vendim mbylljen e hetimit brenda gjashtë muajve nga vendimi për rifillimin e hetimit.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5. Në rast se organi kompetent, nuk vepron brenda afateve të parashikuara në pikat 2 deri 4, të këtij neni, nëpunësi civil gjyqësor ka të drejtë të ankimojë mosveprimin administrativ në Këshillin e Lartë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6. Afatet e përcaktuara në pikat 1 dhe 2, të këtij neni, mund të pezullohen sipas parashikimeve të nenit 76 të këtij ligji.</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72</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Fillimi i hetimit disiplinor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Kushdo mund të paraqesë ankesë ndaj nëpunësit civil gjyqësor.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Kushdo që mbikëqyr nëpunësin civil gjyqësor ose çdo organ publik me kompetenca kontrolli administrativ, financiar ose auditimi, mund t’i drejtohet me shkresë organit kompetent, sipas nenit 69, pika 1, të këtij ligji, për fillimin e hetimit disiplinor, duke i parashtruar pretendimet për shkelje të detyrimeve të nëpunësve civilë gjyqësorë së bashku me provat.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Organi kompetent, sipas parashikimeve të nenit 69, pika 1, të këtij ligji, verifikon pretendimet. Nëse ekzistojnë shkaqe të arsyeshme, sipas të cilave vlerësohet se shkelja ka ndodhur, organi kompetent duhet të fillojë hetimin për shkeljen e pretenduar. Nëse vlerësohet e nevojshme, organi kompetent mbledh prova të tjera, merr në pyetje dëshmitarë ose pyet mbikëqyrësit për konstatimet e tyre.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Nëse nuk ekzistojnë shkaqe të arsyeshme për të vlerësuar se shkelja ka ndodhur, organi kompetent e arkivon ankesën ose kërkesën që është haptazi e pabazuar.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Organi kompetent, i përcaktuar sipas pikës 1, të nenit 69, të këtij ligji, përgatit raportin e hetimit, i cili përmbledh faktet, listën e provave dhe rëndësinë e tyre, si dhe konkluzionet që argumentojnë nëse këto fakte mund të përbëjnë shkelje të detyrimeve të nëpunësve civilë gjyqësorë, sipas ligjit “Për nëpunësin civil”.</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6. Organi kompetent, i përcaktuar sipas pikës 1, të nenit 69, të këtij ligji, i paraqet propozim për caktimin e masës disiplinore ose propozim për mbylljen e hetimit organit kompetent, të përcaktuar në pikën 2, të nenit 69, të këtij ligji.</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73</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Të drejtat e nëpunësit civil gjyqësor gjatë hetimit disiplinor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Organi kompetent, sipas parashikimeve të pikës 1, të nenit 69, të këtij ligji, njofton nëpunësin civil gjyqësor për arkivimin ose fillimin e hetimit disiplinor, duke i dhënë informacion për preten</w:t>
      </w:r>
      <w:r>
        <w:rPr>
          <w:rFonts w:ascii="Garamond" w:hAnsi="Garamond"/>
          <w:spacing w:val="-4"/>
          <w:sz w:val="24"/>
          <w:szCs w:val="24"/>
        </w:rPr>
        <w:t>-</w:t>
      </w:r>
      <w:r w:rsidRPr="00103C03">
        <w:rPr>
          <w:rFonts w:ascii="Garamond" w:hAnsi="Garamond"/>
          <w:spacing w:val="-4"/>
          <w:sz w:val="24"/>
          <w:szCs w:val="24"/>
        </w:rPr>
        <w:t>dimet dhe provat përkatëse, si dhe duke e informuar atë për të drejtat e tij.</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Nëpunësi civil gjyqësor ka të drejtë të njihet me dosjen disiplinore, të përfaqësohet nga i përfaqësuari, sipas parashikimeve në ligjin “Për nëpunësin civil”, të paraqesë deklaratë dhe prova brenda një muaji nga marrja e njoftimit për vendimin e arkivimit dhe fillimit të hetimit.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Organi kompetent njofton nëpunësin civil gjyqësor dhe kërkuesin ose organin që e ka drejtuar kërkesën, lidhur me vendimin për mbylljen e hetimit.</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74</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Procedura disiplinore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Organi kompetent, sipas pikës 2, të nenit 69, të këtij ligji, e rrëzon kërkesën për fillimin e </w:t>
      </w:r>
      <w:r w:rsidRPr="00103C03">
        <w:rPr>
          <w:rFonts w:ascii="Garamond" w:hAnsi="Garamond"/>
          <w:spacing w:val="-4"/>
          <w:sz w:val="24"/>
          <w:szCs w:val="24"/>
        </w:rPr>
        <w:lastRenderedPageBreak/>
        <w:t>procedimit disiplinor pa seancë dëgjimore, nëse nuk janë paraqitur shkaqe për kërkesën, nëse ka arsye për mbylljen e hetimit ose nëse në momentin e fillimit të hetimit afati i parashkrimit ka kaluar.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Në raste të tjera, organi kompetent, sipas parashikimeve të pikës 2, të nenit 69, të këtij ligji, cakton seancën dëgjimore jo më vonë se një muaj nga data e marrjes së kërkesës për caktimin e masës disiplinore.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Nëpunësi civil gjyqësor ka të drejtë të dëgjohet, të paraqesë deklarata dhe prova të tjera, si dhe të përfaqësohet.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Organi kompetent, sipas pikës 1, të nenit 69, të këtij ligji, paraqet përfundimet e hetimit gjatë seancës disiplinore.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Organi kompetent, sipas pikës 2, të nenit 69, të këtij ligji, shqyrton dhe vendos për propozimin.</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75</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Kriteret për caktimin e masave disiplinore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Në rast se provohet shkelja disiplinore, organi kompetent, sipas nenit 69, pika 2, të këtij ligji cakton një masë disiplinore, sipas parashikimeve të ligjit “Për nëpunësin civil”, duke marrë parasysh rrethanat lehtësuese dhe rënduese dhe parimin e proporcionalitetit.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Në caktimin e masës, merren parasysh rrethanat rënduese në vijim kur: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shkelja kryhet më shumë se një herë;</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b) shkelja ka zgjatur në kohë;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c) shkelja kryhet për shkak të motiveve diskriminuese;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ç) shkelja kryhet për motive të tjera të dobëta, të paraqitura para organit kompetent, të cilat duhen ndëshkuar;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 nëpunësi civil gjyqësor nxit të tjerët të kryejnë shkelje ose veprime të paligjshme;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dh) shkelja kryhet duke shfrytëzuar dobësitë e të tjerëve;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e) ekziston çdo rrethanë tjetër, për të cilën organi kompetent çmon se rëndon shkeljen e kryer.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Në caktimin e masës, duhet të merren parasysh rrethanat lehtësuese në vijim: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a) nëpunësi civil gjyqësor e kryen shkeljen për herë të parë;</w:t>
      </w:r>
      <w:r w:rsidRPr="00103C03">
        <w:rPr>
          <w:rFonts w:ascii="Garamond" w:hAnsi="Garamond"/>
          <w:spacing w:val="-4"/>
          <w:sz w:val="24"/>
          <w:szCs w:val="24"/>
        </w:rPr>
        <w:tab/>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b) nëpunësi civil gjyqësor ka vepruar nën ndikimin e një pale të tretë, për shkak të besimit ose frikës;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c) shkelja e nëpunësit civil gjyqësor ka pasur ndikim të pakët, duke marrë parasysh në tërësi rrethanat e çështjes;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ç) nëpunësi civil gjyqësor bashkëpunon në hetimin dhe procedimin disiplinor, duke përfshirë dhe rastet kur pranon shkeljen e kryer ose jep informacione që ndihmojnë në hetimin dhe procedimin disiplinor;</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 nëpunësi civil gjyqësor ka zëvendësuar dëmin e shkaktuar nga shkelja ose ka ndihmuar për të zhdukur ose pakësuar pasojat e saj;</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dh) shkelja ka ndodhur shumë kohë më parë;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e) ekziston çdo rrethanë tjetër që organi kompetent e çmon se lehtëson shkeljen e kryer.</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bCs/>
          <w:spacing w:val="-4"/>
          <w:sz w:val="24"/>
          <w:szCs w:val="24"/>
        </w:rPr>
      </w:pPr>
      <w:r w:rsidRPr="00103C03">
        <w:rPr>
          <w:rFonts w:ascii="Garamond" w:hAnsi="Garamond"/>
          <w:bCs/>
          <w:spacing w:val="-4"/>
          <w:sz w:val="24"/>
          <w:szCs w:val="24"/>
        </w:rPr>
        <w:t>Neni 76</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bCs/>
          <w:spacing w:val="-4"/>
          <w:sz w:val="24"/>
          <w:szCs w:val="24"/>
        </w:rPr>
      </w:pPr>
      <w:r w:rsidRPr="00103C03">
        <w:rPr>
          <w:rFonts w:ascii="Garamond" w:hAnsi="Garamond"/>
          <w:b/>
          <w:bCs/>
          <w:spacing w:val="-4"/>
          <w:sz w:val="24"/>
          <w:szCs w:val="24"/>
        </w:rPr>
        <w:t>Pezullimi i hetimeve dhe procedurës disiplinore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1. Organi kompetent, sipas këtij ligji, duhet të pezullojë hetimin ose procedurën disiplinore nëse janë duke u kryer procedura penale, administrative ose civile: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a) në të cilat, njëra nga palët është nëpunësi civil gjyqësor që i atribuohet shkelja;</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b) shkelja e dyshuar lidhet me të njëjtat fakte.</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2. Hetimi ose procedura disiplinore pezullohet deri në dhënien e vendimit gjyqësor përfundimtar.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lastRenderedPageBreak/>
        <w:tab/>
        <w:t>3. Kërkuesi, nëpunësi civil gjyqësor përkatës, gjykatat dhe prokuroritë duhet të njoftohen me shkrim për vendimin e pezullimit. Gjykatat dhe prokuroritë e interesuara duhet të dorëzojnë pa vonesë çdo vendim që është marrë për procedurat përkatëse.</w:t>
      </w:r>
    </w:p>
    <w:p w:rsidR="000D4AEA"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 xml:space="preserve">4. Vendimi përfundimtar për pafajësinë ose rrëzimin e kërkimeve ndaj nëpunësit civil gjyqësor, në kuadër të një procesi penal, administrativ ose civil nuk përjashton hetimin ose caktimin e përgjegjësisë disiplinore të nëpunësit civil gjyqësor.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5. Organi kompetent u referohet vetëm fakteve, mbi të cilat bazohet vendimi përfundimtar, dhe jo dënimit ose pafajësisë së dhënë në vendim.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6. Pezullimi i hetimeve ose procedurës disiplinore ndërpret afatet e parashkrimit, të parashikuara në nenin 70, dhe afatet për organin kompetent, të parashikuara në nenin 71 të këtij ligji.</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7. Vendimi për pezullimin e hetimit nuk ankimohet.</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77</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Pezullimi nga detyra gjatë hetimit ose procedimit disiplinor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Nëse ekzistojnë shkaqe për të vlerësuar se ushtrimi i detyrave nga nëpunësi civil gjyqësor, ndaj të cilit ka filluar hetimi ose procedura disiplinore, mund të dëmtojë procedurën disiplinore ose mund të dëmtojë rëndë ushtrimin e duhur të detyrave nga ky nëpunës, organi kompetent, sipas pikës 1, të nenit 69, të këtij ligji, i paraqet organit kompetent kërkesën për pezullim.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Organi kompetent kryesisht e pezullon nëpunësin civil gjyqësor, sipas parashikimeve të nenit 69, pika 2, të këtij ligji ose me kërkesë, sipas parashikimeve të pikës 1, të nenit 69, të këtij ligji, ose merr çdo masë tjetër të përshtatshme dhe proporcionale.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Pezullimi mund të vendoset për një periudhë deri në 90 ditë, vetëm në rastet e shkeljeve të rënda dhe kur vazhdimi i ushtrimit të detyrës mund të paragjykojë hetimin e çështjes, shërbimin ose imazhin ose dinjitetin e funksionit.</w:t>
      </w:r>
    </w:p>
    <w:p w:rsidR="000D4AEA" w:rsidRPr="00103C03" w:rsidRDefault="000D4AEA" w:rsidP="000D4AEA">
      <w:pPr>
        <w:widowControl w:val="0"/>
        <w:autoSpaceDE w:val="0"/>
        <w:autoSpaceDN w:val="0"/>
        <w:adjustRightInd w:val="0"/>
        <w:spacing w:after="0" w:line="240" w:lineRule="auto"/>
        <w:rPr>
          <w:rFonts w:ascii="Garamond" w:hAnsi="Garamond"/>
          <w:spacing w:val="-4"/>
          <w:sz w:val="24"/>
          <w:szCs w:val="24"/>
        </w:rPr>
      </w:pPr>
      <w:r w:rsidRPr="00103C03">
        <w:rPr>
          <w:rFonts w:ascii="Garamond" w:hAnsi="Garamond"/>
          <w:spacing w:val="-4"/>
          <w:sz w:val="24"/>
          <w:szCs w:val="24"/>
        </w:rPr>
        <w:tab/>
        <w:t>4. Pezullimi ekzekutohet në mënyrë që të sigurojë garantimin e dinjitetit personal dhe profesional të nëpunësit civil gjyqësor.</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78</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E drejta për ankim</w:t>
      </w:r>
    </w:p>
    <w:p w:rsidR="000D4AEA" w:rsidRPr="00103C03" w:rsidRDefault="000D4AEA" w:rsidP="000D4AEA">
      <w:pPr>
        <w:pStyle w:val="Hapesira7"/>
        <w:rPr>
          <w:spacing w:val="-4"/>
          <w:sz w:val="10"/>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Nëpunësi civil gjyqësor përkatës, si dhe organi kompetent, sipas pikës 1, të nenit 69, të këtij ligji, kanë të drejtën e ankimit ndaj vendimit për çështje disiplinore. </w:t>
      </w:r>
    </w:p>
    <w:p w:rsidR="000D4AEA"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p>
    <w:p w:rsidR="000D4AEA"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p>
    <w:p w:rsidR="000D4AEA"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79</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Regjistrimet disiplinore</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Vendimet përfundimtare për masat disiplinore mbahen në dosjen personale të nëpunësit civil gjyqësor dhe regjistrohen në Regjistrin Qendror të Personelit.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Vendimi përfundimtar për masën disiplinore dhe regjistrimi i saj hiqen nga dosja personale dhe fshihen nga regjistri, kryesisht ose me kërkesë të nëpunësit civil gjyqësor nga Këshilli i Gjykatës dhe Këshilli i Lartë Gjyqësor, sipas afateve të përcaktuara në ligjin “Për nëpunësin civil”.</w:t>
      </w:r>
    </w:p>
    <w:p w:rsidR="000D4AEA" w:rsidRPr="00103C03" w:rsidRDefault="000D4AEA" w:rsidP="000D4AEA">
      <w:pPr>
        <w:pStyle w:val="Hapesira7"/>
        <w:rPr>
          <w:spacing w:val="-4"/>
        </w:rPr>
      </w:pPr>
    </w:p>
    <w:p w:rsidR="000D4AEA" w:rsidRPr="00103C03" w:rsidRDefault="000D4AEA" w:rsidP="000D4AEA">
      <w:pPr>
        <w:widowControl w:val="0"/>
        <w:shd w:val="clear" w:color="auto" w:fill="FFFFFF"/>
        <w:tabs>
          <w:tab w:val="left" w:pos="600"/>
          <w:tab w:val="left" w:pos="3918"/>
          <w:tab w:val="center" w:pos="4702"/>
        </w:tabs>
        <w:spacing w:after="0" w:line="240" w:lineRule="auto"/>
        <w:jc w:val="center"/>
        <w:rPr>
          <w:rFonts w:ascii="Garamond" w:hAnsi="Garamond"/>
          <w:spacing w:val="-4"/>
          <w:sz w:val="24"/>
          <w:szCs w:val="24"/>
        </w:rPr>
      </w:pPr>
      <w:r w:rsidRPr="00103C03">
        <w:rPr>
          <w:rFonts w:ascii="Garamond" w:hAnsi="Garamond"/>
          <w:spacing w:val="-4"/>
          <w:sz w:val="24"/>
          <w:szCs w:val="24"/>
        </w:rPr>
        <w:t>SEKSIONI V</w:t>
      </w: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NDËRPRERJA E MARRËDHËNIES NË SHËRBIMIN CIVIL GJYQËSOR</w:t>
      </w:r>
    </w:p>
    <w:p w:rsidR="000D4AEA" w:rsidRPr="00103C03" w:rsidRDefault="000D4AEA" w:rsidP="000D4AEA">
      <w:pPr>
        <w:pStyle w:val="Hapesira7"/>
        <w:ind w:firstLine="0"/>
        <w:rPr>
          <w:spacing w:val="-4"/>
          <w:sz w:val="10"/>
        </w:rPr>
      </w:pPr>
    </w:p>
    <w:p w:rsidR="000D4AEA" w:rsidRPr="00103C03" w:rsidRDefault="000D4AEA" w:rsidP="000D4AEA">
      <w:pPr>
        <w:widowControl w:val="0"/>
        <w:shd w:val="clear" w:color="auto" w:fill="FFFFFF"/>
        <w:tabs>
          <w:tab w:val="left" w:pos="600"/>
        </w:tabs>
        <w:spacing w:after="0" w:line="240" w:lineRule="auto"/>
        <w:jc w:val="center"/>
        <w:rPr>
          <w:rFonts w:ascii="Garamond" w:hAnsi="Garamond"/>
          <w:spacing w:val="-4"/>
          <w:sz w:val="24"/>
          <w:szCs w:val="24"/>
        </w:rPr>
      </w:pPr>
      <w:r w:rsidRPr="00103C03">
        <w:rPr>
          <w:rFonts w:ascii="Garamond" w:hAnsi="Garamond"/>
          <w:spacing w:val="-4"/>
          <w:sz w:val="24"/>
          <w:szCs w:val="24"/>
        </w:rPr>
        <w:t>Neni 80</w:t>
      </w:r>
    </w:p>
    <w:p w:rsidR="000D4AEA" w:rsidRPr="00103C03" w:rsidRDefault="000D4AEA" w:rsidP="000D4AEA">
      <w:pPr>
        <w:widowControl w:val="0"/>
        <w:shd w:val="clear" w:color="auto" w:fill="FFFFFF"/>
        <w:tabs>
          <w:tab w:val="left" w:pos="600"/>
        </w:tabs>
        <w:spacing w:after="0" w:line="240" w:lineRule="auto"/>
        <w:jc w:val="center"/>
        <w:rPr>
          <w:rFonts w:ascii="Garamond" w:hAnsi="Garamond"/>
          <w:b/>
          <w:spacing w:val="-4"/>
          <w:sz w:val="24"/>
          <w:szCs w:val="24"/>
        </w:rPr>
      </w:pPr>
      <w:r w:rsidRPr="00103C03">
        <w:rPr>
          <w:rFonts w:ascii="Garamond" w:hAnsi="Garamond"/>
          <w:b/>
          <w:spacing w:val="-4"/>
          <w:sz w:val="24"/>
          <w:szCs w:val="24"/>
        </w:rPr>
        <w:t>Ndërprerja e marrëdhënies në shërbimin civil gjyqësor</w:t>
      </w:r>
    </w:p>
    <w:p w:rsidR="000D4AEA" w:rsidRPr="00103C03" w:rsidRDefault="000D4AEA" w:rsidP="000D4AEA">
      <w:pPr>
        <w:pStyle w:val="Hapesira7"/>
        <w:rPr>
          <w:spacing w:val="-4"/>
          <w:sz w:val="10"/>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1. Ndërprerja e marrëdhënieve në shërbimin civil gjyqësor i nënshtrohet rregullave të parashikuara në ligjin “Për nëpunësin civil”, përveç rasteve kur parashikohet ndryshe në këtë ligj.</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2. Me përjashtim të rasteve të tjera, të parashikuara në ligjin “Për nëpunësin civil”, marrëdhënia në shërbimin civil gjyqësor përfundon nëpërmjet lirimit, në rastin e emërimit në funksionin e ministrit, zëvendësministrit, zyrtarit të emëruar nga Kuvendi, Presidenti i Republikës ose Këshilli i Ministrave apo funksionarë të kabinetit.</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3. Organi kompetent për ndërprerjen e marrëdhënies në shërbimin civil gjyqësor për kancelarin, këshilltarin dhe ndihmësin ligjor është Këshilli i Lartë Gjyqësor dhe për nëpunësit e tjerë civilë gjyqësorë është Këshilli i Gjykatës ku ai ushtron detyrën.</w:t>
      </w: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Neni 81</w:t>
      </w:r>
    </w:p>
    <w:p w:rsidR="000D4AEA" w:rsidRPr="00103C03" w:rsidRDefault="000D4AEA" w:rsidP="000D4AEA">
      <w:pPr>
        <w:widowControl w:val="0"/>
        <w:spacing w:after="0" w:line="240" w:lineRule="auto"/>
        <w:jc w:val="center"/>
        <w:rPr>
          <w:rFonts w:ascii="Garamond" w:hAnsi="Garamond"/>
          <w:b/>
          <w:spacing w:val="-4"/>
          <w:sz w:val="24"/>
          <w:szCs w:val="24"/>
        </w:rPr>
      </w:pPr>
      <w:r w:rsidRPr="00103C03">
        <w:rPr>
          <w:rFonts w:ascii="Garamond" w:hAnsi="Garamond"/>
          <w:b/>
          <w:spacing w:val="-4"/>
          <w:sz w:val="24"/>
          <w:szCs w:val="24"/>
        </w:rPr>
        <w:t>Regjistrimi në Regjistrin Qendror të Personelit</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Këshilli i Gjykatës, brenda tri ditëve nga marrja e njoftimit të dorëheqjes ose nga marrja e njoftimit për shkakun ligjor të ndërprerjes së marrëdhënies në shërbimin civil gjyqësor, njofton Këshillin e Lartë Gjyqësor, i cili regjistron vendimin në Regjistrin Qendror të Personelit.</w:t>
      </w:r>
    </w:p>
    <w:p w:rsidR="000D4AEA" w:rsidRDefault="000D4AEA" w:rsidP="000D4AEA">
      <w:pPr>
        <w:pStyle w:val="Hapesira7"/>
        <w:rPr>
          <w:spacing w:val="-4"/>
        </w:rPr>
      </w:pPr>
    </w:p>
    <w:p w:rsidR="000D4AEA" w:rsidRDefault="000D4AEA" w:rsidP="000D4AEA">
      <w:pPr>
        <w:pStyle w:val="Hapesira7"/>
        <w:rPr>
          <w:spacing w:val="-4"/>
        </w:rPr>
      </w:pPr>
    </w:p>
    <w:p w:rsidR="000D4AEA" w:rsidRDefault="000D4AEA" w:rsidP="000D4AEA">
      <w:pPr>
        <w:pStyle w:val="Hapesira7"/>
        <w:rPr>
          <w:spacing w:val="-4"/>
        </w:rPr>
      </w:pPr>
    </w:p>
    <w:p w:rsidR="000D4AEA" w:rsidRDefault="000D4AEA" w:rsidP="000D4AEA">
      <w:pPr>
        <w:pStyle w:val="Hapesira7"/>
        <w:rPr>
          <w:spacing w:val="-4"/>
        </w:rPr>
      </w:pPr>
    </w:p>
    <w:p w:rsidR="000D4AEA" w:rsidRDefault="000D4AEA" w:rsidP="000D4AEA">
      <w:pPr>
        <w:pStyle w:val="Hapesira7"/>
        <w:rPr>
          <w:spacing w:val="-4"/>
        </w:rPr>
      </w:pPr>
    </w:p>
    <w:p w:rsidR="000D4AEA" w:rsidRDefault="000D4AEA" w:rsidP="000D4AEA">
      <w:pPr>
        <w:pStyle w:val="Hapesira7"/>
        <w:rPr>
          <w:spacing w:val="-4"/>
        </w:rPr>
      </w:pPr>
    </w:p>
    <w:p w:rsidR="000D4AEA" w:rsidRPr="00103C03" w:rsidRDefault="000D4AEA" w:rsidP="000D4AEA">
      <w:pPr>
        <w:pStyle w:val="Hapesira7"/>
        <w:rPr>
          <w:spacing w:val="-4"/>
        </w:rPr>
      </w:pP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Neni 82</w:t>
      </w:r>
    </w:p>
    <w:p w:rsidR="000D4AEA" w:rsidRPr="00103C03" w:rsidRDefault="000D4AEA" w:rsidP="000D4AEA">
      <w:pPr>
        <w:widowControl w:val="0"/>
        <w:spacing w:after="0" w:line="240" w:lineRule="auto"/>
        <w:jc w:val="center"/>
        <w:rPr>
          <w:rFonts w:ascii="Garamond" w:hAnsi="Garamond"/>
          <w:b/>
          <w:spacing w:val="-4"/>
          <w:sz w:val="24"/>
          <w:szCs w:val="24"/>
        </w:rPr>
      </w:pPr>
      <w:r w:rsidRPr="00103C03">
        <w:rPr>
          <w:rFonts w:ascii="Garamond" w:hAnsi="Garamond"/>
          <w:b/>
          <w:spacing w:val="-4"/>
          <w:sz w:val="24"/>
          <w:szCs w:val="24"/>
        </w:rPr>
        <w:t>Rregulla të hollësishme për ndërprerjen</w:t>
      </w:r>
      <w:r w:rsidRPr="00103C03">
        <w:rPr>
          <w:rFonts w:ascii="Garamond" w:hAnsi="Garamond"/>
          <w:spacing w:val="-4"/>
          <w:sz w:val="24"/>
          <w:szCs w:val="24"/>
        </w:rPr>
        <w:t xml:space="preserve"> </w:t>
      </w:r>
      <w:r w:rsidRPr="00103C03">
        <w:rPr>
          <w:rFonts w:ascii="Garamond" w:hAnsi="Garamond"/>
          <w:b/>
          <w:spacing w:val="-4"/>
          <w:sz w:val="24"/>
          <w:szCs w:val="24"/>
        </w:rPr>
        <w:t>e</w:t>
      </w:r>
      <w:r w:rsidRPr="00103C03">
        <w:rPr>
          <w:rFonts w:ascii="Garamond" w:hAnsi="Garamond"/>
          <w:spacing w:val="-4"/>
          <w:sz w:val="24"/>
          <w:szCs w:val="24"/>
        </w:rPr>
        <w:t xml:space="preserve"> </w:t>
      </w:r>
      <w:r w:rsidRPr="00103C03">
        <w:rPr>
          <w:rFonts w:ascii="Garamond" w:hAnsi="Garamond"/>
          <w:b/>
          <w:spacing w:val="-4"/>
          <w:sz w:val="24"/>
          <w:szCs w:val="24"/>
        </w:rPr>
        <w:t>marrëdhënies në shërbimin civil gjyqësor</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Këshilli i Lartë Gjyqësor miraton rregulla të hollësishme për procedurën për ndërprerjen e marrëdhënies në shërbimin civil gjyqësor.</w:t>
      </w:r>
    </w:p>
    <w:p w:rsidR="000D4AEA" w:rsidRPr="00103C03" w:rsidRDefault="000D4AEA" w:rsidP="000D4AEA">
      <w:pPr>
        <w:pStyle w:val="Hapesira7"/>
        <w:rPr>
          <w:rStyle w:val="grame"/>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KREU VI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DISPOZITA KALIMTARE DHE TË FUNDIT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eastAsia="Times New Roman" w:hAnsi="Garamond"/>
          <w:spacing w:val="-4"/>
          <w:sz w:val="24"/>
          <w:szCs w:val="24"/>
        </w:rPr>
      </w:pPr>
      <w:r w:rsidRPr="00103C03">
        <w:rPr>
          <w:rFonts w:ascii="Garamond" w:hAnsi="Garamond"/>
          <w:spacing w:val="-4"/>
          <w:sz w:val="24"/>
          <w:szCs w:val="24"/>
        </w:rPr>
        <w:t>SEKSIONI I</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83</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Statusi i kancelarëve në detyrë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1. Këshilli i Lartë Gjyqësor, brenda gjashtë muajve nga krijimi i tij, verifikon plotësimin e  kushteve dhe kritereve ligjore të pozicionit, sipas parashikimeve të këtij ligji, si dhe bën verifikimin e figurës dhe të pasurisë së  kancelarëve në detyrë.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2. Këshilli i Lartë Gjyqësor paraqet kërkesë për informacion për verifikimin e të dhënave dhe çdo shkaku tjetër përjashtues, pranë </w:t>
      </w:r>
      <w:r w:rsidRPr="00103C03">
        <w:rPr>
          <w:rFonts w:ascii="Garamond" w:hAnsi="Garamond"/>
          <w:spacing w:val="-4"/>
          <w:sz w:val="24"/>
          <w:szCs w:val="24"/>
        </w:rPr>
        <w:t>Inspektoratit të Lartë të Deklarimit dhe Kontrollit të Pasurive dhe Konfliktit të Interesave</w:t>
      </w:r>
      <w:r w:rsidRPr="00103C03">
        <w:rPr>
          <w:rFonts w:ascii="Garamond" w:hAnsi="Garamond"/>
          <w:bCs/>
          <w:spacing w:val="-4"/>
          <w:sz w:val="24"/>
          <w:szCs w:val="24"/>
        </w:rPr>
        <w:t>, prokurorisë, organeve publike financiare, Byrosë Kombëtare të Hetimit, shërbimeve shtetërore informative, si dhe çdo organi disiplinor që ka mbikëqyrur disiplinën në marrëdhëniet e mëparshme të punës të kancelarit. Nëse vlerësohet e nevojshme, Këshilli i Lartë Gjyqësor mund të kërkojë informacione shtesë nga institucione të tjera.</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3.  Këshilli i Lartë Gjyqësor miraton një raport të arsyetuar me shkrim, bazuar në rezultatet e deklaratave të pasurisë, të vlerësimit të figurës, si dhe në përmbushjen e kushteve dhe kritereve ligjore të parashikuara në këtë ligj për kancelarin në detyrë.</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4.  Nëse kancelari në detyrë nuk e kalon me sukses verifikimin e pasurisë, të figurës, kushteve dhe kritereve ligjore, sipas ligjit, marrëdhëniet e punës të tij ndërpriten pasi vendimi i këshillit bëhet i formës së prerë. </w:t>
      </w:r>
      <w:r w:rsidRPr="00103C03">
        <w:rPr>
          <w:rFonts w:ascii="Garamond" w:hAnsi="Garamond"/>
          <w:spacing w:val="-4"/>
          <w:sz w:val="24"/>
          <w:szCs w:val="24"/>
        </w:rPr>
        <w:t xml:space="preserve">Kancelari në detyrë në gjykatë ka të </w:t>
      </w:r>
      <w:r w:rsidRPr="00103C03">
        <w:rPr>
          <w:rFonts w:ascii="Garamond" w:hAnsi="Garamond"/>
          <w:bCs/>
          <w:spacing w:val="-4"/>
          <w:sz w:val="24"/>
          <w:szCs w:val="24"/>
        </w:rPr>
        <w:t>drejtë të dëgjohet, të paraqesë deklarata dhe prova të tjera, si dhe të përfaqësohet.</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5. Vendimi i Këshillit të Lartë Gjyqësor është i ankimueshëm, brenda dy javëve nga njoftimi i i </w:t>
      </w:r>
      <w:r w:rsidRPr="00103C03">
        <w:rPr>
          <w:rFonts w:ascii="Garamond" w:hAnsi="Garamond"/>
          <w:bCs/>
          <w:spacing w:val="-4"/>
          <w:sz w:val="24"/>
          <w:szCs w:val="24"/>
        </w:rPr>
        <w:lastRenderedPageBreak/>
        <w:t xml:space="preserve">tij, sipas parashikimeve në ligjin “Për organet e qeverisjes të sistemit të drejtësisë”.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6. Kancelari në detyrë, i cili përmbush kërkesat ligjore, sipas këtij neni, merr pjesë në provimin e organizuar nga Shkolla e Magjistraturës për vlerësimin profesional të tij. Në këtë rast, Këshilli i Lartë Gjyqësor e emëron kancelarin në detyrë brenda një jave nga publikimi i rezultateve të provimit.</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7.  Në rastin kur kancelari në detyrë nuk merr të paktën 70 për qind të pikëve totale, ai vlerësohet si i papërshtatshëm për pozicionin dhe i ndërpriten marrëdhëniet e punës në funksionin e kancelarit. Në këtë rast, Këshilli i Lartë Gjyqësor vlerëson mundësitë ekzistuese për sistemimin në një pozicion tjetër në administratën e gjykatës, të përshtatshëm dhe në përputhje me kriteret ligjore dhe profesionale.</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8. Rregullat e parashikuara në nenet 87 dhe 88, të këtij ligji, aplikohen për aq sa gjejnë zbatim.</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bCs/>
          <w:spacing w:val="-4"/>
          <w:sz w:val="24"/>
          <w:szCs w:val="24"/>
        </w:rPr>
        <w:tab/>
        <w:t xml:space="preserve">9. Këshilli i Lartë Gjyqësor miraton rregulla të detajuara për kritere të tjera që lidhen me specifikat e funksionit të kancelarit, si dhe për procedurat që ndiqen, me qëllim zbatimin e unifikuar të standardeve në përputhje me legjislacionin në fuqi. </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84</w:t>
      </w:r>
    </w:p>
    <w:p w:rsidR="000D4AEA" w:rsidRPr="00103C03" w:rsidRDefault="000D4AEA" w:rsidP="000D4AEA">
      <w:pPr>
        <w:widowControl w:val="0"/>
        <w:shd w:val="clear" w:color="auto" w:fill="FFFFFF"/>
        <w:spacing w:after="0" w:line="240" w:lineRule="auto"/>
        <w:jc w:val="center"/>
        <w:rPr>
          <w:rFonts w:ascii="Garamond" w:hAnsi="Garamond"/>
          <w:b/>
          <w:bCs/>
          <w:spacing w:val="-4"/>
          <w:sz w:val="24"/>
          <w:szCs w:val="24"/>
        </w:rPr>
      </w:pPr>
      <w:r w:rsidRPr="00103C03">
        <w:rPr>
          <w:rFonts w:ascii="Garamond" w:hAnsi="Garamond"/>
          <w:b/>
          <w:bCs/>
          <w:spacing w:val="-4"/>
          <w:sz w:val="24"/>
          <w:szCs w:val="24"/>
        </w:rPr>
        <w:t>Statusi i nëpunësit civil në detyrë në Gjykatën e Lartë</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Brenda afatit 6-mujor nga krijimi i Këshillit të Gjykatës, Këshilli i Gjykatës vlerëson plotësimin e kritereve formale të punonjësve në detyrë për pozicionin që kryejnë, sipas këtij ligji, me përjashtim të kancelarëve dhe ndihmësve ligjorë.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spacing w:val="-4"/>
          <w:sz w:val="24"/>
          <w:szCs w:val="24"/>
        </w:rPr>
        <w:tab/>
        <w:t xml:space="preserve">2. Nëse punonjësi në detyrë nuk plotëson kriteret formale të pozicionit përkatës, </w:t>
      </w:r>
      <w:r w:rsidRPr="00103C03">
        <w:rPr>
          <w:rFonts w:ascii="Garamond" w:hAnsi="Garamond"/>
          <w:bCs/>
          <w:spacing w:val="-4"/>
          <w:sz w:val="24"/>
          <w:szCs w:val="24"/>
        </w:rPr>
        <w:t>Këshilli i Gjykatës vlerëson mundësitë ekzistuese për sistemimin në një pozicion tjetër brenda administratës së gjykatës, të përshtatshëm dhe në përputhje me kriteret ligjore dhe profesionale</w:t>
      </w:r>
      <w:r w:rsidRPr="00103C03">
        <w:rPr>
          <w:rFonts w:ascii="Garamond" w:hAnsi="Garamond"/>
          <w:spacing w:val="-4"/>
          <w:sz w:val="24"/>
          <w:szCs w:val="24"/>
        </w:rPr>
        <w:t>, nëse nuk ka arsye për përfundimin e marrëdhënieve të punës. Rregullimet e parashikuara në nenin 85, të këtij ligji, lidhur me njoftimin dhe ankimin, aplikohen për aq sa gjejnë zbatim.</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spacing w:val="-4"/>
          <w:sz w:val="24"/>
          <w:szCs w:val="24"/>
        </w:rPr>
        <w:tab/>
        <w:t>3. Për kancelarin e gjykatës, zbatohen rregullimet e parashikuara në nenin 83 të këtij ligji.</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 xml:space="preserve">4. Ndihmësi ligjor magjistrat dhe këshilltari/ ndihmësi ligjor jomagjistrat janë subjekt i dispozitave kalimtare të ligjit “Për statusin e gjyqtarëve dhe prokurorëve”. </w:t>
      </w:r>
    </w:p>
    <w:p w:rsidR="000D4AEA" w:rsidRPr="00103C03" w:rsidRDefault="000D4AEA" w:rsidP="000D4AEA">
      <w:pPr>
        <w:widowControl w:val="0"/>
        <w:shd w:val="clear" w:color="auto" w:fill="FFFFFF"/>
        <w:spacing w:after="0" w:line="240" w:lineRule="auto"/>
        <w:rPr>
          <w:rFonts w:ascii="Garamond" w:hAnsi="Garamond"/>
          <w:bCs/>
          <w:spacing w:val="-4"/>
          <w:sz w:val="24"/>
          <w:szCs w:val="24"/>
        </w:rPr>
      </w:pPr>
      <w:r w:rsidRPr="00103C03">
        <w:rPr>
          <w:rFonts w:ascii="Garamond" w:hAnsi="Garamond"/>
          <w:bCs/>
          <w:spacing w:val="-4"/>
          <w:sz w:val="24"/>
          <w:szCs w:val="24"/>
        </w:rPr>
        <w:tab/>
        <w:t>5. Rregullimet e parashikuara në nenin 88, të këtij ligji, aplikohen për aq sa gjejnë zbatim.</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bCs/>
          <w:spacing w:val="-4"/>
          <w:sz w:val="24"/>
          <w:szCs w:val="24"/>
        </w:rPr>
        <w:tab/>
        <w:t>6. Këshilli i Lartë Gjyqësor miraton rregulla të detajuara për kritere të tjera që lidhen me specifikat e pozicionit të nëpunësve civilë, si dhe për procedurat që ndiqen me qëllim zbatimin e unifikuar të standardeve në përputhje me legjisla</w:t>
      </w:r>
      <w:r>
        <w:rPr>
          <w:rFonts w:ascii="Garamond" w:hAnsi="Garamond"/>
          <w:bCs/>
          <w:spacing w:val="-4"/>
          <w:sz w:val="24"/>
          <w:szCs w:val="24"/>
        </w:rPr>
        <w:t>-</w:t>
      </w:r>
      <w:r w:rsidRPr="00103C03">
        <w:rPr>
          <w:rFonts w:ascii="Garamond" w:hAnsi="Garamond"/>
          <w:bCs/>
          <w:spacing w:val="-4"/>
          <w:sz w:val="24"/>
          <w:szCs w:val="24"/>
        </w:rPr>
        <w:t>cionin në fuqi.</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bCs/>
          <w:spacing w:val="-4"/>
          <w:sz w:val="24"/>
          <w:szCs w:val="24"/>
        </w:rPr>
      </w:pPr>
      <w:r w:rsidRPr="00103C03">
        <w:rPr>
          <w:rFonts w:ascii="Garamond" w:hAnsi="Garamond"/>
          <w:bCs/>
          <w:spacing w:val="-4"/>
          <w:sz w:val="24"/>
          <w:szCs w:val="24"/>
        </w:rPr>
        <w:t>Neni 85</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Statusi i punonjësve të tjerë në detyrë në gjykata</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Gjykata ngre Këshillin e Gjykatës brenda katër muajve nga krijimi i Këshillit të Lartë Gjyqësor.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Brenda afatit 6-mujor nga krijimi i Këshillit të Gjykatës, Këshilli i Gjykatës vlerëson plotësimin e kritereve formale të punonjësve në detyrë për pozicionin që kryejnë, sipas këtij ligji, me përjashtim të kancelarit, këshilltarit dhe ndihmësit ligjor. Nëse punonjësi në detyrë nuk plotëson kriteret formale të pozicionit përkatës, </w:t>
      </w:r>
      <w:r w:rsidRPr="00103C03">
        <w:rPr>
          <w:rFonts w:ascii="Garamond" w:hAnsi="Garamond"/>
          <w:bCs/>
          <w:spacing w:val="-4"/>
          <w:sz w:val="24"/>
          <w:szCs w:val="24"/>
        </w:rPr>
        <w:t>Këshilli i Gjykatës vlerëson mundësitë ekzistuese për sistemimin në një pozicion tjetër brenda administratës së gjykatës të përshtatshëm dhe në përputhje me kriteret ligjore dhe profesionale</w:t>
      </w:r>
      <w:r w:rsidRPr="00103C03">
        <w:rPr>
          <w:rFonts w:ascii="Garamond" w:hAnsi="Garamond"/>
          <w:spacing w:val="-4"/>
          <w:sz w:val="24"/>
          <w:szCs w:val="24"/>
        </w:rPr>
        <w:t xml:space="preserve"> nëse nuk ka arsye për përfundimin e marrëdhënieve të punës.</w:t>
      </w:r>
    </w:p>
    <w:p w:rsidR="000D4AEA" w:rsidRPr="00103C03" w:rsidRDefault="000D4AEA" w:rsidP="000D4AEA">
      <w:pPr>
        <w:widowControl w:val="0"/>
        <w:shd w:val="clear" w:color="auto" w:fill="FFFFFF"/>
        <w:tabs>
          <w:tab w:val="left" w:pos="360"/>
        </w:tabs>
        <w:spacing w:after="0" w:line="240" w:lineRule="auto"/>
        <w:rPr>
          <w:rFonts w:ascii="Garamond" w:hAnsi="Garamond"/>
          <w:spacing w:val="-4"/>
          <w:sz w:val="24"/>
          <w:szCs w:val="24"/>
        </w:rPr>
      </w:pPr>
      <w:r w:rsidRPr="00103C03">
        <w:rPr>
          <w:rFonts w:ascii="Garamond" w:hAnsi="Garamond"/>
          <w:spacing w:val="-4"/>
          <w:sz w:val="24"/>
          <w:szCs w:val="24"/>
        </w:rPr>
        <w:tab/>
        <w:t xml:space="preserve">3. Punonjësi në detyrë në gjykatë ka të </w:t>
      </w:r>
      <w:r w:rsidRPr="00103C03">
        <w:rPr>
          <w:rFonts w:ascii="Garamond" w:hAnsi="Garamond"/>
          <w:bCs/>
          <w:spacing w:val="-4"/>
          <w:sz w:val="24"/>
          <w:szCs w:val="24"/>
        </w:rPr>
        <w:t>drejtë të dëgjohet, të paraqesë deklarata dhe prova të tjera, si dhe të përfaqësohet.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4. Kancelari i njofton vendimin me shkrim të arsyetuar të Këshillit të Gjykatës, të gjithë punonjësve të gjykatës brenda dy javëve nga data e vendimit të Këshillit të Gjykatës.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5. Brenda dy javëve nga njoftimi, sipas parashikimit në pikën 4, të këtij neni, mund të bëhet ankim ndaj vendimit të Këshillit të Gjykatës në gjykatën kompetente.</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6. Këshilli i Lartë Gjyqësor miraton rregulla më të detajuara </w:t>
      </w:r>
      <w:r w:rsidRPr="00103C03">
        <w:rPr>
          <w:rFonts w:ascii="Garamond" w:hAnsi="Garamond"/>
          <w:bCs/>
          <w:spacing w:val="-4"/>
          <w:sz w:val="24"/>
          <w:szCs w:val="24"/>
        </w:rPr>
        <w:t xml:space="preserve">për kritere të tjera që lidhen me </w:t>
      </w:r>
      <w:r w:rsidRPr="00103C03">
        <w:rPr>
          <w:rFonts w:ascii="Garamond" w:hAnsi="Garamond"/>
          <w:bCs/>
          <w:spacing w:val="-4"/>
          <w:sz w:val="24"/>
          <w:szCs w:val="24"/>
        </w:rPr>
        <w:lastRenderedPageBreak/>
        <w:t>specifikat e pozicionit të nëpunësve civilë, si dhe për procedurat</w:t>
      </w:r>
      <w:r w:rsidRPr="00103C03">
        <w:rPr>
          <w:rFonts w:ascii="Garamond" w:hAnsi="Garamond"/>
          <w:spacing w:val="-4"/>
          <w:sz w:val="24"/>
          <w:szCs w:val="24"/>
        </w:rPr>
        <w:t xml:space="preserve"> me qëllim </w:t>
      </w:r>
      <w:r w:rsidRPr="00103C03">
        <w:rPr>
          <w:rFonts w:ascii="Garamond" w:hAnsi="Garamond"/>
          <w:bCs/>
          <w:spacing w:val="-4"/>
          <w:sz w:val="24"/>
          <w:szCs w:val="24"/>
        </w:rPr>
        <w:t>zbatimin e unifikuar të standardeve në përputhje me legjislacionin në fuqi.</w:t>
      </w:r>
    </w:p>
    <w:p w:rsidR="000D4AEA" w:rsidRDefault="000D4AEA" w:rsidP="000D4AEA">
      <w:pPr>
        <w:widowControl w:val="0"/>
        <w:shd w:val="clear" w:color="auto" w:fill="FFFFFF"/>
        <w:tabs>
          <w:tab w:val="left" w:pos="965"/>
        </w:tabs>
        <w:spacing w:after="0" w:line="240" w:lineRule="auto"/>
        <w:jc w:val="center"/>
        <w:rPr>
          <w:rFonts w:ascii="Garamond" w:hAnsi="Garamond"/>
          <w:spacing w:val="-4"/>
          <w:sz w:val="24"/>
          <w:szCs w:val="24"/>
        </w:rPr>
      </w:pPr>
    </w:p>
    <w:p w:rsidR="000D4AEA" w:rsidRPr="00103C03" w:rsidRDefault="000D4AEA" w:rsidP="000D4AEA">
      <w:pPr>
        <w:widowControl w:val="0"/>
        <w:shd w:val="clear" w:color="auto" w:fill="FFFFFF"/>
        <w:tabs>
          <w:tab w:val="left" w:pos="965"/>
        </w:tabs>
        <w:spacing w:after="0" w:line="240" w:lineRule="auto"/>
        <w:jc w:val="center"/>
        <w:rPr>
          <w:rFonts w:ascii="Garamond" w:hAnsi="Garamond"/>
          <w:spacing w:val="-4"/>
          <w:sz w:val="24"/>
          <w:szCs w:val="24"/>
        </w:rPr>
      </w:pPr>
      <w:r w:rsidRPr="00103C03">
        <w:rPr>
          <w:rFonts w:ascii="Garamond" w:hAnsi="Garamond"/>
          <w:spacing w:val="-4"/>
          <w:sz w:val="24"/>
          <w:szCs w:val="24"/>
        </w:rPr>
        <w:t>Neni 86</w:t>
      </w:r>
    </w:p>
    <w:p w:rsidR="000D4AEA" w:rsidRPr="00103C03" w:rsidRDefault="000D4AEA" w:rsidP="000D4AEA">
      <w:pPr>
        <w:widowControl w:val="0"/>
        <w:shd w:val="clear" w:color="auto" w:fill="FFFFFF"/>
        <w:tabs>
          <w:tab w:val="left" w:pos="965"/>
        </w:tabs>
        <w:spacing w:after="0" w:line="240" w:lineRule="auto"/>
        <w:jc w:val="center"/>
        <w:rPr>
          <w:rFonts w:ascii="Garamond" w:hAnsi="Garamond"/>
          <w:b/>
          <w:spacing w:val="-4"/>
          <w:sz w:val="24"/>
          <w:szCs w:val="24"/>
        </w:rPr>
      </w:pPr>
      <w:r w:rsidRPr="00103C03">
        <w:rPr>
          <w:rFonts w:ascii="Garamond" w:hAnsi="Garamond"/>
          <w:b/>
          <w:spacing w:val="-4"/>
          <w:sz w:val="24"/>
          <w:szCs w:val="24"/>
        </w:rPr>
        <w:t>Dispozitë e veçantë për të punësuarit në Gjykatat e Krimeve të Rënda</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Të punësuarit në detyrë në Gjykatën e Shkallës së Parë dhe Gjykatën e Apelit të Krimeve të Rënda duhet të plotësojnë kushtet e sigurimit, të caktuara me ligj të veçantë, përfshirë dhënien e pëlqimit për kontrollin periodik të llogarive të tyre bankare dhe të telekomunikimeve vetjake dhe për familjarët e afërm të tyre. Ndaj tyre zbatohen parashikimet e neneve 85 dhe 87 të këtij ligji.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Këshillat e gjykatave për gjykimin e veprave penale të korrupsionit dhe krimit të organizuar krijohen brenda dy javëve pas krijimit të gjykatave për gjykimin e veprave penale të korrupsionit dhe krimit të organizuar. Këshillat e gjykatave për gjykimin e veprave penale të korrupsionit dhe krimit të organizuar konfirmojnë të punësuarit në detyrë nëpërmjet një vendimi të shkruar, sipas parashikimeve të nenit 85, të këtij ligji, nëse i punësuari në detyrë në gjykatë, si dhe familjarët e afërm të tij, japin pëlqimin për kontrollin periodik të llogarive të tyre bankare dhe të telekomunikimeve vetjake, brenda dy javëve nga krijimi i gjykatave të posaçme për gjykimin e veprave penale të korrupsionit dhe krimit të organizuar.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3. Në rastet kur i punësuari ose nëpunësi civil në detyrë nuk konfirmohet nga Këshilli i Gjykatës, bazuar në arsye të përcaktuara në pikën 2, të këtij neni, atëherë dosja e punonjësit të gjykatës i përcillet Këshillit të Lartë Gjyqësor, me qëllim vlerësimin e mundësive ekzistuese nga Këshilli i Lartë Gjyqësor për sistemimin në një pozicion të lirë në një tjetër gjykatë, zyrë prokurorie,  Këshillin e Lartë Gjyqësor, Këshillin e Lartë të Prokurorisë ose në Zyrën e Inspektorit të Lartë të Drejtësisë,</w:t>
      </w:r>
      <w:r w:rsidRPr="00103C03">
        <w:rPr>
          <w:rFonts w:ascii="Garamond" w:hAnsi="Garamond"/>
          <w:bCs/>
          <w:spacing w:val="-4"/>
          <w:sz w:val="24"/>
          <w:szCs w:val="24"/>
        </w:rPr>
        <w:t xml:space="preserve"> në përputhje me kriteret ligjore dhe profesionale të pozicionit të punës</w:t>
      </w:r>
      <w:r w:rsidRPr="00103C03">
        <w:rPr>
          <w:rFonts w:ascii="Garamond" w:hAnsi="Garamond"/>
          <w:spacing w:val="-4"/>
          <w:sz w:val="24"/>
          <w:szCs w:val="24"/>
        </w:rPr>
        <w:t>, dhe vetëm nëse nuk ka arsye për përfundimin e marrëdhënieve të punës.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4. Parashikimet e këtij neni nuk janë në kundërshtim me zbatimin e parashikimeve të nenit 88 të këtij ligji.</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87</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Vazhdimi ose përfundimi i kontratës së punës</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1. Në rast se nuk bëhet ankim brenda afatit të parashikuar, vendimi i Këshillit të Gjykatës për statusin e punonjësit në detyrë në gjykatë bëhet përfundimtar dhe kontrata e punësimit e punonjësit në detyrë, statusi i të cilit konsiderohet ai i nëpunësit civil gjyqësor, përfundon efektet në datën e fundit të afatit të ankimit. Punonjësit e tjerë në gjykatë vazhdojnë të konsiderohen si të punësuar në përputhje me kontratën e punësimit, bazuar në Kodin e Punës.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2. Në rast se bëhet ankim, vendimi për statusin e nëpunësit në detyrë të gjykatës bëhet përfundimtar me vendimin gjyqësor të formës së prerë. Në rast të njohjes së statusit të nëpunësit civil gjyqësor nga gjykata, kontrata e punësimit të nëpunësit përkatës në detyrë përfundon në ditën e njoftimit të vendimit gjyqësor përfundimtar. Punonjësit e tjerë në gjykatë, ankimi i të cilëve nuk është njohur, vazhdojnë të konsiderohen si të punësuar, në përputhje me kontratën e punësimit, bazuar në Kodin e Punës.</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Punonjësit në detyrë, periudha e provës së të cilëve nuk ka përfunduar në datën kur bëhet përfundimtar vendimi për statusin e tyre, i nënshtrohen periudhës së provës, sipas kontratës së tyre të punësimit. Dispozitat e këtij ligji për vlerësimin e punës dhe për vendimin në fund të periudhës së provës zbatohen për çdo nëpunës civil gjyqësor në provë. </w:t>
      </w:r>
    </w:p>
    <w:p w:rsidR="000D4AEA" w:rsidRPr="00103C03" w:rsidRDefault="000D4AEA" w:rsidP="000D4AEA">
      <w:pPr>
        <w:pStyle w:val="Hapesira7"/>
        <w:rPr>
          <w:rStyle w:val="grame"/>
          <w:spacing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88</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Regjistri Qendror i Personelit</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bCs/>
          <w:spacing w:val="-4"/>
          <w:sz w:val="24"/>
          <w:szCs w:val="24"/>
        </w:rPr>
        <w:tab/>
        <w:t xml:space="preserve">1. Kancelari reflekton në Regjistrin Qendror të Personelit, të dhënat e përcaktuara në pikën 2, të </w:t>
      </w:r>
      <w:r w:rsidRPr="00103C03">
        <w:rPr>
          <w:rFonts w:ascii="Garamond" w:hAnsi="Garamond"/>
          <w:bCs/>
          <w:spacing w:val="-4"/>
          <w:sz w:val="24"/>
          <w:szCs w:val="24"/>
        </w:rPr>
        <w:lastRenderedPageBreak/>
        <w:t>nenit 63, të këtij ligji, brenda tre muajve nga hyrja në fuqi të ligjit.</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Kancelari i paraqet Këshillit të Lartë Gjyqësor, brenda tri javëve, vendimin e Këshillit të Gjykatës, në përputhje me nenin 85, të këtij ligji, informacion nëse është paraqitur ankim brenda afatit kohor dhe informacion të nevojshëm për Regjistrin Qendror të Personelit, në përputhje me nenin 63 të këtij ligji. Këshilli i Lartë Gjyqësor regjistron statusin e nëpunësit në detyrë në administratën gjyqësore, brenda një jave pasi është dhënë vendimi gjyqësor i formës së prerë.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3. Brenda gjashtë muajve nga hyrja në fuqi e këtij ligji, Këshilli i Lartë Gjyqësor regjistron statusin e kancelarëve në detyrë, nëpunësve civilë në detyrë në Gjykatën e Lartë, këshilltarëve dhe ndihmësve ligjorë në detyrë dhe punonjësve të tjerë në administratën gjyqësore. </w:t>
      </w:r>
    </w:p>
    <w:p w:rsidR="000D4AEA" w:rsidRPr="00103C03" w:rsidRDefault="000D4AEA" w:rsidP="000D4AEA">
      <w:pPr>
        <w:widowControl w:val="0"/>
        <w:shd w:val="clear" w:color="auto" w:fill="FFFFFF"/>
        <w:spacing w:after="0" w:line="240" w:lineRule="auto"/>
        <w:rPr>
          <w:rFonts w:ascii="Garamond" w:hAnsi="Garamond"/>
          <w:b/>
          <w:spacing w:val="-4"/>
          <w:sz w:val="24"/>
          <w:szCs w:val="2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89</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Kompetencat tokësore të degëve të gjykatës</w:t>
      </w:r>
    </w:p>
    <w:p w:rsidR="000D4AEA" w:rsidRPr="00103C03" w:rsidRDefault="000D4AEA" w:rsidP="000D4AEA">
      <w:pPr>
        <w:pStyle w:val="Hapesira7"/>
        <w:rPr>
          <w:spacing w:val="-4"/>
          <w:sz w:val="12"/>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1. Brenda 18 muajve nga krijimi i tij, Këshilli i Lartë Gjyqësor miraton përkohësisht degët e gjykatave, derisa vendimi për rrethet gjyqësore dhe kompetencat tokësore të gjykatave të caktohet me vendim të Këshillit të Ministrave. Këshilli i Lartë Gjyqësor mban parasysh numrin e gjyqtarëve për gjykatë dhe mesataren e çështjeve gjyqësore për gjyqtar në gjykatë, me qëllim shmangien, për aq sa është e mundur, të gjykatave me numër më të vogël minimal të gjyqtarëve me mesatare më të ulët ngarkese në punë, siç parashikohet në këtë ligj.  </w:t>
      </w: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 xml:space="preserve">2. Bazuar në parimet, objektivat dhe kriteret e përcaktuara në nenin 13, pika 3, nenet 14 dhe 15, të këtij ligji, Këshilli i Lartë Gjyqësor duhet të përcaktojë se cila degë gjykate funksionon si e përhershme dhe cila si e përkohshme, si dhe përcakton rregulla të detajuara për funksionimin e degëve.  </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90</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Numri i gjyqtarëve për gjykatë</w:t>
      </w:r>
    </w:p>
    <w:p w:rsidR="000D4AEA" w:rsidRPr="00103C03" w:rsidRDefault="000D4AEA" w:rsidP="000D4AEA">
      <w:pPr>
        <w:pStyle w:val="Hapesira7"/>
        <w:rPr>
          <w:spacing w:val="-4"/>
          <w:sz w:val="12"/>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spacing w:val="-4"/>
          <w:sz w:val="24"/>
          <w:szCs w:val="24"/>
        </w:rPr>
        <w:tab/>
        <w:t>Derisa të merret një vendim nga Këshilli i Lartë Gjyqësor për numrin e gjyqtarëve për gjykatë, në përputhje me këtë ligj, numri i gjyqtarëve për gjykatë mbetet siç përcaktohet nga legjislacioni në fuqi.</w:t>
      </w:r>
    </w:p>
    <w:p w:rsidR="000D4AEA" w:rsidRPr="00103C03" w:rsidRDefault="000D4AEA" w:rsidP="000D4AEA">
      <w:pPr>
        <w:pStyle w:val="Hapesira7"/>
        <w:rPr>
          <w:spacing w:val="-4"/>
          <w:sz w:val="12"/>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SEKSIONI II</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DISPOZITA TË FUNDIT</w:t>
      </w:r>
    </w:p>
    <w:p w:rsidR="000D4AEA" w:rsidRPr="00103C03" w:rsidRDefault="000D4AEA" w:rsidP="000D4AEA">
      <w:pPr>
        <w:pStyle w:val="Hapesira7"/>
        <w:rPr>
          <w:spacing w:val="-4"/>
          <w:sz w:val="12"/>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91</w:t>
      </w:r>
    </w:p>
    <w:p w:rsidR="000D4AEA" w:rsidRPr="00103C03" w:rsidRDefault="000D4AEA" w:rsidP="000D4AEA">
      <w:pPr>
        <w:widowControl w:val="0"/>
        <w:shd w:val="clear" w:color="auto" w:fill="FFFFFF"/>
        <w:spacing w:after="0" w:line="240" w:lineRule="auto"/>
        <w:jc w:val="center"/>
        <w:rPr>
          <w:rFonts w:ascii="Garamond" w:hAnsi="Garamond"/>
          <w:b/>
          <w:spacing w:val="-4"/>
          <w:sz w:val="24"/>
          <w:szCs w:val="24"/>
        </w:rPr>
      </w:pPr>
      <w:r w:rsidRPr="00103C03">
        <w:rPr>
          <w:rFonts w:ascii="Garamond" w:hAnsi="Garamond"/>
          <w:b/>
          <w:spacing w:val="-4"/>
          <w:sz w:val="24"/>
          <w:szCs w:val="24"/>
        </w:rPr>
        <w:t>Aktet nënligjore</w:t>
      </w:r>
    </w:p>
    <w:p w:rsidR="000D4AEA" w:rsidRPr="00103C03" w:rsidRDefault="000D4AEA" w:rsidP="000D4AEA">
      <w:pPr>
        <w:pStyle w:val="Hapesira7"/>
        <w:rPr>
          <w:spacing w:val="-4"/>
          <w:sz w:val="12"/>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1. Ngarkohet Këshilli i Lartë Gjyqësor të hartojë dhe të miratojë aktet nënligjore, në përputhje me këtë ligj, jo më vonë se 6 muaj </w:t>
      </w:r>
      <w:r w:rsidRPr="00103C03">
        <w:rPr>
          <w:rFonts w:ascii="Garamond" w:eastAsia="Times New Roman" w:hAnsi="Garamond"/>
          <w:spacing w:val="-4"/>
          <w:sz w:val="24"/>
          <w:szCs w:val="24"/>
        </w:rPr>
        <w:t xml:space="preserve">nga krijimi i tij, </w:t>
      </w:r>
      <w:r w:rsidRPr="00103C03">
        <w:rPr>
          <w:rFonts w:ascii="Garamond" w:hAnsi="Garamond"/>
          <w:spacing w:val="-4"/>
          <w:sz w:val="24"/>
          <w:szCs w:val="24"/>
        </w:rPr>
        <w:t>përveç rasteve kur parashikohet ndryshe nga ky ligj.</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ab/>
        <w:t xml:space="preserve">2. Ngarkohet Shkolla e Magjistraturës të hartojë dhe të miratojë aktet nënligjore, në përputhje me këtë ligj, jo më vonë se 3 muaj </w:t>
      </w:r>
      <w:r w:rsidRPr="00103C03">
        <w:rPr>
          <w:rFonts w:ascii="Garamond" w:eastAsia="Times New Roman" w:hAnsi="Garamond"/>
          <w:spacing w:val="-4"/>
          <w:sz w:val="24"/>
          <w:szCs w:val="24"/>
        </w:rPr>
        <w:t xml:space="preserve">nga hyrja në fuqi të këtij ligji, </w:t>
      </w:r>
      <w:r w:rsidRPr="00103C03">
        <w:rPr>
          <w:rFonts w:ascii="Garamond" w:hAnsi="Garamond"/>
          <w:spacing w:val="-4"/>
          <w:sz w:val="24"/>
          <w:szCs w:val="24"/>
        </w:rPr>
        <w:t>përveç rasteve kur parashikohet ndryshe nga ky ligj.</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eastAsia="Times New Roman" w:hAnsi="Garamond"/>
          <w:spacing w:val="-4"/>
          <w:sz w:val="24"/>
          <w:szCs w:val="24"/>
        </w:rPr>
        <w:tab/>
        <w:t>3. Ngarkohet Këshilli i Ministrave që, jo më vonë se 6 muaj nga miratimi i këtij ligji, të hartojë dhe të miratojë aktet nënligjore që mundësojnë përmbushjen e detyrimeve të parashikuara në nenin 64 të këtij ligji.</w:t>
      </w: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eastAsia="Times New Roman" w:hAnsi="Garamond"/>
          <w:spacing w:val="-4"/>
          <w:sz w:val="24"/>
          <w:szCs w:val="24"/>
        </w:rPr>
        <w:tab/>
        <w:t>4. Të gjitha aktet nënligjore, të miratuara përpara hyrjes në fuqi të këtij ligji, zbatohen për aq sa nuk bien në kundërshtim me këtë ligj.</w:t>
      </w:r>
    </w:p>
    <w:p w:rsidR="000D4AEA" w:rsidRPr="00103C03" w:rsidRDefault="000D4AEA" w:rsidP="000D4AEA">
      <w:pPr>
        <w:pStyle w:val="Hapesira7"/>
        <w:rPr>
          <w:spacing w:val="-4"/>
        </w:rPr>
      </w:pPr>
    </w:p>
    <w:p w:rsidR="000D4AEA" w:rsidRPr="00103C03" w:rsidRDefault="000D4AEA" w:rsidP="000D4AEA">
      <w:pPr>
        <w:widowControl w:val="0"/>
        <w:spacing w:after="0" w:line="240" w:lineRule="auto"/>
        <w:jc w:val="center"/>
        <w:rPr>
          <w:rFonts w:ascii="Garamond" w:hAnsi="Garamond"/>
          <w:spacing w:val="-4"/>
          <w:sz w:val="24"/>
          <w:szCs w:val="24"/>
        </w:rPr>
      </w:pPr>
      <w:r w:rsidRPr="00103C03">
        <w:rPr>
          <w:rFonts w:ascii="Garamond" w:hAnsi="Garamond"/>
          <w:spacing w:val="-4"/>
          <w:sz w:val="24"/>
          <w:szCs w:val="24"/>
        </w:rPr>
        <w:t>Neni 92</w:t>
      </w:r>
    </w:p>
    <w:p w:rsidR="000D4AEA" w:rsidRPr="00103C03" w:rsidRDefault="000D4AEA" w:rsidP="000D4AEA">
      <w:pPr>
        <w:widowControl w:val="0"/>
        <w:spacing w:after="0" w:line="240" w:lineRule="auto"/>
        <w:jc w:val="center"/>
        <w:rPr>
          <w:rFonts w:ascii="Garamond" w:hAnsi="Garamond"/>
          <w:b/>
          <w:spacing w:val="-4"/>
          <w:sz w:val="24"/>
          <w:szCs w:val="24"/>
        </w:rPr>
      </w:pPr>
      <w:r w:rsidRPr="00103C03">
        <w:rPr>
          <w:rFonts w:ascii="Garamond" w:hAnsi="Garamond"/>
          <w:b/>
          <w:spacing w:val="-4"/>
          <w:sz w:val="24"/>
          <w:szCs w:val="24"/>
        </w:rPr>
        <w:t>Shfuqizime</w:t>
      </w:r>
    </w:p>
    <w:p w:rsidR="000D4AEA" w:rsidRPr="00103C03" w:rsidRDefault="000D4AEA" w:rsidP="000D4AEA">
      <w:pPr>
        <w:pStyle w:val="Hapesira7"/>
        <w:rPr>
          <w:spacing w:val="-4"/>
        </w:rPr>
      </w:pPr>
    </w:p>
    <w:p w:rsidR="000D4AEA" w:rsidRPr="00103C03" w:rsidRDefault="000D4AEA" w:rsidP="000D4AEA">
      <w:pPr>
        <w:widowControl w:val="0"/>
        <w:spacing w:after="0" w:line="240" w:lineRule="auto"/>
        <w:contextualSpacing/>
        <w:rPr>
          <w:rFonts w:ascii="Garamond" w:hAnsi="Garamond"/>
          <w:spacing w:val="-4"/>
          <w:sz w:val="24"/>
          <w:szCs w:val="24"/>
        </w:rPr>
      </w:pPr>
      <w:r w:rsidRPr="00103C03">
        <w:rPr>
          <w:rFonts w:ascii="Garamond" w:hAnsi="Garamond"/>
          <w:spacing w:val="-4"/>
          <w:sz w:val="24"/>
          <w:szCs w:val="24"/>
        </w:rPr>
        <w:tab/>
        <w:t xml:space="preserve">1. Ligji nr. 9877, datë 18.2.2008, “Për organizimin e pushtetit gjyqësor në Republikën e Shqipërisë”, të ndryshuar, shfuqizohet me hyrjen në fuqi të këtij ligji, me përjashtim të: </w:t>
      </w:r>
    </w:p>
    <w:p w:rsidR="000D4AEA" w:rsidRDefault="000D4AEA" w:rsidP="000D4AEA">
      <w:pPr>
        <w:widowControl w:val="0"/>
        <w:tabs>
          <w:tab w:val="left" w:pos="270"/>
        </w:tabs>
        <w:spacing w:after="0" w:line="240" w:lineRule="auto"/>
        <w:contextualSpacing/>
        <w:rPr>
          <w:rFonts w:ascii="Garamond" w:hAnsi="Garamond"/>
          <w:spacing w:val="-4"/>
          <w:sz w:val="24"/>
          <w:szCs w:val="24"/>
        </w:rPr>
      </w:pPr>
      <w:r w:rsidRPr="00103C03">
        <w:rPr>
          <w:rFonts w:ascii="Garamond" w:hAnsi="Garamond"/>
          <w:spacing w:val="-4"/>
          <w:sz w:val="24"/>
          <w:szCs w:val="24"/>
        </w:rPr>
        <w:tab/>
      </w:r>
    </w:p>
    <w:p w:rsidR="000D4AEA" w:rsidRPr="00103C03" w:rsidRDefault="000D4AEA" w:rsidP="000D4AEA">
      <w:pPr>
        <w:widowControl w:val="0"/>
        <w:tabs>
          <w:tab w:val="left" w:pos="270"/>
        </w:tabs>
        <w:spacing w:after="0" w:line="240" w:lineRule="auto"/>
        <w:contextualSpacing/>
        <w:rPr>
          <w:rFonts w:ascii="Garamond" w:hAnsi="Garamond"/>
          <w:spacing w:val="-4"/>
          <w:sz w:val="24"/>
          <w:szCs w:val="24"/>
        </w:rPr>
      </w:pPr>
      <w:r w:rsidRPr="00103C03">
        <w:rPr>
          <w:rFonts w:ascii="Garamond" w:hAnsi="Garamond"/>
          <w:spacing w:val="-4"/>
          <w:sz w:val="24"/>
          <w:szCs w:val="24"/>
        </w:rPr>
        <w:lastRenderedPageBreak/>
        <w:t>a) nenit 18, pikat 1 dhe 3, shkronja “b”, të ligjit nr. 9877, datë 18.2.2008 “Për organizimin e pushtetit gjyqësor në Republikën e Shqipërisë”, të ndryshuar, të cilat shfuqizohen katër muaj pas ngritjes së Këshillit të Lartë Gjyqësor;</w:t>
      </w:r>
    </w:p>
    <w:p w:rsidR="000D4AEA" w:rsidRPr="00103C03" w:rsidRDefault="000D4AEA" w:rsidP="000D4AEA">
      <w:pPr>
        <w:widowControl w:val="0"/>
        <w:tabs>
          <w:tab w:val="left" w:pos="270"/>
        </w:tabs>
        <w:spacing w:after="0" w:line="240" w:lineRule="auto"/>
        <w:contextualSpacing/>
        <w:rPr>
          <w:rFonts w:ascii="Garamond" w:hAnsi="Garamond"/>
          <w:spacing w:val="-4"/>
          <w:sz w:val="24"/>
          <w:szCs w:val="24"/>
        </w:rPr>
      </w:pPr>
      <w:r w:rsidRPr="00103C03">
        <w:rPr>
          <w:rFonts w:ascii="Garamond" w:hAnsi="Garamond"/>
          <w:spacing w:val="-4"/>
          <w:sz w:val="24"/>
          <w:szCs w:val="24"/>
        </w:rPr>
        <w:tab/>
        <w:t>b) nenit 18, pika 2, të ligjit nr. 9877, datë 18.2.2008, “Për organizimin e pushtetit gjyqësor në Republikën e Shqipërisë”, të ndryshuar, e cila shfuqizohet 18 muaj pas hyrjes në fuqi të këtij ligji;</w:t>
      </w:r>
    </w:p>
    <w:p w:rsidR="000D4AEA" w:rsidRPr="00103C03" w:rsidRDefault="000D4AEA" w:rsidP="000D4AEA">
      <w:pPr>
        <w:widowControl w:val="0"/>
        <w:tabs>
          <w:tab w:val="left" w:pos="270"/>
        </w:tabs>
        <w:spacing w:after="0" w:line="240" w:lineRule="auto"/>
        <w:contextualSpacing/>
        <w:rPr>
          <w:rFonts w:ascii="Garamond" w:hAnsi="Garamond"/>
          <w:spacing w:val="-4"/>
          <w:sz w:val="24"/>
          <w:szCs w:val="24"/>
        </w:rPr>
      </w:pPr>
      <w:r w:rsidRPr="00103C03">
        <w:rPr>
          <w:rFonts w:ascii="Garamond" w:hAnsi="Garamond"/>
          <w:spacing w:val="-4"/>
          <w:sz w:val="24"/>
          <w:szCs w:val="24"/>
        </w:rPr>
        <w:tab/>
        <w:t>c) nenit 18, pika 4, i ligjit nr. 9877, datë 18.2.2008 “Për organizimin e pushtetit gjyqësor në Republikën e Shqipërisë”, të ndryshuar, e cila shfuqizohet me zgjedhjen e zëvendëskryetarit;</w:t>
      </w:r>
    </w:p>
    <w:p w:rsidR="000D4AEA" w:rsidRPr="00103C03" w:rsidRDefault="000D4AEA" w:rsidP="000D4AEA">
      <w:pPr>
        <w:widowControl w:val="0"/>
        <w:tabs>
          <w:tab w:val="left" w:pos="270"/>
        </w:tabs>
        <w:spacing w:after="0" w:line="240" w:lineRule="auto"/>
        <w:contextualSpacing/>
        <w:rPr>
          <w:rFonts w:ascii="Garamond" w:hAnsi="Garamond"/>
          <w:spacing w:val="-4"/>
          <w:sz w:val="24"/>
          <w:szCs w:val="24"/>
        </w:rPr>
      </w:pPr>
      <w:r w:rsidRPr="00103C03">
        <w:rPr>
          <w:rFonts w:ascii="Garamond" w:hAnsi="Garamond"/>
          <w:spacing w:val="-4"/>
          <w:sz w:val="24"/>
          <w:szCs w:val="24"/>
        </w:rPr>
        <w:tab/>
        <w:t xml:space="preserve">ç) neneve 26 dhe 27, për pagat e gjyqtarëve, të ligjit nr. 9877, datë 18.2.2008, “Për organizimin e pushtetit gjyqësor në Republikën e Shqipërisë” të ndryshuar, të cilat shfuqizohen pasi të jetë vënë në zbatim sistemi i ri i pagave dhe përfitimeve, sipas parashikimeve të ligjit “Për statusin e gjyqtarëve dhe prokurorëve në Republikën e Shqipërisë”. </w:t>
      </w:r>
    </w:p>
    <w:p w:rsidR="000D4AEA" w:rsidRDefault="000D4AEA" w:rsidP="000D4AEA">
      <w:pPr>
        <w:widowControl w:val="0"/>
        <w:spacing w:after="0" w:line="240" w:lineRule="auto"/>
        <w:contextualSpacing/>
        <w:rPr>
          <w:rFonts w:ascii="Garamond" w:hAnsi="Garamond"/>
          <w:spacing w:val="-4"/>
          <w:sz w:val="24"/>
          <w:szCs w:val="24"/>
        </w:rPr>
      </w:pPr>
      <w:r w:rsidRPr="00103C03">
        <w:rPr>
          <w:rFonts w:ascii="Garamond" w:hAnsi="Garamond"/>
          <w:spacing w:val="-4"/>
          <w:sz w:val="24"/>
          <w:szCs w:val="24"/>
        </w:rPr>
        <w:tab/>
        <w:t>2. Ligji nr.</w:t>
      </w:r>
      <w:r w:rsidRPr="00103C03">
        <w:rPr>
          <w:rFonts w:ascii="Garamond" w:hAnsi="Garamond"/>
          <w:spacing w:val="-4"/>
          <w:sz w:val="24"/>
          <w:szCs w:val="24"/>
          <w:shd w:val="clear" w:color="auto" w:fill="FFFFFF"/>
        </w:rPr>
        <w:t xml:space="preserve"> </w:t>
      </w:r>
      <w:r w:rsidRPr="00103C03">
        <w:rPr>
          <w:rFonts w:ascii="Garamond" w:hAnsi="Garamond"/>
          <w:spacing w:val="-4"/>
          <w:sz w:val="24"/>
          <w:szCs w:val="24"/>
        </w:rPr>
        <w:t xml:space="preserve">8588, datë 15.3.2000, “Për organizimin dhe funksionimin e Gjykatës së Lartë në Republikën e Shqipërisë”, të ndryshuar, shfuqizohet me hyrjen në fuqi të këtij ligji, me përjashtim të: </w:t>
      </w:r>
    </w:p>
    <w:p w:rsidR="000D4AEA" w:rsidRDefault="000D4AEA" w:rsidP="000D4AEA">
      <w:pPr>
        <w:widowControl w:val="0"/>
        <w:spacing w:after="0" w:line="240" w:lineRule="auto"/>
        <w:contextualSpacing/>
        <w:rPr>
          <w:rFonts w:ascii="Garamond" w:hAnsi="Garamond"/>
          <w:spacing w:val="-4"/>
          <w:sz w:val="24"/>
          <w:szCs w:val="24"/>
        </w:rPr>
      </w:pPr>
    </w:p>
    <w:p w:rsidR="000D4AEA" w:rsidRPr="00103C03" w:rsidRDefault="000D4AEA" w:rsidP="000D4AEA">
      <w:pPr>
        <w:widowControl w:val="0"/>
        <w:spacing w:after="0" w:line="240" w:lineRule="auto"/>
        <w:contextualSpacing/>
        <w:rPr>
          <w:rFonts w:ascii="Garamond" w:hAnsi="Garamond"/>
          <w:spacing w:val="-4"/>
          <w:sz w:val="24"/>
          <w:szCs w:val="24"/>
        </w:rPr>
      </w:pPr>
    </w:p>
    <w:p w:rsidR="000D4AEA" w:rsidRPr="00103C03" w:rsidRDefault="000D4AEA" w:rsidP="000D4AEA">
      <w:pPr>
        <w:widowControl w:val="0"/>
        <w:spacing w:after="0" w:line="240" w:lineRule="auto"/>
        <w:contextualSpacing/>
        <w:rPr>
          <w:rFonts w:ascii="Garamond" w:hAnsi="Garamond"/>
          <w:spacing w:val="-4"/>
          <w:sz w:val="24"/>
          <w:szCs w:val="24"/>
        </w:rPr>
      </w:pPr>
      <w:r w:rsidRPr="00103C03">
        <w:rPr>
          <w:rFonts w:ascii="Garamond" w:hAnsi="Garamond"/>
          <w:spacing w:val="-4"/>
          <w:sz w:val="24"/>
          <w:szCs w:val="24"/>
        </w:rPr>
        <w:tab/>
        <w:t xml:space="preserve">a) nenit 7, shkronjat “b”, “d”, “dh” dhe “e”, të cilat shfuqizohen 4 muaj pas krijimit të Këshillit të Lartë Gjyqësor; </w:t>
      </w:r>
    </w:p>
    <w:p w:rsidR="000D4AEA" w:rsidRPr="00103C03" w:rsidRDefault="000D4AEA" w:rsidP="000D4AEA">
      <w:pPr>
        <w:widowControl w:val="0"/>
        <w:spacing w:after="0" w:line="240" w:lineRule="auto"/>
        <w:contextualSpacing/>
        <w:rPr>
          <w:rFonts w:ascii="Garamond" w:hAnsi="Garamond"/>
          <w:spacing w:val="-4"/>
          <w:sz w:val="24"/>
          <w:szCs w:val="24"/>
        </w:rPr>
      </w:pPr>
      <w:r w:rsidRPr="00103C03">
        <w:rPr>
          <w:rFonts w:ascii="Garamond" w:hAnsi="Garamond"/>
          <w:spacing w:val="-4"/>
          <w:sz w:val="24"/>
          <w:szCs w:val="24"/>
        </w:rPr>
        <w:tab/>
        <w:t>b) nenit 8, për përzgjedhjen e zëvendëskryetarit, i cili shfuqizohet menjëherë me ngritjen e Këshillit të Lartë Gjyqësor.</w:t>
      </w:r>
    </w:p>
    <w:p w:rsidR="000D4AEA" w:rsidRPr="00103C03" w:rsidRDefault="000D4AEA" w:rsidP="000D4AEA">
      <w:pPr>
        <w:pStyle w:val="Hapesira7"/>
        <w:rPr>
          <w:spacing w:val="-4"/>
          <w:sz w:val="4"/>
        </w:rPr>
      </w:pP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spacing w:val="-4"/>
          <w:sz w:val="24"/>
          <w:szCs w:val="24"/>
        </w:rPr>
        <w:t>Neni 93</w:t>
      </w:r>
    </w:p>
    <w:p w:rsidR="000D4AEA" w:rsidRPr="00103C03" w:rsidRDefault="000D4AEA" w:rsidP="000D4AEA">
      <w:pPr>
        <w:widowControl w:val="0"/>
        <w:shd w:val="clear" w:color="auto" w:fill="FFFFFF"/>
        <w:spacing w:after="0" w:line="240" w:lineRule="auto"/>
        <w:jc w:val="center"/>
        <w:rPr>
          <w:rFonts w:ascii="Garamond" w:hAnsi="Garamond"/>
          <w:spacing w:val="-4"/>
          <w:sz w:val="24"/>
          <w:szCs w:val="24"/>
        </w:rPr>
      </w:pPr>
      <w:r w:rsidRPr="00103C03">
        <w:rPr>
          <w:rFonts w:ascii="Garamond" w:hAnsi="Garamond"/>
          <w:b/>
          <w:spacing w:val="-4"/>
          <w:sz w:val="24"/>
          <w:szCs w:val="24"/>
        </w:rPr>
        <w:t>Hyrja në fuqi</w:t>
      </w:r>
    </w:p>
    <w:p w:rsidR="000D4AEA" w:rsidRPr="00103C03" w:rsidRDefault="000D4AEA" w:rsidP="000D4AEA">
      <w:pPr>
        <w:pStyle w:val="Hapesira7"/>
        <w:rPr>
          <w:spacing w:val="-4"/>
        </w:rPr>
      </w:pPr>
    </w:p>
    <w:p w:rsidR="000D4AEA" w:rsidRPr="00103C03" w:rsidRDefault="000D4AEA" w:rsidP="000D4AEA">
      <w:pPr>
        <w:widowControl w:val="0"/>
        <w:shd w:val="clear" w:color="auto" w:fill="FFFFFF"/>
        <w:spacing w:after="0" w:line="240" w:lineRule="auto"/>
        <w:rPr>
          <w:rFonts w:ascii="Garamond" w:hAnsi="Garamond"/>
          <w:spacing w:val="-4"/>
          <w:sz w:val="24"/>
          <w:szCs w:val="24"/>
        </w:rPr>
      </w:pPr>
      <w:r w:rsidRPr="00103C03">
        <w:rPr>
          <w:rFonts w:ascii="Garamond" w:hAnsi="Garamond"/>
          <w:b/>
          <w:bCs/>
          <w:spacing w:val="-4"/>
          <w:sz w:val="24"/>
          <w:szCs w:val="24"/>
        </w:rPr>
        <w:tab/>
      </w:r>
      <w:r w:rsidRPr="00103C03">
        <w:rPr>
          <w:rFonts w:ascii="Garamond" w:hAnsi="Garamond"/>
          <w:spacing w:val="-4"/>
          <w:sz w:val="24"/>
          <w:szCs w:val="24"/>
        </w:rPr>
        <w:t>Ky ligj hyn në fuqi 15 ditë pas botimit në Fletoren Zyrtare.</w:t>
      </w:r>
      <w:r w:rsidRPr="00103C03">
        <w:rPr>
          <w:rFonts w:ascii="Garamond" w:hAnsi="Garamond"/>
          <w:b/>
          <w:spacing w:val="-4"/>
          <w:kern w:val="2"/>
          <w:sz w:val="24"/>
          <w:szCs w:val="24"/>
        </w:rPr>
        <w:tab/>
      </w:r>
    </w:p>
    <w:p w:rsidR="000D4AEA" w:rsidRPr="00103C03" w:rsidRDefault="000D4AEA" w:rsidP="000D4AEA">
      <w:pPr>
        <w:pStyle w:val="Hapesira7"/>
        <w:jc w:val="right"/>
        <w:rPr>
          <w:spacing w:val="-4"/>
          <w:kern w:val="2"/>
          <w:sz w:val="24"/>
        </w:rPr>
      </w:pPr>
      <w:r w:rsidRPr="00103C03">
        <w:rPr>
          <w:spacing w:val="-4"/>
        </w:rPr>
        <w:t xml:space="preserve"> </w:t>
      </w:r>
      <w:r w:rsidRPr="00103C03">
        <w:rPr>
          <w:spacing w:val="-4"/>
          <w:kern w:val="2"/>
          <w:sz w:val="24"/>
        </w:rPr>
        <w:t>KRYETARI</w:t>
      </w:r>
    </w:p>
    <w:p w:rsidR="000D4AEA" w:rsidRPr="00103C03" w:rsidRDefault="000D4AEA" w:rsidP="000D4AEA">
      <w:pPr>
        <w:widowControl w:val="0"/>
        <w:spacing w:after="0" w:line="240" w:lineRule="auto"/>
        <w:jc w:val="right"/>
        <w:rPr>
          <w:rFonts w:ascii="Garamond" w:hAnsi="Garamond"/>
          <w:b/>
          <w:spacing w:val="-4"/>
          <w:sz w:val="24"/>
          <w:szCs w:val="24"/>
        </w:rPr>
      </w:pPr>
      <w:r w:rsidRPr="00103C03">
        <w:rPr>
          <w:rFonts w:ascii="Garamond" w:hAnsi="Garamond"/>
          <w:b/>
          <w:spacing w:val="-4"/>
          <w:sz w:val="24"/>
          <w:szCs w:val="24"/>
        </w:rPr>
        <w:t>Ilir Meta</w:t>
      </w:r>
    </w:p>
    <w:p w:rsidR="000D4AEA" w:rsidRPr="00103C03" w:rsidRDefault="000D4AEA" w:rsidP="000D4AEA">
      <w:pPr>
        <w:pStyle w:val="Hapesira7"/>
        <w:rPr>
          <w:spacing w:val="-4"/>
        </w:rPr>
      </w:pPr>
    </w:p>
    <w:p w:rsidR="000D4AEA" w:rsidRPr="00103C03" w:rsidRDefault="000D4AEA" w:rsidP="000D4AEA">
      <w:pPr>
        <w:widowControl w:val="0"/>
        <w:spacing w:after="0" w:line="240" w:lineRule="auto"/>
        <w:rPr>
          <w:rFonts w:ascii="Garamond" w:hAnsi="Garamond"/>
          <w:spacing w:val="-4"/>
          <w:sz w:val="24"/>
          <w:szCs w:val="24"/>
        </w:rPr>
      </w:pPr>
      <w:r w:rsidRPr="00103C03">
        <w:rPr>
          <w:rFonts w:ascii="Garamond" w:hAnsi="Garamond"/>
          <w:spacing w:val="-4"/>
          <w:sz w:val="24"/>
          <w:szCs w:val="24"/>
        </w:rPr>
        <w:t xml:space="preserve">Miratuar në datën 6.10.2016  </w:t>
      </w:r>
    </w:p>
    <w:p w:rsidR="000D4AEA" w:rsidRDefault="000D4AEA" w:rsidP="000D4AEA">
      <w:pPr>
        <w:widowControl w:val="0"/>
        <w:spacing w:after="0" w:line="240" w:lineRule="auto"/>
        <w:rPr>
          <w:rFonts w:ascii="Garamond" w:hAnsi="Garamond"/>
          <w:spacing w:val="-4"/>
          <w:sz w:val="24"/>
          <w:szCs w:val="24"/>
        </w:rPr>
      </w:pPr>
    </w:p>
    <w:p w:rsidR="004F59B3" w:rsidRDefault="004F59B3"/>
    <w:sectPr w:rsidR="004F59B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749C" w:rsidRDefault="000D4AEA">
      <w:pPr>
        <w:spacing w:after="0" w:line="240" w:lineRule="auto"/>
      </w:pPr>
      <w:r>
        <w:separator/>
      </w:r>
    </w:p>
  </w:endnote>
  <w:endnote w:type="continuationSeparator" w:id="0">
    <w:p w:rsidR="0052749C" w:rsidRDefault="000D4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sdtContent>
      <w:p w:rsidR="0072225D" w:rsidRPr="00E9567B" w:rsidRDefault="00E9567B" w:rsidP="00E9567B">
        <w:r w:rsidRPr="00E9567B">
          <w:t>Faqe|</w:t>
        </w:r>
        <w:r w:rsidRPr="00E9567B">
          <w:fldChar w:fldCharType="begin"/>
        </w:r>
        <w:r w:rsidRPr="00E9567B">
          <w:instrText xml:space="preserve"> PAGE   \* MERGEFORMAT </w:instrText>
        </w:r>
        <w:r w:rsidRPr="00E9567B">
          <w:fldChar w:fldCharType="separate"/>
        </w:r>
        <w:r w:rsidRPr="00E9567B">
          <w:t>22364</w:t>
        </w:r>
        <w:r w:rsidRPr="00E9567B">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25D" w:rsidRPr="00E9567B" w:rsidRDefault="0086528F" w:rsidP="00E9567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892620"/>
      <w:docPartObj>
        <w:docPartGallery w:val="Page Numbers (Bottom of Page)"/>
        <w:docPartUnique/>
      </w:docPartObj>
    </w:sdtPr>
    <w:sdtEndPr/>
    <w:sdtContent>
      <w:p w:rsidR="0072225D" w:rsidRPr="00E9567B" w:rsidRDefault="00E9567B" w:rsidP="00E9567B">
        <w:r w:rsidRPr="00E9567B">
          <w:t>Faqe|</w:t>
        </w:r>
        <w:r w:rsidRPr="00E9567B">
          <w:fldChar w:fldCharType="begin"/>
        </w:r>
        <w:r w:rsidRPr="00E9567B">
          <w:instrText xml:space="preserve"> PAGE   \* MERGEFORMAT </w:instrText>
        </w:r>
        <w:r w:rsidRPr="00E9567B">
          <w:fldChar w:fldCharType="separate"/>
        </w:r>
        <w:r w:rsidRPr="00E9567B">
          <w:t>1</w:t>
        </w:r>
        <w:r w:rsidRPr="00E9567B">
          <w:fldChar w:fldCharType="end"/>
        </w:r>
      </w:p>
    </w:sdtContent>
  </w:sdt>
  <w:p w:rsidR="0072225D" w:rsidRPr="00E9567B" w:rsidRDefault="0086528F" w:rsidP="00E9567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749C" w:rsidRDefault="000D4AEA">
      <w:pPr>
        <w:spacing w:after="0" w:line="240" w:lineRule="auto"/>
      </w:pPr>
      <w:r>
        <w:separator/>
      </w:r>
    </w:p>
  </w:footnote>
  <w:footnote w:type="continuationSeparator" w:id="0">
    <w:p w:rsidR="0052749C" w:rsidRDefault="000D4A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72225D" w:rsidRPr="00E9567B" w:rsidTr="00287D3E">
      <w:trPr>
        <w:trHeight w:val="936"/>
        <w:jc w:val="center"/>
      </w:trPr>
      <w:tc>
        <w:tcPr>
          <w:tcW w:w="2811" w:type="dxa"/>
          <w:shd w:val="pct5" w:color="auto" w:fill="F2F2F2"/>
          <w:vAlign w:val="center"/>
        </w:tcPr>
        <w:p w:rsidR="0072225D" w:rsidRPr="00E9567B" w:rsidRDefault="00E9567B" w:rsidP="00E9567B">
          <w:r w:rsidRPr="00E9567B">
            <w:t>Fletorja Zyrtare</w:t>
          </w:r>
        </w:p>
      </w:tc>
      <w:tc>
        <w:tcPr>
          <w:tcW w:w="3952" w:type="dxa"/>
          <w:shd w:val="pct5" w:color="auto" w:fill="F2F2F2"/>
          <w:vAlign w:val="center"/>
        </w:tcPr>
        <w:p w:rsidR="0072225D" w:rsidRPr="00E9567B" w:rsidRDefault="00E9567B" w:rsidP="00E9567B">
          <w:r w:rsidRPr="00E9567B">
            <w:rPr>
              <w:noProof/>
            </w:rPr>
            <w:drawing>
              <wp:inline distT="0" distB="0" distL="0" distR="0" wp14:anchorId="32167AE3" wp14:editId="2375266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72225D" w:rsidRPr="00E9567B" w:rsidRDefault="00E9567B" w:rsidP="00E9567B">
          <w:r w:rsidRPr="00E9567B">
            <w:t xml:space="preserve"> Viti 2016 – Numri 209</w:t>
          </w:r>
        </w:p>
      </w:tc>
    </w:tr>
  </w:tbl>
  <w:p w:rsidR="0072225D" w:rsidRPr="00E9567B" w:rsidRDefault="0086528F" w:rsidP="00E9567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25D" w:rsidRPr="00E9567B" w:rsidRDefault="0086528F" w:rsidP="00E9567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25D" w:rsidRPr="00E9567B" w:rsidRDefault="0086528F" w:rsidP="00E9567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BB9"/>
    <w:rsid w:val="000D4AEA"/>
    <w:rsid w:val="003D6BB9"/>
    <w:rsid w:val="004F59B3"/>
    <w:rsid w:val="0052749C"/>
    <w:rsid w:val="0086528F"/>
    <w:rsid w:val="00E95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0D4AE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D4AE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D4AE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D4AE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D4AE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D4AE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0D4AE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D4AE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0D4AE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D4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D4AEA"/>
    <w:rPr>
      <w:rFonts w:ascii="Tahoma" w:hAnsi="Tahoma" w:cs="Tahoma"/>
      <w:sz w:val="16"/>
      <w:szCs w:val="16"/>
    </w:rPr>
  </w:style>
  <w:style w:type="character" w:customStyle="1" w:styleId="Heading1Char">
    <w:name w:val="Heading 1 Char"/>
    <w:aliases w:val="Heading 1 Char1 Char1,Heading 1 Char1 Char Char,Heading 1 Char Char Char Char,Kreu Char,Heading 1. Char"/>
    <w:basedOn w:val="DefaultParagraphFont"/>
    <w:link w:val="Heading1"/>
    <w:rsid w:val="000D4AEA"/>
    <w:rPr>
      <w:rFonts w:ascii="Arial" w:eastAsia="MS Mincho" w:hAnsi="Arial" w:cs="Arial"/>
      <w:b/>
      <w:bCs/>
      <w:kern w:val="32"/>
      <w:sz w:val="32"/>
      <w:szCs w:val="32"/>
    </w:rPr>
  </w:style>
  <w:style w:type="character" w:customStyle="1" w:styleId="Heading2Char">
    <w:name w:val="Heading 2 Char"/>
    <w:aliases w:val="Pika Char"/>
    <w:basedOn w:val="DefaultParagraphFont"/>
    <w:rsid w:val="000D4AEA"/>
    <w:rPr>
      <w:rFonts w:ascii="Cambria" w:eastAsia="MS Mincho" w:hAnsi="Cambria" w:cs="Cambria"/>
      <w:b/>
      <w:bCs/>
      <w:sz w:val="26"/>
      <w:szCs w:val="26"/>
    </w:rPr>
  </w:style>
  <w:style w:type="character" w:customStyle="1" w:styleId="Heading3Char">
    <w:name w:val="Heading 3 Char"/>
    <w:aliases w:val="Germa Char"/>
    <w:basedOn w:val="DefaultParagraphFont"/>
    <w:rsid w:val="000D4AEA"/>
    <w:rPr>
      <w:rFonts w:ascii="Cambria" w:eastAsia="MS Mincho" w:hAnsi="Cambria" w:cs="Cambria"/>
      <w:b/>
      <w:bCs/>
      <w:sz w:val="24"/>
      <w:szCs w:val="24"/>
    </w:rPr>
  </w:style>
  <w:style w:type="character" w:customStyle="1" w:styleId="Heading4Char">
    <w:name w:val="Heading 4 Char"/>
    <w:basedOn w:val="DefaultParagraphFont"/>
    <w:link w:val="Heading4"/>
    <w:rsid w:val="000D4AEA"/>
    <w:rPr>
      <w:rFonts w:ascii="Cambria" w:eastAsia="MS Mincho" w:hAnsi="Cambria" w:cs="Cambria"/>
      <w:b/>
      <w:bCs/>
      <w:i/>
      <w:iCs/>
      <w:sz w:val="24"/>
      <w:szCs w:val="24"/>
    </w:rPr>
  </w:style>
  <w:style w:type="character" w:customStyle="1" w:styleId="Heading5Char">
    <w:name w:val="Heading 5 Char"/>
    <w:basedOn w:val="DefaultParagraphFont"/>
    <w:link w:val="Heading5"/>
    <w:rsid w:val="000D4AE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D4AE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0D4AE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D4AEA"/>
    <w:rPr>
      <w:rFonts w:ascii="Cambria" w:eastAsia="MS Mincho" w:hAnsi="Cambria" w:cs="Cambria"/>
      <w:sz w:val="20"/>
      <w:szCs w:val="20"/>
    </w:rPr>
  </w:style>
  <w:style w:type="character" w:customStyle="1" w:styleId="Heading9Char">
    <w:name w:val="Heading 9 Char"/>
    <w:basedOn w:val="DefaultParagraphFont"/>
    <w:link w:val="Heading9"/>
    <w:rsid w:val="000D4AEA"/>
    <w:rPr>
      <w:rFonts w:ascii="Cambria" w:eastAsia="MS Mincho" w:hAnsi="Cambria" w:cs="Cambria"/>
      <w:i/>
      <w:iCs/>
      <w:spacing w:val="5"/>
      <w:sz w:val="20"/>
      <w:szCs w:val="20"/>
    </w:rPr>
  </w:style>
  <w:style w:type="paragraph" w:styleId="NoSpacing">
    <w:name w:val="No Spacing"/>
    <w:link w:val="NoSpacingChar"/>
    <w:uiPriority w:val="1"/>
    <w:qFormat/>
    <w:rsid w:val="000D4AE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D4AE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D4AE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0D4AEA"/>
    <w:rPr>
      <w:rFonts w:ascii="Calibri" w:eastAsia="Calibri" w:hAnsi="Calibri" w:cs="Times New Roman"/>
    </w:rPr>
  </w:style>
  <w:style w:type="paragraph" w:styleId="Footer">
    <w:name w:val="footer"/>
    <w:basedOn w:val="Normal"/>
    <w:link w:val="FooterChar"/>
    <w:uiPriority w:val="99"/>
    <w:unhideWhenUsed/>
    <w:rsid w:val="000D4AE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0D4AEA"/>
    <w:rPr>
      <w:rFonts w:ascii="Calibri" w:eastAsia="Calibri" w:hAnsi="Calibri" w:cs="Times New Roman"/>
    </w:rPr>
  </w:style>
  <w:style w:type="paragraph" w:customStyle="1" w:styleId="Akti">
    <w:name w:val="Akti"/>
    <w:link w:val="AktiChar"/>
    <w:rsid w:val="000D4AE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4AE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4AEA"/>
    <w:rPr>
      <w:rFonts w:ascii="Garamond" w:eastAsia="MS Mincho" w:hAnsi="Garamond" w:cs="CG Times"/>
      <w:b/>
      <w:bCs/>
      <w:sz w:val="24"/>
      <w:lang w:val="en-GB"/>
    </w:rPr>
  </w:style>
  <w:style w:type="paragraph" w:customStyle="1" w:styleId="Paragrafi">
    <w:name w:val="Paragrafi"/>
    <w:link w:val="ParagrafiChar"/>
    <w:rsid w:val="000D4AE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4AEA"/>
    <w:rPr>
      <w:rFonts w:ascii="Garamond" w:eastAsia="MS Mincho" w:hAnsi="Garamond" w:cs="CG Times"/>
      <w:sz w:val="24"/>
    </w:rPr>
  </w:style>
  <w:style w:type="paragraph" w:customStyle="1" w:styleId="Titulli">
    <w:name w:val="Titulli"/>
    <w:next w:val="Normal"/>
    <w:link w:val="TitulliChar"/>
    <w:rsid w:val="000D4AE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4AEA"/>
    <w:rPr>
      <w:rFonts w:ascii="Garamond" w:eastAsia="MS Mincho" w:hAnsi="Garamond" w:cs="CG Times"/>
      <w:b/>
      <w:bCs/>
      <w:caps/>
      <w:sz w:val="24"/>
      <w:lang w:val="en-GB"/>
    </w:rPr>
  </w:style>
  <w:style w:type="character" w:customStyle="1" w:styleId="AktiChar">
    <w:name w:val="Akti Char"/>
    <w:basedOn w:val="DefaultParagraphFont"/>
    <w:link w:val="Akti"/>
    <w:rsid w:val="000D4AEA"/>
    <w:rPr>
      <w:rFonts w:ascii="Garamond" w:eastAsia="MS Mincho" w:hAnsi="Garamond" w:cs="CG Times"/>
      <w:b/>
      <w:bCs/>
      <w:caps/>
      <w:color w:val="000000"/>
      <w:sz w:val="24"/>
      <w:lang w:val="en-GB"/>
    </w:rPr>
  </w:style>
  <w:style w:type="paragraph" w:customStyle="1" w:styleId="NeniNr">
    <w:name w:val="Neni_Nr"/>
    <w:next w:val="Normal"/>
    <w:link w:val="NeniNrChar"/>
    <w:rsid w:val="000D4A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D4AE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D4AEA"/>
    <w:rPr>
      <w:rFonts w:ascii="Garamond" w:eastAsia="MS Mincho" w:hAnsi="Garamond" w:cs="CG Times"/>
      <w:sz w:val="24"/>
      <w:lang w:val="en-GB"/>
    </w:rPr>
  </w:style>
  <w:style w:type="paragraph" w:customStyle="1" w:styleId="Autoriteti">
    <w:name w:val="Autoriteti"/>
    <w:next w:val="Normal"/>
    <w:link w:val="AutoritetiChar"/>
    <w:rsid w:val="000D4A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4A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D4AEA"/>
    <w:rPr>
      <w:rFonts w:ascii="Garamond" w:eastAsia="MS Mincho" w:hAnsi="Garamond" w:cs="CG Times"/>
      <w:caps/>
      <w:sz w:val="24"/>
      <w:lang w:val="en-GB"/>
    </w:rPr>
  </w:style>
  <w:style w:type="character" w:customStyle="1" w:styleId="AutoritetiEmerChar">
    <w:name w:val="Autoriteti_Emer Char"/>
    <w:link w:val="AutoritetiEmer"/>
    <w:locked/>
    <w:rsid w:val="000D4AEA"/>
    <w:rPr>
      <w:rFonts w:ascii="Garamond" w:eastAsia="MS Mincho" w:hAnsi="Garamond" w:cs="Times New Roman"/>
      <w:b/>
      <w:bCs/>
      <w:sz w:val="24"/>
      <w:lang w:val="en-GB"/>
    </w:rPr>
  </w:style>
  <w:style w:type="paragraph" w:customStyle="1" w:styleId="Titull-Titull">
    <w:name w:val="Titull-Titull"/>
    <w:basedOn w:val="Paragrafi"/>
    <w:qFormat/>
    <w:rsid w:val="000D4AEA"/>
    <w:pPr>
      <w:ind w:firstLine="0"/>
      <w:jc w:val="center"/>
    </w:pPr>
    <w:rPr>
      <w:caps/>
      <w:szCs w:val="24"/>
    </w:rPr>
  </w:style>
  <w:style w:type="paragraph" w:customStyle="1" w:styleId="Vendosi">
    <w:name w:val="Vendosi"/>
    <w:basedOn w:val="Titull-Titull"/>
    <w:qFormat/>
    <w:rsid w:val="000D4AEA"/>
  </w:style>
  <w:style w:type="paragraph" w:customStyle="1" w:styleId="Hapesira7">
    <w:name w:val="Hapesira 7"/>
    <w:basedOn w:val="Paragrafi"/>
    <w:qFormat/>
    <w:rsid w:val="000D4AEA"/>
    <w:rPr>
      <w:sz w:val="14"/>
      <w:szCs w:val="24"/>
    </w:rPr>
  </w:style>
  <w:style w:type="paragraph" w:styleId="ListParagraph">
    <w:name w:val="List Paragraph"/>
    <w:aliases w:val="List Paragraph2"/>
    <w:basedOn w:val="Normal"/>
    <w:link w:val="ListParagraphChar"/>
    <w:uiPriority w:val="34"/>
    <w:qFormat/>
    <w:rsid w:val="000D4AE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0D4AEA"/>
    <w:rPr>
      <w:rFonts w:ascii="Calibri" w:eastAsia="Times New Roman" w:hAnsi="Calibri" w:cs="Times New Roman"/>
    </w:rPr>
  </w:style>
  <w:style w:type="paragraph" w:customStyle="1" w:styleId="Style1">
    <w:name w:val="Style1"/>
    <w:basedOn w:val="Akti"/>
    <w:link w:val="Style1Char"/>
    <w:qFormat/>
    <w:rsid w:val="000D4AEA"/>
  </w:style>
  <w:style w:type="character" w:customStyle="1" w:styleId="Heading2Char1">
    <w:name w:val="Heading 2 Char1"/>
    <w:link w:val="Heading2"/>
    <w:locked/>
    <w:rsid w:val="000D4AEA"/>
    <w:rPr>
      <w:rFonts w:ascii="Cambria" w:eastAsia="MS Mincho" w:hAnsi="Cambria" w:cs="Cambria"/>
      <w:b/>
      <w:bCs/>
      <w:sz w:val="26"/>
      <w:szCs w:val="26"/>
    </w:rPr>
  </w:style>
  <w:style w:type="character" w:customStyle="1" w:styleId="Heading3Char1">
    <w:name w:val="Heading 3 Char1"/>
    <w:aliases w:val="Germa Char1"/>
    <w:link w:val="Heading3"/>
    <w:locked/>
    <w:rsid w:val="000D4AEA"/>
    <w:rPr>
      <w:rFonts w:ascii="Cambria" w:eastAsia="MS Mincho" w:hAnsi="Cambria" w:cs="Cambria"/>
      <w:b/>
      <w:bCs/>
      <w:sz w:val="24"/>
      <w:szCs w:val="24"/>
    </w:rPr>
  </w:style>
  <w:style w:type="paragraph" w:customStyle="1" w:styleId="ADDRESS">
    <w:name w:val="ADDRESS"/>
    <w:basedOn w:val="Normal"/>
    <w:rsid w:val="000D4AE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0D4AEA"/>
    <w:pPr>
      <w:spacing w:after="0" w:line="240" w:lineRule="auto"/>
      <w:jc w:val="both"/>
    </w:pPr>
    <w:rPr>
      <w:rFonts w:ascii="CG Times" w:eastAsia="MS Mincho" w:hAnsi="CG Times" w:cs="CG Times"/>
      <w:sz w:val="21"/>
      <w:lang w:val="en-GB"/>
    </w:rPr>
  </w:style>
  <w:style w:type="paragraph" w:customStyle="1" w:styleId="AneksiNr">
    <w:name w:val="Aneksi_Nr"/>
    <w:next w:val="Normal"/>
    <w:rsid w:val="000D4AE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D4AE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0D4AE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D4AEA"/>
    <w:rPr>
      <w:rFonts w:ascii="Arial" w:eastAsia="Times New Roman" w:hAnsi="Arial" w:cs="Arial"/>
      <w:color w:val="000000"/>
      <w:sz w:val="24"/>
      <w:szCs w:val="24"/>
    </w:rPr>
  </w:style>
  <w:style w:type="paragraph" w:customStyle="1" w:styleId="BazLigjPropozues">
    <w:name w:val="Baz_Ligj_Propozues"/>
    <w:rsid w:val="000D4AE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0D4AE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0D4AEA"/>
    <w:rPr>
      <w:rFonts w:ascii="Times New Roman" w:eastAsia="Times New Roman" w:hAnsi="Times New Roman" w:cs="Times New Roman"/>
      <w:caps/>
      <w:sz w:val="26"/>
      <w:szCs w:val="26"/>
      <w:lang w:val="en-GB"/>
    </w:rPr>
  </w:style>
  <w:style w:type="character" w:customStyle="1" w:styleId="apple-converted-space">
    <w:name w:val="apple-converted-space"/>
    <w:rsid w:val="000D4AEA"/>
  </w:style>
  <w:style w:type="character" w:styleId="Hyperlink">
    <w:name w:val="Hyperlink"/>
    <w:uiPriority w:val="99"/>
    <w:unhideWhenUsed/>
    <w:rsid w:val="000D4AEA"/>
    <w:rPr>
      <w:color w:val="0000FF"/>
      <w:u w:val="single"/>
    </w:rPr>
  </w:style>
  <w:style w:type="character" w:styleId="FollowedHyperlink">
    <w:name w:val="FollowedHyperlink"/>
    <w:uiPriority w:val="99"/>
    <w:unhideWhenUsed/>
    <w:rsid w:val="000D4AEA"/>
    <w:rPr>
      <w:color w:val="800080"/>
      <w:u w:val="single"/>
    </w:rPr>
  </w:style>
  <w:style w:type="paragraph" w:customStyle="1" w:styleId="font5">
    <w:name w:val="font5"/>
    <w:basedOn w:val="Normal"/>
    <w:rsid w:val="000D4AE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0D4AE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0D4AE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0D4AE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0D4AE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0D4AE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D4AE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0D4AE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0D4AE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0D4AE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0D4AE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0D4AE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D4AEA"/>
    <w:pPr>
      <w:pageBreakBefore/>
      <w:spacing w:after="0" w:line="240" w:lineRule="auto"/>
      <w:jc w:val="both"/>
    </w:pPr>
    <w:rPr>
      <w:rFonts w:ascii="CG Times" w:eastAsia="MS Mincho" w:hAnsi="CG Times" w:cs="CG Times"/>
      <w:b/>
      <w:bCs/>
      <w:sz w:val="21"/>
    </w:rPr>
  </w:style>
  <w:style w:type="paragraph" w:customStyle="1" w:styleId="KapitulliNr">
    <w:name w:val="Kapitulli_Nr"/>
    <w:rsid w:val="000D4AE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D4AE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D4AE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D4AE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D4AE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0D4AE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0D4AE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0D4AE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0D4AE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0D4AE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0D4AE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0D4AE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0D4AE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D4AE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D4AE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D4AE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0D4AE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0D4AE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0D4AE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0D4AE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0D4AE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0D4AE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0D4AE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0D4AE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D4AEA"/>
  </w:style>
  <w:style w:type="paragraph" w:customStyle="1" w:styleId="PjesaNr">
    <w:name w:val="Pjesa_Nr"/>
    <w:next w:val="Normal"/>
    <w:rsid w:val="000D4AE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D4AE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D4AE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0D4AE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0D4AE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D4AE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0D4AE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0D4AE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0D4AE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0D4AE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0D4AE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D4AE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0D4AE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0D4AE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0D4AE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0D4AE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0D4AE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0D4AE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0D4AE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D4AE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0D4AE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0D4AE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0D4AE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0D4AE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0D4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0D4AE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0D4AE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0D4AE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0D4AEA"/>
    <w:rPr>
      <w:b/>
      <w:bCs/>
    </w:rPr>
  </w:style>
  <w:style w:type="paragraph" w:customStyle="1" w:styleId="xl136">
    <w:name w:val="xl136"/>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0D4AE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0D4AE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0D4AE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0D4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0D4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0D4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0D4AE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0D4AE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0D4AE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0D4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0D4AE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0D4A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0D4AEA"/>
  </w:style>
  <w:style w:type="paragraph" w:styleId="Title">
    <w:name w:val="Title"/>
    <w:basedOn w:val="Heading1"/>
    <w:next w:val="Normal"/>
    <w:link w:val="TitleChar"/>
    <w:uiPriority w:val="99"/>
    <w:qFormat/>
    <w:rsid w:val="000D4AE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D4AE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0D4AE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0D4AE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0D4AE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0D4AE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0D4AE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0D4AE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0D4AE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0D4AE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0D4AE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0D4AE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0D4AE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0D4AEA"/>
    <w:rPr>
      <w:rFonts w:ascii="Calibri" w:eastAsia="Calibri" w:hAnsi="Calibri" w:cs="Times New Roman"/>
    </w:rPr>
  </w:style>
  <w:style w:type="paragraph" w:customStyle="1" w:styleId="numridata0">
    <w:name w:val="numridata"/>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0D4AE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0D4AE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0D4AEA"/>
    <w:rPr>
      <w:rFonts w:ascii="Times New Roman" w:eastAsia="Times New Roman" w:hAnsi="Times New Roman" w:cs="Times New Roman"/>
      <w:sz w:val="16"/>
      <w:szCs w:val="16"/>
    </w:rPr>
  </w:style>
  <w:style w:type="paragraph" w:customStyle="1" w:styleId="s32b251d">
    <w:name w:val="s32b251d"/>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0D4AEA"/>
  </w:style>
  <w:style w:type="paragraph" w:customStyle="1" w:styleId="s30eec3f8">
    <w:name w:val="s30eec3f8"/>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0D4AEA"/>
    <w:rPr>
      <w:sz w:val="24"/>
      <w:lang w:val="en-GB" w:eastAsia="fr-FR"/>
    </w:rPr>
  </w:style>
  <w:style w:type="paragraph" w:customStyle="1" w:styleId="JuPara">
    <w:name w:val="Ju_Para"/>
    <w:basedOn w:val="Normal"/>
    <w:link w:val="JuParaCar"/>
    <w:rsid w:val="000D4AE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0D4AE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D4AE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D4AE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D4AE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0D4AEA"/>
    <w:rPr>
      <w:vertAlign w:val="superscript"/>
    </w:rPr>
  </w:style>
  <w:style w:type="paragraph" w:customStyle="1" w:styleId="ju-005fpara">
    <w:name w:val="ju-005fpara"/>
    <w:basedOn w:val="Normal"/>
    <w:rsid w:val="000D4AE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0D4AEA"/>
  </w:style>
  <w:style w:type="character" w:customStyle="1" w:styleId="s7d2086b4">
    <w:name w:val="s7d2086b4"/>
    <w:basedOn w:val="DefaultParagraphFont"/>
    <w:uiPriority w:val="99"/>
    <w:rsid w:val="000D4AEA"/>
  </w:style>
  <w:style w:type="character" w:customStyle="1" w:styleId="hps">
    <w:name w:val="hps"/>
    <w:basedOn w:val="DefaultParagraphFont"/>
    <w:rsid w:val="000D4AEA"/>
  </w:style>
  <w:style w:type="paragraph" w:customStyle="1" w:styleId="paragrafi0">
    <w:name w:val="paragrafi"/>
    <w:basedOn w:val="Normal"/>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0D4AE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0D4AEA"/>
    <w:rPr>
      <w:rFonts w:cs="Times New Roman"/>
    </w:rPr>
  </w:style>
  <w:style w:type="paragraph" w:customStyle="1" w:styleId="titulli0">
    <w:name w:val="titull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0D4AEA"/>
  </w:style>
  <w:style w:type="paragraph" w:customStyle="1" w:styleId="akti0">
    <w:name w:val="akt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0D4AEA"/>
  </w:style>
  <w:style w:type="paragraph" w:customStyle="1" w:styleId="CM49">
    <w:name w:val="CM49"/>
    <w:basedOn w:val="Normal"/>
    <w:next w:val="Normal"/>
    <w:rsid w:val="000D4AE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0D4AE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0D4AE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0D4AEA"/>
    <w:pPr>
      <w:widowControl w:val="0"/>
    </w:pPr>
    <w:rPr>
      <w:rFonts w:ascii="Helvetica" w:eastAsia="Times New Roman" w:hAnsi="Helvetica" w:cs="Helvetica"/>
      <w:lang w:val="sq-AL"/>
    </w:rPr>
  </w:style>
  <w:style w:type="paragraph" w:customStyle="1" w:styleId="CM57">
    <w:name w:val="CM57"/>
    <w:basedOn w:val="Normal"/>
    <w:next w:val="Normal"/>
    <w:rsid w:val="000D4AE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0D4AE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0D4AE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D4A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D4AE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D4AEA"/>
  </w:style>
  <w:style w:type="character" w:customStyle="1" w:styleId="StyleHeading6BoldChar">
    <w:name w:val="Style Heading 6 + Bold Char"/>
    <w:link w:val="StyleHeading6Bold"/>
    <w:rsid w:val="000D4AEA"/>
    <w:rPr>
      <w:rFonts w:ascii="Cambria" w:eastAsia="MS Mincho" w:hAnsi="Cambria" w:cs="Cambria"/>
      <w:b/>
      <w:bCs/>
      <w:i/>
      <w:iCs/>
      <w:color w:val="7F7F7F"/>
      <w:sz w:val="24"/>
      <w:szCs w:val="24"/>
    </w:rPr>
  </w:style>
  <w:style w:type="paragraph" w:customStyle="1" w:styleId="tableheaders">
    <w:name w:val="table headers"/>
    <w:rsid w:val="000D4AE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D4AEA"/>
    <w:rPr>
      <w:b w:val="0"/>
    </w:rPr>
  </w:style>
  <w:style w:type="paragraph" w:styleId="PlainText">
    <w:name w:val="Plain Text"/>
    <w:basedOn w:val="Normal"/>
    <w:link w:val="PlainTextChar"/>
    <w:uiPriority w:val="99"/>
    <w:unhideWhenUsed/>
    <w:rsid w:val="000D4AE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0D4AEA"/>
    <w:rPr>
      <w:rFonts w:ascii="Consolas" w:eastAsia="Calibri" w:hAnsi="Consolas" w:cs="Times New Roman"/>
      <w:sz w:val="21"/>
      <w:szCs w:val="21"/>
      <w:lang w:val="sq-AL"/>
    </w:rPr>
  </w:style>
  <w:style w:type="paragraph" w:customStyle="1" w:styleId="StyleStyle1Bold">
    <w:name w:val="Style Style1 + Bold"/>
    <w:basedOn w:val="Style1"/>
    <w:rsid w:val="000D4AEA"/>
  </w:style>
  <w:style w:type="paragraph" w:customStyle="1" w:styleId="CM1">
    <w:name w:val="CM1"/>
    <w:basedOn w:val="Default"/>
    <w:next w:val="Default"/>
    <w:rsid w:val="000D4AEA"/>
    <w:rPr>
      <w:rFonts w:ascii="EUAlbertina" w:hAnsi="EUAlbertina"/>
      <w:color w:val="auto"/>
    </w:rPr>
  </w:style>
  <w:style w:type="paragraph" w:customStyle="1" w:styleId="CM4">
    <w:name w:val="CM4"/>
    <w:basedOn w:val="Normal"/>
    <w:next w:val="Normal"/>
    <w:rsid w:val="000D4AE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0D4AE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0D4AE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0D4AEA"/>
    <w:rPr>
      <w:rFonts w:ascii="Tahoma" w:eastAsia="Times New Roman" w:hAnsi="Tahoma" w:cs="Times New Roman"/>
      <w:sz w:val="16"/>
      <w:szCs w:val="16"/>
      <w:lang w:val="sq-AL"/>
    </w:rPr>
  </w:style>
  <w:style w:type="numbering" w:customStyle="1" w:styleId="NoList3">
    <w:name w:val="No List3"/>
    <w:next w:val="NoList"/>
    <w:semiHidden/>
    <w:rsid w:val="000D4AEA"/>
  </w:style>
  <w:style w:type="numbering" w:customStyle="1" w:styleId="NoList4">
    <w:name w:val="No List4"/>
    <w:next w:val="NoList"/>
    <w:semiHidden/>
    <w:rsid w:val="000D4AEA"/>
  </w:style>
  <w:style w:type="paragraph" w:customStyle="1" w:styleId="Point1">
    <w:name w:val="Point 1"/>
    <w:basedOn w:val="Normal"/>
    <w:link w:val="Point1Char"/>
    <w:rsid w:val="000D4AE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0D4AEA"/>
    <w:rPr>
      <w:rFonts w:ascii="Calibri" w:eastAsia="Times New Roman" w:hAnsi="Calibri" w:cs="Times New Roman"/>
      <w:sz w:val="24"/>
      <w:szCs w:val="24"/>
      <w:lang w:val="en-GB" w:eastAsia="en-GB"/>
    </w:rPr>
  </w:style>
  <w:style w:type="character" w:customStyle="1" w:styleId="longtext">
    <w:name w:val="long_text"/>
    <w:rsid w:val="000D4AEA"/>
    <w:rPr>
      <w:rFonts w:ascii="Comic Sans MS" w:hAnsi="Comic Sans MS"/>
      <w:b/>
      <w:sz w:val="96"/>
      <w:szCs w:val="24"/>
      <w:lang w:val="pl-PL" w:eastAsia="pl-PL" w:bidi="ar-SA"/>
    </w:rPr>
  </w:style>
  <w:style w:type="paragraph" w:customStyle="1" w:styleId="Text1">
    <w:name w:val="Text 1"/>
    <w:basedOn w:val="Normal"/>
    <w:link w:val="Text1Char"/>
    <w:rsid w:val="000D4AE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0D4AE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0D4AE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0D4AE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0D4AE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0D4AEA"/>
  </w:style>
  <w:style w:type="character" w:customStyle="1" w:styleId="SectionTitleCharCharChar">
    <w:name w:val="SectionTitle Char Char Char"/>
    <w:link w:val="SectionTitleCharChar"/>
    <w:rsid w:val="000D4AE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D4AEA"/>
    <w:rPr>
      <w:rFonts w:ascii="Calibri" w:eastAsia="Times New Roman" w:hAnsi="Calibri" w:cs="Times New Roman"/>
      <w:b/>
      <w:bCs/>
      <w:smallCaps/>
      <w:sz w:val="28"/>
      <w:szCs w:val="28"/>
      <w:lang w:val="en-GB" w:eastAsia="en-GB"/>
    </w:rPr>
  </w:style>
  <w:style w:type="character" w:customStyle="1" w:styleId="Text1Char">
    <w:name w:val="Text 1 Char"/>
    <w:link w:val="Text1"/>
    <w:rsid w:val="000D4AEA"/>
    <w:rPr>
      <w:rFonts w:ascii="Calibri" w:eastAsia="Times New Roman" w:hAnsi="Calibri" w:cs="Times New Roman"/>
      <w:sz w:val="24"/>
      <w:szCs w:val="24"/>
      <w:lang w:val="en-GB" w:eastAsia="en-GB"/>
    </w:rPr>
  </w:style>
  <w:style w:type="character" w:customStyle="1" w:styleId="Point1CharChar">
    <w:name w:val="Point 1 Char Char"/>
    <w:rsid w:val="000D4AEA"/>
    <w:rPr>
      <w:sz w:val="24"/>
      <w:szCs w:val="24"/>
      <w:lang w:val="en-GB" w:eastAsia="en-GB" w:bidi="ar-SA"/>
    </w:rPr>
  </w:style>
  <w:style w:type="paragraph" w:customStyle="1" w:styleId="Point0">
    <w:name w:val="Point 0"/>
    <w:basedOn w:val="Normal"/>
    <w:rsid w:val="000D4AE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0D4AE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0D4AE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0D4AE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0D4AE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0D4AE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0D4AE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0D4AE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D4AE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0D4AEA"/>
    <w:rPr>
      <w:rFonts w:ascii="CG Times" w:hAnsi="CG Times"/>
      <w:sz w:val="22"/>
      <w:lang w:val="en-US" w:eastAsia="en-US" w:bidi="ar-SA"/>
    </w:rPr>
  </w:style>
  <w:style w:type="paragraph" w:customStyle="1" w:styleId="SectionTitle">
    <w:name w:val="SectionTitle"/>
    <w:basedOn w:val="Normal"/>
    <w:next w:val="Heading1"/>
    <w:rsid w:val="000D4AE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0D4AEA"/>
  </w:style>
  <w:style w:type="paragraph" w:styleId="TableofFigures">
    <w:name w:val="table of figures"/>
    <w:basedOn w:val="Normal"/>
    <w:next w:val="Normal"/>
    <w:rsid w:val="000D4AE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0D4AE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0D4AE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0D4AE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0D4AE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0D4AE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0D4AE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0D4AE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0D4AE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0D4AE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0D4AE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0D4AE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0D4AE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0D4AE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0D4AE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0D4AE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0D4AEA"/>
    <w:pPr>
      <w:spacing w:after="0" w:line="360" w:lineRule="auto"/>
    </w:pPr>
    <w:rPr>
      <w:rFonts w:ascii="Tahoma" w:eastAsia="Times New Roman" w:hAnsi="Tahoma" w:cs="Times New Roman"/>
      <w:lang w:val="de-AT" w:eastAsia="de-DE"/>
    </w:rPr>
  </w:style>
  <w:style w:type="paragraph" w:styleId="List">
    <w:name w:val="List"/>
    <w:basedOn w:val="Normal"/>
    <w:rsid w:val="000D4AE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0D4AE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0D4AE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0D4AE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0D4AE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0D4AE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0D4AE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0D4AE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0D4AE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0D4AE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0D4AE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0D4AE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0D4AE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0D4AEA"/>
    <w:rPr>
      <w:sz w:val="16"/>
      <w:szCs w:val="16"/>
    </w:rPr>
  </w:style>
  <w:style w:type="paragraph" w:styleId="CommentText">
    <w:name w:val="annotation text"/>
    <w:aliases w:val=" Char"/>
    <w:basedOn w:val="Normal"/>
    <w:link w:val="CommentTextChar"/>
    <w:uiPriority w:val="99"/>
    <w:unhideWhenUsed/>
    <w:rsid w:val="000D4AE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0D4AE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D4AEA"/>
    <w:rPr>
      <w:b/>
      <w:bCs/>
    </w:rPr>
  </w:style>
  <w:style w:type="character" w:customStyle="1" w:styleId="CommentSubjectChar">
    <w:name w:val="Comment Subject Char"/>
    <w:basedOn w:val="CommentTextChar"/>
    <w:link w:val="CommentSubject"/>
    <w:uiPriority w:val="99"/>
    <w:rsid w:val="000D4AEA"/>
    <w:rPr>
      <w:rFonts w:ascii="Calibri" w:eastAsia="MS Mincho" w:hAnsi="Calibri" w:cs="Times New Roman"/>
      <w:b/>
      <w:bCs/>
      <w:sz w:val="20"/>
      <w:szCs w:val="20"/>
      <w:lang w:val="sq-AL"/>
    </w:rPr>
  </w:style>
  <w:style w:type="paragraph" w:styleId="ListNumber4">
    <w:name w:val="List Number 4"/>
    <w:basedOn w:val="Normal"/>
    <w:rsid w:val="000D4AE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0D4AE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0D4AEA"/>
  </w:style>
  <w:style w:type="paragraph" w:styleId="MacroText">
    <w:name w:val="macro"/>
    <w:link w:val="MacroTextChar"/>
    <w:semiHidden/>
    <w:rsid w:val="000D4AE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D4AEA"/>
    <w:rPr>
      <w:rFonts w:ascii="Courier New" w:eastAsia="Times New Roman" w:hAnsi="Courier New" w:cs="Times New Roman"/>
      <w:lang w:val="de-DE" w:eastAsia="de-DE"/>
    </w:rPr>
  </w:style>
  <w:style w:type="paragraph" w:styleId="NormalIndent">
    <w:name w:val="Normal Indent"/>
    <w:basedOn w:val="Normal"/>
    <w:link w:val="NormalIndentChar"/>
    <w:rsid w:val="000D4AE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0D4AE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0D4AE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0D4AEA"/>
    <w:rPr>
      <w:rFonts w:ascii="Tahoma" w:hAnsi="Tahoma"/>
      <w:sz w:val="22"/>
    </w:rPr>
  </w:style>
  <w:style w:type="paragraph" w:styleId="BlockText">
    <w:name w:val="Block Text"/>
    <w:basedOn w:val="Normal"/>
    <w:rsid w:val="000D4AE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0D4AE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0D4AEA"/>
    <w:rPr>
      <w:rFonts w:ascii="Tahoma" w:eastAsia="Times New Roman" w:hAnsi="Tahoma" w:cs="Times New Roman"/>
      <w:lang w:val="de-AT" w:eastAsia="de-DE"/>
    </w:rPr>
  </w:style>
  <w:style w:type="character" w:customStyle="1" w:styleId="Emphasis1">
    <w:name w:val="Emphasis1"/>
    <w:semiHidden/>
    <w:rsid w:val="000D4AEA"/>
  </w:style>
  <w:style w:type="paragraph" w:styleId="NoteHeading">
    <w:name w:val="Note Heading"/>
    <w:basedOn w:val="Normal"/>
    <w:next w:val="Normal"/>
    <w:link w:val="NoteHeadingChar"/>
    <w:rsid w:val="000D4AE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0D4AEA"/>
    <w:rPr>
      <w:rFonts w:ascii="Tahoma" w:eastAsia="Times New Roman" w:hAnsi="Tahoma" w:cs="Times New Roman"/>
      <w:lang w:val="de-AT" w:eastAsia="de-DE"/>
    </w:rPr>
  </w:style>
  <w:style w:type="paragraph" w:styleId="MessageHeader">
    <w:name w:val="Message Header"/>
    <w:basedOn w:val="Normal"/>
    <w:link w:val="MessageHeaderChar"/>
    <w:semiHidden/>
    <w:rsid w:val="000D4AE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0D4AE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D4AE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0D4AE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0D4AEA"/>
    <w:rPr>
      <w:rFonts w:ascii="Tahoma" w:eastAsia="Times New Roman" w:hAnsi="Tahoma" w:cs="Times New Roman"/>
      <w:sz w:val="20"/>
      <w:szCs w:val="20"/>
    </w:rPr>
  </w:style>
  <w:style w:type="character" w:styleId="EndnoteReference">
    <w:name w:val="endnote reference"/>
    <w:uiPriority w:val="99"/>
    <w:semiHidden/>
    <w:unhideWhenUsed/>
    <w:rsid w:val="000D4AEA"/>
    <w:rPr>
      <w:vertAlign w:val="superscript"/>
    </w:rPr>
  </w:style>
  <w:style w:type="paragraph" w:styleId="BodyTextFirstIndent2">
    <w:name w:val="Body Text First Indent 2"/>
    <w:basedOn w:val="BodyTextIndent"/>
    <w:link w:val="BodyTextFirstIndent2Char"/>
    <w:semiHidden/>
    <w:rsid w:val="000D4AE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D4AEA"/>
    <w:rPr>
      <w:rFonts w:ascii="Tahoma" w:eastAsia="Times New Roman" w:hAnsi="Tahoma" w:cs="Times New Roman"/>
      <w:lang w:val="de-AT" w:eastAsia="de-DE"/>
    </w:rPr>
  </w:style>
  <w:style w:type="numbering" w:styleId="111111">
    <w:name w:val="Outline List 2"/>
    <w:basedOn w:val="NoList"/>
    <w:semiHidden/>
    <w:rsid w:val="000D4AEA"/>
    <w:pPr>
      <w:numPr>
        <w:numId w:val="14"/>
      </w:numPr>
    </w:pPr>
  </w:style>
  <w:style w:type="paragraph" w:customStyle="1" w:styleId="Zusatz2">
    <w:name w:val="Zusatz 2"/>
    <w:basedOn w:val="Normal"/>
    <w:next w:val="Normal"/>
    <w:semiHidden/>
    <w:rsid w:val="000D4AE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0D4AE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0D4AEA"/>
    <w:pPr>
      <w:numPr>
        <w:numId w:val="15"/>
      </w:numPr>
    </w:pPr>
  </w:style>
  <w:style w:type="paragraph" w:styleId="Salutation">
    <w:name w:val="Salutation"/>
    <w:basedOn w:val="Normal"/>
    <w:next w:val="Normal"/>
    <w:link w:val="SalutationChar"/>
    <w:semiHidden/>
    <w:rsid w:val="000D4AE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0D4AEA"/>
    <w:rPr>
      <w:rFonts w:ascii="Tahoma" w:eastAsia="Times New Roman" w:hAnsi="Tahoma" w:cs="Times New Roman"/>
      <w:lang w:val="de-AT" w:eastAsia="de-DE"/>
    </w:rPr>
  </w:style>
  <w:style w:type="numbering" w:styleId="ArticleSection">
    <w:name w:val="Outline List 3"/>
    <w:basedOn w:val="NoList"/>
    <w:semiHidden/>
    <w:rsid w:val="000D4AEA"/>
    <w:pPr>
      <w:numPr>
        <w:numId w:val="16"/>
      </w:numPr>
    </w:pPr>
  </w:style>
  <w:style w:type="paragraph" w:styleId="Closing">
    <w:name w:val="Closing"/>
    <w:basedOn w:val="Normal"/>
    <w:link w:val="ClosingChar"/>
    <w:semiHidden/>
    <w:rsid w:val="000D4AE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0D4AEA"/>
    <w:rPr>
      <w:rFonts w:ascii="Tahoma" w:eastAsia="Times New Roman" w:hAnsi="Tahoma" w:cs="Times New Roman"/>
      <w:lang w:val="de-AT" w:eastAsia="de-DE"/>
    </w:rPr>
  </w:style>
  <w:style w:type="character" w:styleId="Emphasis">
    <w:name w:val="Emphasis"/>
    <w:uiPriority w:val="20"/>
    <w:qFormat/>
    <w:rsid w:val="000D4AEA"/>
    <w:rPr>
      <w:i/>
      <w:iCs/>
    </w:rPr>
  </w:style>
  <w:style w:type="paragraph" w:styleId="HTMLAddress">
    <w:name w:val="HTML Address"/>
    <w:basedOn w:val="Normal"/>
    <w:link w:val="HTMLAddressChar"/>
    <w:semiHidden/>
    <w:rsid w:val="000D4AE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0D4AEA"/>
    <w:rPr>
      <w:rFonts w:ascii="Tahoma" w:eastAsia="Times New Roman" w:hAnsi="Tahoma" w:cs="Times New Roman"/>
      <w:i/>
      <w:iCs/>
      <w:lang w:val="de-AT" w:eastAsia="de-DE"/>
    </w:rPr>
  </w:style>
  <w:style w:type="character" w:styleId="HTMLAcronym">
    <w:name w:val="HTML Acronym"/>
    <w:semiHidden/>
    <w:rsid w:val="000D4AEA"/>
  </w:style>
  <w:style w:type="character" w:styleId="HTMLSample">
    <w:name w:val="HTML Sample"/>
    <w:semiHidden/>
    <w:rsid w:val="000D4AEA"/>
    <w:rPr>
      <w:rFonts w:ascii="Courier New" w:hAnsi="Courier New" w:cs="Courier New"/>
    </w:rPr>
  </w:style>
  <w:style w:type="character" w:styleId="HTMLCode">
    <w:name w:val="HTML Code"/>
    <w:semiHidden/>
    <w:rsid w:val="000D4AEA"/>
    <w:rPr>
      <w:rFonts w:ascii="Courier New" w:hAnsi="Courier New" w:cs="Courier New"/>
      <w:sz w:val="20"/>
      <w:szCs w:val="20"/>
    </w:rPr>
  </w:style>
  <w:style w:type="character" w:styleId="HTMLDefinition">
    <w:name w:val="HTML Definition"/>
    <w:semiHidden/>
    <w:rsid w:val="000D4AEA"/>
    <w:rPr>
      <w:i/>
      <w:iCs/>
    </w:rPr>
  </w:style>
  <w:style w:type="character" w:styleId="HTMLTypewriter">
    <w:name w:val="HTML Typewriter"/>
    <w:semiHidden/>
    <w:rsid w:val="000D4AEA"/>
    <w:rPr>
      <w:rFonts w:ascii="Courier New" w:hAnsi="Courier New" w:cs="Courier New"/>
      <w:sz w:val="20"/>
      <w:szCs w:val="20"/>
    </w:rPr>
  </w:style>
  <w:style w:type="character" w:styleId="HTMLKeyboard">
    <w:name w:val="HTML Keyboard"/>
    <w:semiHidden/>
    <w:rsid w:val="000D4AEA"/>
    <w:rPr>
      <w:rFonts w:ascii="Courier New" w:hAnsi="Courier New" w:cs="Courier New"/>
      <w:sz w:val="20"/>
      <w:szCs w:val="20"/>
    </w:rPr>
  </w:style>
  <w:style w:type="character" w:styleId="HTMLVariable">
    <w:name w:val="HTML Variable"/>
    <w:semiHidden/>
    <w:rsid w:val="000D4AEA"/>
    <w:rPr>
      <w:i/>
      <w:iCs/>
    </w:rPr>
  </w:style>
  <w:style w:type="paragraph" w:styleId="HTMLPreformatted">
    <w:name w:val="HTML Preformatted"/>
    <w:basedOn w:val="Normal"/>
    <w:link w:val="HTMLPreformattedChar"/>
    <w:uiPriority w:val="99"/>
    <w:rsid w:val="000D4AE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0D4AEA"/>
    <w:rPr>
      <w:rFonts w:ascii="Courier New" w:eastAsia="Times New Roman" w:hAnsi="Courier New" w:cs="Times New Roman"/>
      <w:sz w:val="20"/>
      <w:lang w:val="de-AT" w:eastAsia="de-DE"/>
    </w:rPr>
  </w:style>
  <w:style w:type="character" w:styleId="HTMLCite">
    <w:name w:val="HTML Cite"/>
    <w:semiHidden/>
    <w:rsid w:val="000D4AEA"/>
    <w:rPr>
      <w:i/>
      <w:iCs/>
    </w:rPr>
  </w:style>
  <w:style w:type="table" w:styleId="Table3Deffects1">
    <w:name w:val="Table 3D effects 1"/>
    <w:basedOn w:val="TableNormal"/>
    <w:semiHidden/>
    <w:rsid w:val="000D4AE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D4AE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D4AE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D4AE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D4AE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D4AE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D4AE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D4AE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D4AE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D4AE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D4AE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D4AE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D4AE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D4AE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D4AE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D4AE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D4AE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D4AE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D4AE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0D4AEA"/>
    <w:rPr>
      <w:rFonts w:ascii="Tahoma" w:eastAsia="Times New Roman" w:hAnsi="Tahoma" w:cs="Times New Roman"/>
      <w:lang w:val="de-AT" w:eastAsia="de-DE"/>
    </w:rPr>
  </w:style>
  <w:style w:type="paragraph" w:styleId="E-mailSignature">
    <w:name w:val="E-mail Signature"/>
    <w:basedOn w:val="Normal"/>
    <w:link w:val="E-mailSignatureChar"/>
    <w:rsid w:val="000D4AE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0D4AEA"/>
    <w:rPr>
      <w:rFonts w:ascii="Tahoma" w:eastAsia="Times New Roman" w:hAnsi="Tahoma" w:cs="Times New Roman"/>
      <w:lang w:val="de-AT" w:eastAsia="de-DE"/>
    </w:rPr>
  </w:style>
  <w:style w:type="paragraph" w:styleId="BodyText2">
    <w:name w:val="Body Text 2"/>
    <w:basedOn w:val="Normal"/>
    <w:link w:val="BodyText2Char"/>
    <w:uiPriority w:val="99"/>
    <w:rsid w:val="000D4AE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0D4AE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0D4AE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0D4AE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0D4AE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0D4AE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D4AE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D4AE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D4AE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0D4AE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D4AEA"/>
    <w:rPr>
      <w:rFonts w:ascii="CG Times" w:eastAsia="Times New Roman" w:hAnsi="CG Times" w:cs="Times New Roman"/>
      <w:b/>
      <w:szCs w:val="24"/>
    </w:rPr>
  </w:style>
  <w:style w:type="character" w:customStyle="1" w:styleId="SubtitleChar1">
    <w:name w:val="Subtitle Char1"/>
    <w:locked/>
    <w:rsid w:val="000D4AEA"/>
    <w:rPr>
      <w:rFonts w:ascii="Cambria" w:hAnsi="Cambria"/>
      <w:sz w:val="24"/>
      <w:szCs w:val="24"/>
    </w:rPr>
  </w:style>
  <w:style w:type="paragraph" w:customStyle="1" w:styleId="Char1">
    <w:name w:val="Char1"/>
    <w:basedOn w:val="Normal"/>
    <w:rsid w:val="000D4AEA"/>
    <w:pPr>
      <w:spacing w:line="240" w:lineRule="exact"/>
    </w:pPr>
    <w:rPr>
      <w:rFonts w:ascii="Arial" w:eastAsia="Times New Roman" w:hAnsi="Arial" w:cs="Arial"/>
      <w:sz w:val="20"/>
      <w:szCs w:val="20"/>
    </w:rPr>
  </w:style>
  <w:style w:type="character" w:customStyle="1" w:styleId="CharChar11">
    <w:name w:val="Char Char11"/>
    <w:semiHidden/>
    <w:locked/>
    <w:rsid w:val="000D4AEA"/>
    <w:rPr>
      <w:rFonts w:ascii="Tahoma" w:hAnsi="Tahoma" w:cs="Tahoma"/>
      <w:i/>
      <w:iCs/>
      <w:sz w:val="22"/>
      <w:szCs w:val="22"/>
      <w:lang w:val="de-AT" w:eastAsia="de-DE" w:bidi="ar-SA"/>
    </w:rPr>
  </w:style>
  <w:style w:type="character" w:customStyle="1" w:styleId="CharChar36">
    <w:name w:val="Char Char36"/>
    <w:locked/>
    <w:rsid w:val="000D4AEA"/>
    <w:rPr>
      <w:rFonts w:ascii="Arial" w:hAnsi="Arial" w:cs="Arial"/>
      <w:b/>
      <w:bCs/>
      <w:kern w:val="32"/>
      <w:sz w:val="32"/>
      <w:szCs w:val="32"/>
      <w:lang w:val="sq-AL" w:eastAsia="en-US" w:bidi="ar-SA"/>
    </w:rPr>
  </w:style>
  <w:style w:type="character" w:customStyle="1" w:styleId="CharChar35">
    <w:name w:val="Char Char35"/>
    <w:locked/>
    <w:rsid w:val="000D4AEA"/>
    <w:rPr>
      <w:rFonts w:ascii="Arial" w:hAnsi="Arial" w:cs="Arial"/>
      <w:b/>
      <w:bCs/>
      <w:i/>
      <w:iCs/>
      <w:sz w:val="28"/>
      <w:szCs w:val="28"/>
      <w:lang w:val="sq-AL" w:eastAsia="en-US" w:bidi="ar-SA"/>
    </w:rPr>
  </w:style>
  <w:style w:type="character" w:customStyle="1" w:styleId="CharChar34">
    <w:name w:val="Char Char34"/>
    <w:locked/>
    <w:rsid w:val="000D4AEA"/>
    <w:rPr>
      <w:rFonts w:ascii="Tahoma" w:hAnsi="Tahoma"/>
      <w:b/>
      <w:kern w:val="28"/>
      <w:sz w:val="24"/>
      <w:szCs w:val="28"/>
      <w:lang w:val="de-AT" w:eastAsia="de-DE" w:bidi="ar-SA"/>
    </w:rPr>
  </w:style>
  <w:style w:type="character" w:customStyle="1" w:styleId="CharChar33">
    <w:name w:val="Char Char33"/>
    <w:locked/>
    <w:rsid w:val="000D4AEA"/>
    <w:rPr>
      <w:rFonts w:ascii="Tahoma" w:hAnsi="Tahoma"/>
      <w:b/>
      <w:i/>
      <w:kern w:val="28"/>
      <w:sz w:val="22"/>
      <w:szCs w:val="22"/>
      <w:lang w:val="de-AT" w:eastAsia="de-DE" w:bidi="ar-SA"/>
    </w:rPr>
  </w:style>
  <w:style w:type="character" w:customStyle="1" w:styleId="CharChar32">
    <w:name w:val="Char Char32"/>
    <w:locked/>
    <w:rsid w:val="000D4AEA"/>
    <w:rPr>
      <w:rFonts w:ascii="Tahoma" w:hAnsi="Tahoma"/>
      <w:b/>
      <w:i/>
      <w:kern w:val="28"/>
      <w:sz w:val="22"/>
      <w:szCs w:val="22"/>
      <w:lang w:val="de-AT" w:eastAsia="de-DE" w:bidi="ar-SA"/>
    </w:rPr>
  </w:style>
  <w:style w:type="character" w:customStyle="1" w:styleId="CharChar31">
    <w:name w:val="Char Char31"/>
    <w:locked/>
    <w:rsid w:val="000D4AEA"/>
    <w:rPr>
      <w:rFonts w:ascii="Tahoma" w:hAnsi="Tahoma"/>
      <w:b/>
      <w:i/>
      <w:kern w:val="28"/>
      <w:sz w:val="22"/>
      <w:szCs w:val="22"/>
      <w:lang w:val="de-AT" w:eastAsia="de-DE" w:bidi="ar-SA"/>
    </w:rPr>
  </w:style>
  <w:style w:type="character" w:customStyle="1" w:styleId="CharChar10">
    <w:name w:val="Char Char10"/>
    <w:semiHidden/>
    <w:locked/>
    <w:rsid w:val="000D4AEA"/>
    <w:rPr>
      <w:rFonts w:ascii="Courier New" w:hAnsi="Courier New" w:cs="Courier New"/>
      <w:szCs w:val="22"/>
      <w:lang w:val="de-AT" w:eastAsia="de-DE" w:bidi="ar-SA"/>
    </w:rPr>
  </w:style>
  <w:style w:type="character" w:customStyle="1" w:styleId="CharChar30">
    <w:name w:val="Char Char30"/>
    <w:locked/>
    <w:rsid w:val="000D4AEA"/>
    <w:rPr>
      <w:rFonts w:ascii="Tahoma" w:hAnsi="Tahoma"/>
      <w:b/>
      <w:i/>
      <w:kern w:val="28"/>
      <w:sz w:val="22"/>
      <w:szCs w:val="22"/>
      <w:lang w:val="de-AT" w:eastAsia="de-DE" w:bidi="ar-SA"/>
    </w:rPr>
  </w:style>
  <w:style w:type="character" w:customStyle="1" w:styleId="CharChar29">
    <w:name w:val="Char Char29"/>
    <w:locked/>
    <w:rsid w:val="000D4AEA"/>
    <w:rPr>
      <w:rFonts w:ascii="Tahoma" w:hAnsi="Tahoma"/>
      <w:b/>
      <w:i/>
      <w:kern w:val="28"/>
      <w:sz w:val="22"/>
      <w:szCs w:val="22"/>
      <w:lang w:val="de-AT" w:eastAsia="de-DE" w:bidi="ar-SA"/>
    </w:rPr>
  </w:style>
  <w:style w:type="character" w:customStyle="1" w:styleId="CharChar28">
    <w:name w:val="Char Char28"/>
    <w:locked/>
    <w:rsid w:val="000D4AEA"/>
    <w:rPr>
      <w:rFonts w:ascii="Tahoma" w:hAnsi="Tahoma"/>
      <w:b/>
      <w:i/>
      <w:kern w:val="28"/>
      <w:sz w:val="22"/>
      <w:szCs w:val="22"/>
      <w:lang w:val="de-AT" w:eastAsia="de-DE" w:bidi="ar-SA"/>
    </w:rPr>
  </w:style>
  <w:style w:type="character" w:customStyle="1" w:styleId="CharChar27">
    <w:name w:val="Char Char27"/>
    <w:locked/>
    <w:rsid w:val="000D4AEA"/>
    <w:rPr>
      <w:rFonts w:ascii="Calibri" w:eastAsia="Calibri" w:hAnsi="Calibri"/>
      <w:lang w:val="sq-AL" w:eastAsia="en-US" w:bidi="ar-SA"/>
    </w:rPr>
  </w:style>
  <w:style w:type="character" w:customStyle="1" w:styleId="CharChar24">
    <w:name w:val="Char Char24"/>
    <w:locked/>
    <w:rsid w:val="000D4AEA"/>
    <w:rPr>
      <w:rFonts w:ascii="Tahoma" w:hAnsi="Tahoma" w:cs="Tahoma"/>
      <w:sz w:val="22"/>
      <w:szCs w:val="22"/>
      <w:lang w:val="de-AT" w:eastAsia="de-DE" w:bidi="ar-SA"/>
    </w:rPr>
  </w:style>
  <w:style w:type="character" w:customStyle="1" w:styleId="CharChar23">
    <w:name w:val="Char Char23"/>
    <w:locked/>
    <w:rsid w:val="000D4AEA"/>
    <w:rPr>
      <w:rFonts w:ascii="Tahoma" w:hAnsi="Tahoma" w:cs="Tahoma"/>
      <w:sz w:val="22"/>
      <w:szCs w:val="22"/>
      <w:lang w:val="de-AT" w:eastAsia="de-DE" w:bidi="ar-SA"/>
    </w:rPr>
  </w:style>
  <w:style w:type="character" w:customStyle="1" w:styleId="CharChar22">
    <w:name w:val="Char Char22"/>
    <w:semiHidden/>
    <w:locked/>
    <w:rsid w:val="000D4AEA"/>
    <w:rPr>
      <w:rFonts w:ascii="Courier New" w:hAnsi="Courier New" w:cs="Courier New"/>
      <w:sz w:val="22"/>
      <w:szCs w:val="22"/>
      <w:lang w:val="de-DE" w:eastAsia="de-DE" w:bidi="ar-SA"/>
    </w:rPr>
  </w:style>
  <w:style w:type="character" w:customStyle="1" w:styleId="CharChar21">
    <w:name w:val="Char Char21"/>
    <w:locked/>
    <w:rsid w:val="000D4AEA"/>
    <w:rPr>
      <w:rFonts w:ascii="Tahoma" w:hAnsi="Tahoma" w:cs="Tahoma"/>
      <w:b/>
      <w:kern w:val="28"/>
      <w:sz w:val="36"/>
      <w:szCs w:val="36"/>
      <w:lang w:val="de-AT" w:eastAsia="de-DE" w:bidi="ar-SA"/>
    </w:rPr>
  </w:style>
  <w:style w:type="character" w:customStyle="1" w:styleId="CharChar12">
    <w:name w:val="Char Char12"/>
    <w:semiHidden/>
    <w:locked/>
    <w:rsid w:val="000D4AEA"/>
    <w:rPr>
      <w:rFonts w:ascii="Tahoma" w:hAnsi="Tahoma" w:cs="Tahoma"/>
      <w:sz w:val="22"/>
      <w:szCs w:val="22"/>
      <w:lang w:val="de-AT" w:eastAsia="de-DE" w:bidi="ar-SA"/>
    </w:rPr>
  </w:style>
  <w:style w:type="character" w:customStyle="1" w:styleId="CharChar9">
    <w:name w:val="Char Char9"/>
    <w:semiHidden/>
    <w:locked/>
    <w:rsid w:val="000D4AEA"/>
    <w:rPr>
      <w:rFonts w:ascii="Tahoma" w:hAnsi="Tahoma" w:cs="Tahoma"/>
      <w:sz w:val="22"/>
      <w:szCs w:val="22"/>
      <w:lang w:val="de-AT" w:eastAsia="de-DE" w:bidi="ar-SA"/>
    </w:rPr>
  </w:style>
  <w:style w:type="character" w:customStyle="1" w:styleId="CharChar25">
    <w:name w:val="Char Char25"/>
    <w:semiHidden/>
    <w:locked/>
    <w:rsid w:val="000D4AEA"/>
    <w:rPr>
      <w:rFonts w:ascii="Tahoma" w:hAnsi="Tahoma" w:cs="Tahoma"/>
      <w:sz w:val="22"/>
      <w:szCs w:val="22"/>
      <w:lang w:val="de-AT" w:eastAsia="de-DE" w:bidi="ar-SA"/>
    </w:rPr>
  </w:style>
  <w:style w:type="character" w:customStyle="1" w:styleId="CharChar15">
    <w:name w:val="Char Char15"/>
    <w:semiHidden/>
    <w:locked/>
    <w:rsid w:val="000D4AEA"/>
    <w:rPr>
      <w:rFonts w:ascii="Tahoma" w:hAnsi="Tahoma" w:cs="Tahoma"/>
      <w:sz w:val="22"/>
      <w:szCs w:val="22"/>
      <w:lang w:val="de-AT" w:eastAsia="de-DE" w:bidi="ar-SA"/>
    </w:rPr>
  </w:style>
  <w:style w:type="character" w:customStyle="1" w:styleId="CharChar16">
    <w:name w:val="Char Char16"/>
    <w:semiHidden/>
    <w:locked/>
    <w:rsid w:val="000D4AEA"/>
    <w:rPr>
      <w:rFonts w:ascii="Tahoma" w:hAnsi="Tahoma" w:cs="Arial"/>
      <w:sz w:val="24"/>
      <w:szCs w:val="24"/>
      <w:lang w:val="de-AT" w:eastAsia="de-DE" w:bidi="ar-SA"/>
    </w:rPr>
  </w:style>
  <w:style w:type="character" w:customStyle="1" w:styleId="CharChar20">
    <w:name w:val="Char Char20"/>
    <w:locked/>
    <w:rsid w:val="000D4AEA"/>
    <w:rPr>
      <w:rFonts w:ascii="Tahoma" w:hAnsi="Tahoma" w:cs="Tahoma"/>
      <w:b/>
      <w:kern w:val="28"/>
      <w:sz w:val="32"/>
      <w:szCs w:val="36"/>
      <w:lang w:val="de-AT" w:eastAsia="de-DE" w:bidi="ar-SA"/>
    </w:rPr>
  </w:style>
  <w:style w:type="character" w:customStyle="1" w:styleId="CharChar13">
    <w:name w:val="Char Char13"/>
    <w:semiHidden/>
    <w:locked/>
    <w:rsid w:val="000D4AEA"/>
    <w:rPr>
      <w:rFonts w:ascii="Tahoma" w:hAnsi="Tahoma" w:cs="Tahoma"/>
      <w:sz w:val="22"/>
      <w:szCs w:val="22"/>
      <w:lang w:val="de-AT" w:eastAsia="de-DE" w:bidi="ar-SA"/>
    </w:rPr>
  </w:style>
  <w:style w:type="character" w:customStyle="1" w:styleId="CharChar19">
    <w:name w:val="Char Char19"/>
    <w:semiHidden/>
    <w:locked/>
    <w:rsid w:val="000D4AEA"/>
    <w:rPr>
      <w:rFonts w:ascii="Tahoma" w:hAnsi="Tahoma" w:cs="Tahoma"/>
      <w:sz w:val="22"/>
      <w:szCs w:val="22"/>
      <w:lang w:val="de-AT" w:eastAsia="de-DE" w:bidi="ar-SA"/>
    </w:rPr>
  </w:style>
  <w:style w:type="character" w:customStyle="1" w:styleId="CharChar3">
    <w:name w:val="Char Char3"/>
    <w:semiHidden/>
    <w:locked/>
    <w:rsid w:val="000D4AEA"/>
  </w:style>
  <w:style w:type="character" w:customStyle="1" w:styleId="CharChar14">
    <w:name w:val="Char Char14"/>
    <w:semiHidden/>
    <w:locked/>
    <w:rsid w:val="000D4AEA"/>
  </w:style>
  <w:style w:type="character" w:customStyle="1" w:styleId="CharChar17">
    <w:name w:val="Char Char17"/>
    <w:locked/>
    <w:rsid w:val="000D4AEA"/>
    <w:rPr>
      <w:rFonts w:ascii="Tahoma" w:hAnsi="Tahoma" w:cs="Tahoma"/>
      <w:sz w:val="22"/>
      <w:szCs w:val="22"/>
      <w:lang w:val="de-AT" w:eastAsia="de-DE" w:bidi="ar-SA"/>
    </w:rPr>
  </w:style>
  <w:style w:type="character" w:customStyle="1" w:styleId="CharChar7">
    <w:name w:val="Char Char7"/>
    <w:semiHidden/>
    <w:locked/>
    <w:rsid w:val="000D4AEA"/>
    <w:rPr>
      <w:rFonts w:ascii="Tahoma" w:hAnsi="Tahoma" w:cs="Tahoma"/>
      <w:sz w:val="22"/>
      <w:szCs w:val="22"/>
      <w:lang w:val="de-AT" w:eastAsia="de-DE" w:bidi="ar-SA"/>
    </w:rPr>
  </w:style>
  <w:style w:type="character" w:customStyle="1" w:styleId="CharChar6">
    <w:name w:val="Char Char6"/>
    <w:semiHidden/>
    <w:locked/>
    <w:rsid w:val="000D4AEA"/>
    <w:rPr>
      <w:rFonts w:ascii="Tahoma" w:hAnsi="Tahoma" w:cs="Tahoma"/>
      <w:sz w:val="16"/>
      <w:szCs w:val="16"/>
      <w:lang w:val="de-AT" w:eastAsia="de-DE" w:bidi="ar-SA"/>
    </w:rPr>
  </w:style>
  <w:style w:type="character" w:customStyle="1" w:styleId="CharChar5">
    <w:name w:val="Char Char5"/>
    <w:semiHidden/>
    <w:locked/>
    <w:rsid w:val="000D4AEA"/>
    <w:rPr>
      <w:rFonts w:ascii="Tahoma" w:hAnsi="Tahoma" w:cs="Tahoma"/>
      <w:sz w:val="22"/>
      <w:szCs w:val="22"/>
      <w:lang w:val="de-AT" w:eastAsia="de-DE" w:bidi="ar-SA"/>
    </w:rPr>
  </w:style>
  <w:style w:type="character" w:customStyle="1" w:styleId="CharChar4">
    <w:name w:val="Char Char4"/>
    <w:semiHidden/>
    <w:locked/>
    <w:rsid w:val="000D4AEA"/>
    <w:rPr>
      <w:rFonts w:ascii="Tahoma" w:hAnsi="Tahoma" w:cs="Tahoma"/>
      <w:sz w:val="16"/>
      <w:szCs w:val="16"/>
      <w:lang w:val="de-AT" w:eastAsia="de-DE" w:bidi="ar-SA"/>
    </w:rPr>
  </w:style>
  <w:style w:type="character" w:customStyle="1" w:styleId="CharChar18">
    <w:name w:val="Char Char18"/>
    <w:semiHidden/>
    <w:locked/>
    <w:rsid w:val="000D4AEA"/>
    <w:rPr>
      <w:rFonts w:ascii="Tahoma" w:hAnsi="Tahoma" w:cs="Tahoma"/>
      <w:sz w:val="22"/>
      <w:szCs w:val="22"/>
      <w:lang w:val="de-AT" w:eastAsia="de-DE" w:bidi="ar-SA"/>
    </w:rPr>
  </w:style>
  <w:style w:type="character" w:customStyle="1" w:styleId="CharChar8">
    <w:name w:val="Char Char8"/>
    <w:locked/>
    <w:rsid w:val="000D4AEA"/>
    <w:rPr>
      <w:rFonts w:ascii="Tahoma" w:hAnsi="Tahoma" w:cs="Tahoma"/>
      <w:sz w:val="22"/>
      <w:szCs w:val="22"/>
      <w:lang w:val="de-AT" w:eastAsia="de-DE" w:bidi="ar-SA"/>
    </w:rPr>
  </w:style>
  <w:style w:type="character" w:customStyle="1" w:styleId="CharChar2">
    <w:name w:val="Char Char2"/>
    <w:locked/>
    <w:rsid w:val="000D4AEA"/>
    <w:rPr>
      <w:rFonts w:ascii="Calibri" w:eastAsia="Calibri" w:hAnsi="Calibri" w:cs="Times New Roman"/>
      <w:b/>
      <w:bCs/>
      <w:sz w:val="20"/>
      <w:szCs w:val="20"/>
      <w:lang w:val="sq-AL" w:eastAsia="en-US" w:bidi="ar-SA"/>
    </w:rPr>
  </w:style>
  <w:style w:type="character" w:customStyle="1" w:styleId="CharChar26">
    <w:name w:val="Char Char26"/>
    <w:semiHidden/>
    <w:locked/>
    <w:rsid w:val="000D4AEA"/>
    <w:rPr>
      <w:rFonts w:ascii="Tahoma" w:hAnsi="Tahoma" w:cs="Tahoma"/>
      <w:sz w:val="16"/>
      <w:szCs w:val="16"/>
      <w:lang w:val="sq-AL" w:eastAsia="en-US" w:bidi="ar-SA"/>
    </w:rPr>
  </w:style>
  <w:style w:type="character" w:customStyle="1" w:styleId="CommentTextChar11">
    <w:name w:val="Comment Text Char11"/>
    <w:aliases w:val="Char Char37"/>
    <w:semiHidden/>
    <w:rsid w:val="000D4AEA"/>
    <w:rPr>
      <w:rFonts w:ascii="Calibri" w:hAnsi="Calibri" w:hint="default"/>
      <w:lang w:val="sq-AL"/>
    </w:rPr>
  </w:style>
  <w:style w:type="character" w:customStyle="1" w:styleId="NormalIndentChar">
    <w:name w:val="Normal Indent Char"/>
    <w:link w:val="NormalIndent"/>
    <w:rsid w:val="000D4AE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D4AE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0D4AEA"/>
    <w:pPr>
      <w:tabs>
        <w:tab w:val="num" w:pos="360"/>
        <w:tab w:val="num" w:pos="1935"/>
        <w:tab w:val="num" w:pos="2563"/>
        <w:tab w:val="num" w:pos="3474"/>
      </w:tabs>
      <w:ind w:left="1935" w:hanging="360"/>
      <w:outlineLvl w:val="6"/>
    </w:pPr>
  </w:style>
  <w:style w:type="character" w:customStyle="1" w:styleId="AODefHeadChar">
    <w:name w:val="AODefHead Char"/>
    <w:link w:val="AODefHead"/>
    <w:rsid w:val="000D4AEA"/>
    <w:rPr>
      <w:rFonts w:ascii="Times New Roman" w:eastAsia="Times New Roman" w:hAnsi="Times New Roman" w:cs="Times New Roman"/>
      <w:szCs w:val="20"/>
      <w:lang w:val="sq-AL" w:eastAsia="sq-AL" w:bidi="sq-AL"/>
    </w:rPr>
  </w:style>
  <w:style w:type="paragraph" w:customStyle="1" w:styleId="PARA">
    <w:name w:val="PARA"/>
    <w:basedOn w:val="Normal"/>
    <w:locked/>
    <w:rsid w:val="000D4AE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0D4AE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0D4AE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D4AE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0D4AE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D4AEA"/>
    <w:rPr>
      <w:color w:val="0000FF"/>
      <w:spacing w:val="0"/>
      <w:u w:val="double"/>
    </w:rPr>
  </w:style>
  <w:style w:type="paragraph" w:customStyle="1" w:styleId="dia">
    <w:name w:val="di(a)"/>
    <w:basedOn w:val="Normal"/>
    <w:rsid w:val="000D4AE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0D4AE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0D4AE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0D4AE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0D4AE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D4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0D4AEA"/>
    <w:rPr>
      <w:rFonts w:cs="Times New Roman"/>
      <w:color w:val="808080"/>
    </w:rPr>
  </w:style>
  <w:style w:type="character" w:customStyle="1" w:styleId="az12">
    <w:name w:val="az12"/>
    <w:uiPriority w:val="99"/>
    <w:rsid w:val="000D4AE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D4AE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D4AEA"/>
    <w:rPr>
      <w:rFonts w:ascii="Calibri" w:eastAsia="Times New Roman" w:hAnsi="Calibri" w:cs="Times New Roman"/>
      <w:sz w:val="24"/>
      <w:szCs w:val="24"/>
      <w:lang w:val="en-GB" w:eastAsia="en-GB"/>
    </w:rPr>
  </w:style>
  <w:style w:type="paragraph" w:customStyle="1" w:styleId="Paragraf02">
    <w:name w:val="Paragraf 0.2"/>
    <w:basedOn w:val="Paragrafi"/>
    <w:qFormat/>
    <w:rsid w:val="000D4AEA"/>
    <w:pPr>
      <w:tabs>
        <w:tab w:val="left" w:pos="6575"/>
      </w:tabs>
    </w:pPr>
    <w:rPr>
      <w:spacing w:val="-4"/>
    </w:rPr>
  </w:style>
  <w:style w:type="table" w:customStyle="1" w:styleId="TableGrid30">
    <w:name w:val="Table Grid3"/>
    <w:basedOn w:val="TableNormal"/>
    <w:next w:val="TableGrid"/>
    <w:uiPriority w:val="59"/>
    <w:rsid w:val="000D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D4AEA"/>
  </w:style>
  <w:style w:type="character" w:styleId="BookTitle">
    <w:name w:val="Book Title"/>
    <w:uiPriority w:val="33"/>
    <w:qFormat/>
    <w:rsid w:val="000D4AEA"/>
    <w:rPr>
      <w:b/>
      <w:bCs/>
      <w:smallCaps/>
      <w:spacing w:val="5"/>
    </w:rPr>
  </w:style>
  <w:style w:type="paragraph" w:customStyle="1" w:styleId="Cover1">
    <w:name w:val="Cover1"/>
    <w:basedOn w:val="Normal"/>
    <w:next w:val="Normal"/>
    <w:rsid w:val="000D4AE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0D4AEA"/>
    <w:pPr>
      <w:spacing w:after="240" w:line="240" w:lineRule="auto"/>
    </w:pPr>
    <w:rPr>
      <w:rFonts w:ascii="Arial" w:eastAsia="Times New Roman" w:hAnsi="Arial" w:cs="Times New Roman"/>
      <w:szCs w:val="20"/>
      <w:lang w:val="sq-AL" w:eastAsia="sq-AL" w:bidi="sq-AL"/>
    </w:rPr>
  </w:style>
  <w:style w:type="paragraph" w:customStyle="1" w:styleId="Stile">
    <w:name w:val="Stile"/>
    <w:rsid w:val="000D4AE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D4AE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0D4AEA"/>
    <w:rPr>
      <w:rFonts w:ascii="Times New Roman" w:eastAsia="Times New Roman" w:hAnsi="Times New Roman" w:cs="Times New Roman"/>
      <w:szCs w:val="20"/>
      <w:lang w:val="sq-AL"/>
    </w:rPr>
  </w:style>
  <w:style w:type="character" w:customStyle="1" w:styleId="Bodytext0">
    <w:name w:val="Body text_"/>
    <w:link w:val="BodyText1"/>
    <w:rsid w:val="000D4AEA"/>
    <w:rPr>
      <w:rFonts w:ascii="Times New Roman" w:hAnsi="Times New Roman"/>
      <w:sz w:val="21"/>
      <w:szCs w:val="21"/>
      <w:shd w:val="clear" w:color="auto" w:fill="FFFFFF"/>
    </w:rPr>
  </w:style>
  <w:style w:type="paragraph" w:customStyle="1" w:styleId="BodyText1">
    <w:name w:val="Body Text1"/>
    <w:basedOn w:val="Normal"/>
    <w:link w:val="Bodytext0"/>
    <w:rsid w:val="000D4AE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0D4AE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D4AE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0D4AE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0D4AE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0D4AE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D4AE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D4AE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D4AEA"/>
    <w:pPr>
      <w:widowControl w:val="0"/>
      <w:spacing w:after="0" w:line="240" w:lineRule="auto"/>
    </w:pPr>
  </w:style>
  <w:style w:type="paragraph" w:customStyle="1" w:styleId="xl63">
    <w:name w:val="xl63"/>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0D4A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0D4AEA"/>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MediumGrid21">
    <w:name w:val="Medium Grid 21"/>
    <w:uiPriority w:val="1"/>
    <w:qFormat/>
    <w:rsid w:val="000D4AEA"/>
    <w:pPr>
      <w:spacing w:after="0" w:line="240" w:lineRule="auto"/>
    </w:pPr>
    <w:rPr>
      <w:rFonts w:ascii="Times New Roman" w:eastAsia="Calibri" w:hAnsi="Times New Roman" w:cs="Times New Roman"/>
      <w:sz w:val="24"/>
      <w:szCs w:val="24"/>
      <w:lang w:val="en-GB"/>
    </w:rPr>
  </w:style>
  <w:style w:type="paragraph" w:customStyle="1" w:styleId="gmail-msolistparagraph">
    <w:name w:val="gmail-msolistparagraph"/>
    <w:basedOn w:val="Normal"/>
    <w:rsid w:val="000D4AEA"/>
    <w:pPr>
      <w:spacing w:before="100" w:beforeAutospacing="1" w:after="100" w:afterAutospacing="1" w:line="240" w:lineRule="auto"/>
    </w:pPr>
    <w:rPr>
      <w:rFonts w:ascii="Times New Roman" w:eastAsia="Calibri" w:hAnsi="Times New Roman" w:cs="Times New Roman"/>
      <w:sz w:val="24"/>
      <w:szCs w:val="24"/>
    </w:rPr>
  </w:style>
  <w:style w:type="paragraph" w:customStyle="1" w:styleId="gmail-paragrafi0">
    <w:name w:val="gmail-paragrafi0"/>
    <w:basedOn w:val="Normal"/>
    <w:uiPriority w:val="99"/>
    <w:rsid w:val="000D4AEA"/>
    <w:pPr>
      <w:spacing w:before="100" w:beforeAutospacing="1" w:after="100" w:afterAutospacing="1" w:line="240" w:lineRule="auto"/>
    </w:pPr>
    <w:rPr>
      <w:rFonts w:ascii="Times New Roman" w:eastAsia="Calibri" w:hAnsi="Times New Roman" w:cs="Times New Roman"/>
      <w:sz w:val="24"/>
      <w:szCs w:val="24"/>
    </w:rPr>
  </w:style>
  <w:style w:type="table" w:styleId="MediumGrid1-Accent2">
    <w:name w:val="Medium Grid 1 Accent 2"/>
    <w:basedOn w:val="TableNormal"/>
    <w:link w:val="MediumGrid1-Accent2Char"/>
    <w:uiPriority w:val="34"/>
    <w:unhideWhenUsed/>
    <w:rsid w:val="000D4AEA"/>
    <w:pPr>
      <w:spacing w:after="0" w:line="240" w:lineRule="auto"/>
    </w:pPr>
    <w:rPr>
      <w:rFonts w:ascii="Times New Roman" w:eastAsia="Calibri" w:hAnsi="Times New Roman" w:cs="Times New Roman"/>
      <w:sz w:val="24"/>
      <w:szCs w:val="24"/>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MediumGrid1-Accent2Char">
    <w:name w:val="Medium Grid 1 - Accent 2 Char"/>
    <w:link w:val="MediumGrid1-Accent2"/>
    <w:uiPriority w:val="34"/>
    <w:locked/>
    <w:rsid w:val="000D4AEA"/>
    <w:rPr>
      <w:rFonts w:ascii="Times New Roman" w:eastAsia="Calibri" w:hAnsi="Times New Roman" w:cs="Times New Roman" w:hint="default"/>
      <w:sz w:val="24"/>
      <w:szCs w:val="24"/>
      <w:lang w:val="en-GB"/>
    </w:rPr>
  </w:style>
  <w:style w:type="table" w:styleId="MediumGrid2">
    <w:name w:val="Medium Grid 2"/>
    <w:basedOn w:val="TableNormal"/>
    <w:uiPriority w:val="68"/>
    <w:unhideWhenUsed/>
    <w:rsid w:val="000D4AE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11">
    <w:name w:val="No List11"/>
    <w:next w:val="NoList"/>
    <w:uiPriority w:val="99"/>
    <w:semiHidden/>
    <w:unhideWhenUsed/>
    <w:rsid w:val="000D4AEA"/>
  </w:style>
  <w:style w:type="paragraph" w:customStyle="1" w:styleId="Char2">
    <w:name w:val="Char2"/>
    <w:basedOn w:val="Normal"/>
    <w:link w:val="FootnoteReference"/>
    <w:uiPriority w:val="99"/>
    <w:rsid w:val="000D4AEA"/>
    <w:pPr>
      <w:spacing w:line="240" w:lineRule="exact"/>
    </w:pPr>
    <w:rPr>
      <w:vertAlign w:val="superscript"/>
    </w:rPr>
  </w:style>
  <w:style w:type="paragraph" w:customStyle="1" w:styleId="ecxmsonormal">
    <w:name w:val="ecxmsonormal"/>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0D4AE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0D4AEA"/>
    <w:rPr>
      <w:rFonts w:ascii="Garamond" w:eastAsia="MS Mincho" w:hAnsi="Garamond" w:cs="CG Times"/>
      <w:b/>
      <w:bCs/>
      <w:caps/>
      <w:color w:val="000000"/>
      <w:sz w:val="24"/>
      <w:lang w:val="en-GB"/>
    </w:rPr>
  </w:style>
  <w:style w:type="paragraph" w:customStyle="1" w:styleId="Style20">
    <w:name w:val="Style 2"/>
    <w:basedOn w:val="Normal"/>
    <w:uiPriority w:val="99"/>
    <w:qFormat/>
    <w:rsid w:val="000D4AE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0D4AEA"/>
    <w:rPr>
      <w:sz w:val="24"/>
    </w:rPr>
  </w:style>
  <w:style w:type="character" w:customStyle="1" w:styleId="Style2Char">
    <w:name w:val="Style2 Char"/>
    <w:locked/>
    <w:rsid w:val="000D4AEA"/>
    <w:rPr>
      <w:rFonts w:ascii="Times New Roman" w:eastAsia="Times New Roman" w:hAnsi="Times New Roman"/>
      <w:color w:val="0070C0"/>
      <w:sz w:val="28"/>
      <w:szCs w:val="24"/>
      <w:lang w:val="sq-AL"/>
    </w:rPr>
  </w:style>
  <w:style w:type="character" w:styleId="IntenseEmphasis">
    <w:name w:val="Intense Emphasis"/>
    <w:uiPriority w:val="21"/>
    <w:qFormat/>
    <w:rsid w:val="000D4AEA"/>
    <w:rPr>
      <w:b/>
      <w:bCs/>
      <w:i/>
      <w:iCs/>
      <w:color w:val="4F81BD"/>
      <w:sz w:val="24"/>
    </w:rPr>
  </w:style>
  <w:style w:type="character" w:customStyle="1" w:styleId="longtext1">
    <w:name w:val="long_text1"/>
    <w:rsid w:val="000D4AEA"/>
    <w:rPr>
      <w:sz w:val="20"/>
      <w:szCs w:val="20"/>
    </w:rPr>
  </w:style>
  <w:style w:type="character" w:customStyle="1" w:styleId="BodyTextChar1">
    <w:name w:val="Body Text Char1"/>
    <w:uiPriority w:val="99"/>
    <w:semiHidden/>
    <w:rsid w:val="000D4AEA"/>
    <w:rPr>
      <w:rFonts w:ascii="Times New Roman" w:eastAsia="Times New Roman" w:hAnsi="Times New Roman"/>
      <w:sz w:val="24"/>
      <w:szCs w:val="24"/>
    </w:rPr>
  </w:style>
  <w:style w:type="character" w:customStyle="1" w:styleId="BodyText3Char1">
    <w:name w:val="Body Text 3 Char1"/>
    <w:uiPriority w:val="99"/>
    <w:semiHidden/>
    <w:rsid w:val="000D4AEA"/>
    <w:rPr>
      <w:rFonts w:ascii="Times New Roman" w:eastAsia="Times New Roman" w:hAnsi="Times New Roman"/>
      <w:sz w:val="16"/>
      <w:szCs w:val="16"/>
    </w:rPr>
  </w:style>
  <w:style w:type="character" w:customStyle="1" w:styleId="BodyTextIndent2Char1">
    <w:name w:val="Body Text Indent 2 Char1"/>
    <w:uiPriority w:val="99"/>
    <w:semiHidden/>
    <w:rsid w:val="000D4AEA"/>
    <w:rPr>
      <w:rFonts w:ascii="Times New Roman" w:eastAsia="Times New Roman" w:hAnsi="Times New Roman"/>
      <w:sz w:val="24"/>
      <w:szCs w:val="24"/>
    </w:rPr>
  </w:style>
  <w:style w:type="paragraph" w:customStyle="1" w:styleId="xl160">
    <w:name w:val="xl160"/>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0D4AE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0D4AE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0D4AE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0D4AE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0D4AE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0D4AE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0D4AE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0D4AE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0D4AE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0D4AE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0D4AE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0D4AE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0D4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0D4AE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0D4AE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0D4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0D4AE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0D4AE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0D4AE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0D4AE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0D4AE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0D4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0D4AE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0D4AE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0D4AE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0D4AE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0D4AE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0D4AE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0D4AE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0D4AE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0D4AE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0D4AE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0D4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0D4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0D4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0D4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0D4AE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0D4AE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0D4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0D4AE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0D4AE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0D4AE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0D4AE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0D4AE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0D4AE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0D4AE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0D4AE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0D4AE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0D4AE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0D4AE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0D4AE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0D4AE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0D4AE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0D4AE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0D4AE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Heading21">
    <w:name w:val="Heading 21"/>
    <w:basedOn w:val="Normal"/>
    <w:next w:val="Normal"/>
    <w:uiPriority w:val="9"/>
    <w:semiHidden/>
    <w:qFormat/>
    <w:rsid w:val="000D4AEA"/>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yiv4545518466msonormal">
    <w:name w:val="yiv4545518466msonormal"/>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82094338gmail-msolistparagraph">
    <w:name w:val="yiv4182094338gmail-msolistparagraph"/>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82094338gmail-msoins">
    <w:name w:val="yiv4182094338gmail-msoins"/>
    <w:basedOn w:val="DefaultParagraphFont"/>
    <w:rsid w:val="000D4AEA"/>
  </w:style>
  <w:style w:type="paragraph" w:styleId="IntenseQuote">
    <w:name w:val="Intense Quote"/>
    <w:basedOn w:val="Normal"/>
    <w:next w:val="Normal"/>
    <w:link w:val="IntenseQuoteChar"/>
    <w:uiPriority w:val="30"/>
    <w:qFormat/>
    <w:rsid w:val="000D4AEA"/>
    <w:pPr>
      <w:pBdr>
        <w:top w:val="single" w:sz="4" w:space="10" w:color="5B9BD5"/>
        <w:bottom w:val="single" w:sz="4" w:space="10" w:color="5B9BD5"/>
      </w:pBdr>
      <w:spacing w:before="360" w:after="360" w:line="240" w:lineRule="auto"/>
      <w:ind w:left="864" w:right="864"/>
      <w:jc w:val="center"/>
    </w:pPr>
    <w:rPr>
      <w:rFonts w:ascii="Calibri" w:eastAsia="Calibri" w:hAnsi="Calibri" w:cs="Times New Roman"/>
      <w:i/>
      <w:iCs/>
      <w:color w:val="000000"/>
      <w:sz w:val="20"/>
      <w:szCs w:val="20"/>
      <w:lang w:val="en-GB"/>
    </w:rPr>
  </w:style>
  <w:style w:type="character" w:customStyle="1" w:styleId="IntenseQuoteChar">
    <w:name w:val="Intense Quote Char"/>
    <w:basedOn w:val="DefaultParagraphFont"/>
    <w:link w:val="IntenseQuote"/>
    <w:uiPriority w:val="30"/>
    <w:rsid w:val="000D4AEA"/>
    <w:rPr>
      <w:rFonts w:ascii="Calibri" w:eastAsia="Calibri" w:hAnsi="Calibri" w:cs="Times New Roman"/>
      <w:i/>
      <w:iCs/>
      <w:color w:val="000000"/>
      <w:sz w:val="20"/>
      <w:szCs w:val="20"/>
      <w:lang w:val="en-GB"/>
    </w:rPr>
  </w:style>
  <w:style w:type="paragraph" w:customStyle="1" w:styleId="m-284376450517827603gmail-m1751023561988929595gmail-msonormal">
    <w:name w:val="m_-284376450517827603gmail-m_1751023561988929595gmail-msonormal"/>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2268107640545953977m2880133903447157422m3784442604459821962m3634173993286962166msolistparagraph">
    <w:name w:val="gmail-m_2268107640545953977m_2880133903447157422m_3784442604459821962m_3634173993286962166msolistparagraph"/>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ubjectChar1">
    <w:name w:val="Comment Subject Char1"/>
    <w:basedOn w:val="CommentTextChar"/>
    <w:uiPriority w:val="99"/>
    <w:semiHidden/>
    <w:rsid w:val="000D4AEA"/>
    <w:rPr>
      <w:rFonts w:ascii="Times New Roman" w:eastAsia="Calibri" w:hAnsi="Times New Roman" w:cs="Times New Roman" w:hint="default"/>
      <w:b/>
      <w:bCs/>
      <w:sz w:val="20"/>
      <w:szCs w:val="20"/>
      <w:lang w:val="en-GB"/>
    </w:rPr>
  </w:style>
  <w:style w:type="paragraph" w:customStyle="1" w:styleId="western">
    <w:name w:val="western"/>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0D4A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0D4AEA"/>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0D4AEA"/>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D4AEA"/>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D4AEA"/>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D4AEA"/>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D4AEA"/>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0D4AEA"/>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D4AEA"/>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0D4AEA"/>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D4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D4AEA"/>
    <w:rPr>
      <w:rFonts w:ascii="Tahoma" w:hAnsi="Tahoma" w:cs="Tahoma"/>
      <w:sz w:val="16"/>
      <w:szCs w:val="16"/>
    </w:rPr>
  </w:style>
  <w:style w:type="character" w:customStyle="1" w:styleId="Heading1Char">
    <w:name w:val="Heading 1 Char"/>
    <w:aliases w:val="Heading 1 Char1 Char1,Heading 1 Char1 Char Char,Heading 1 Char Char Char Char,Kreu Char,Heading 1. Char"/>
    <w:basedOn w:val="DefaultParagraphFont"/>
    <w:link w:val="Heading1"/>
    <w:rsid w:val="000D4AEA"/>
    <w:rPr>
      <w:rFonts w:ascii="Arial" w:eastAsia="MS Mincho" w:hAnsi="Arial" w:cs="Arial"/>
      <w:b/>
      <w:bCs/>
      <w:kern w:val="32"/>
      <w:sz w:val="32"/>
      <w:szCs w:val="32"/>
    </w:rPr>
  </w:style>
  <w:style w:type="character" w:customStyle="1" w:styleId="Heading2Char">
    <w:name w:val="Heading 2 Char"/>
    <w:aliases w:val="Pika Char"/>
    <w:basedOn w:val="DefaultParagraphFont"/>
    <w:rsid w:val="000D4AEA"/>
    <w:rPr>
      <w:rFonts w:ascii="Cambria" w:eastAsia="MS Mincho" w:hAnsi="Cambria" w:cs="Cambria"/>
      <w:b/>
      <w:bCs/>
      <w:sz w:val="26"/>
      <w:szCs w:val="26"/>
    </w:rPr>
  </w:style>
  <w:style w:type="character" w:customStyle="1" w:styleId="Heading3Char">
    <w:name w:val="Heading 3 Char"/>
    <w:aliases w:val="Germa Char"/>
    <w:basedOn w:val="DefaultParagraphFont"/>
    <w:rsid w:val="000D4AEA"/>
    <w:rPr>
      <w:rFonts w:ascii="Cambria" w:eastAsia="MS Mincho" w:hAnsi="Cambria" w:cs="Cambria"/>
      <w:b/>
      <w:bCs/>
      <w:sz w:val="24"/>
      <w:szCs w:val="24"/>
    </w:rPr>
  </w:style>
  <w:style w:type="character" w:customStyle="1" w:styleId="Heading4Char">
    <w:name w:val="Heading 4 Char"/>
    <w:basedOn w:val="DefaultParagraphFont"/>
    <w:link w:val="Heading4"/>
    <w:rsid w:val="000D4AEA"/>
    <w:rPr>
      <w:rFonts w:ascii="Cambria" w:eastAsia="MS Mincho" w:hAnsi="Cambria" w:cs="Cambria"/>
      <w:b/>
      <w:bCs/>
      <w:i/>
      <w:iCs/>
      <w:sz w:val="24"/>
      <w:szCs w:val="24"/>
    </w:rPr>
  </w:style>
  <w:style w:type="character" w:customStyle="1" w:styleId="Heading5Char">
    <w:name w:val="Heading 5 Char"/>
    <w:basedOn w:val="DefaultParagraphFont"/>
    <w:link w:val="Heading5"/>
    <w:rsid w:val="000D4AEA"/>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0D4AEA"/>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0D4AEA"/>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0D4AEA"/>
    <w:rPr>
      <w:rFonts w:ascii="Cambria" w:eastAsia="MS Mincho" w:hAnsi="Cambria" w:cs="Cambria"/>
      <w:sz w:val="20"/>
      <w:szCs w:val="20"/>
    </w:rPr>
  </w:style>
  <w:style w:type="character" w:customStyle="1" w:styleId="Heading9Char">
    <w:name w:val="Heading 9 Char"/>
    <w:basedOn w:val="DefaultParagraphFont"/>
    <w:link w:val="Heading9"/>
    <w:rsid w:val="000D4AEA"/>
    <w:rPr>
      <w:rFonts w:ascii="Cambria" w:eastAsia="MS Mincho" w:hAnsi="Cambria" w:cs="Cambria"/>
      <w:i/>
      <w:iCs/>
      <w:spacing w:val="5"/>
      <w:sz w:val="20"/>
      <w:szCs w:val="20"/>
    </w:rPr>
  </w:style>
  <w:style w:type="paragraph" w:styleId="NoSpacing">
    <w:name w:val="No Spacing"/>
    <w:link w:val="NoSpacingChar"/>
    <w:uiPriority w:val="1"/>
    <w:qFormat/>
    <w:rsid w:val="000D4AEA"/>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D4AEA"/>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0D4AEA"/>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0D4AEA"/>
    <w:rPr>
      <w:rFonts w:ascii="Calibri" w:eastAsia="Calibri" w:hAnsi="Calibri" w:cs="Times New Roman"/>
    </w:rPr>
  </w:style>
  <w:style w:type="paragraph" w:styleId="Footer">
    <w:name w:val="footer"/>
    <w:basedOn w:val="Normal"/>
    <w:link w:val="FooterChar"/>
    <w:uiPriority w:val="99"/>
    <w:unhideWhenUsed/>
    <w:rsid w:val="000D4AEA"/>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0D4AEA"/>
    <w:rPr>
      <w:rFonts w:ascii="Calibri" w:eastAsia="Calibri" w:hAnsi="Calibri" w:cs="Times New Roman"/>
    </w:rPr>
  </w:style>
  <w:style w:type="paragraph" w:customStyle="1" w:styleId="Akti">
    <w:name w:val="Akti"/>
    <w:link w:val="AktiChar"/>
    <w:rsid w:val="000D4AE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4AE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4AEA"/>
    <w:rPr>
      <w:rFonts w:ascii="Garamond" w:eastAsia="MS Mincho" w:hAnsi="Garamond" w:cs="CG Times"/>
      <w:b/>
      <w:bCs/>
      <w:sz w:val="24"/>
      <w:lang w:val="en-GB"/>
    </w:rPr>
  </w:style>
  <w:style w:type="paragraph" w:customStyle="1" w:styleId="Paragrafi">
    <w:name w:val="Paragrafi"/>
    <w:link w:val="ParagrafiChar"/>
    <w:rsid w:val="000D4AE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4AEA"/>
    <w:rPr>
      <w:rFonts w:ascii="Garamond" w:eastAsia="MS Mincho" w:hAnsi="Garamond" w:cs="CG Times"/>
      <w:sz w:val="24"/>
    </w:rPr>
  </w:style>
  <w:style w:type="paragraph" w:customStyle="1" w:styleId="Titulli">
    <w:name w:val="Titulli"/>
    <w:next w:val="Normal"/>
    <w:link w:val="TitulliChar"/>
    <w:rsid w:val="000D4AE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4AEA"/>
    <w:rPr>
      <w:rFonts w:ascii="Garamond" w:eastAsia="MS Mincho" w:hAnsi="Garamond" w:cs="CG Times"/>
      <w:b/>
      <w:bCs/>
      <w:caps/>
      <w:sz w:val="24"/>
      <w:lang w:val="en-GB"/>
    </w:rPr>
  </w:style>
  <w:style w:type="character" w:customStyle="1" w:styleId="AktiChar">
    <w:name w:val="Akti Char"/>
    <w:basedOn w:val="DefaultParagraphFont"/>
    <w:link w:val="Akti"/>
    <w:rsid w:val="000D4AEA"/>
    <w:rPr>
      <w:rFonts w:ascii="Garamond" w:eastAsia="MS Mincho" w:hAnsi="Garamond" w:cs="CG Times"/>
      <w:b/>
      <w:bCs/>
      <w:caps/>
      <w:color w:val="000000"/>
      <w:sz w:val="24"/>
      <w:lang w:val="en-GB"/>
    </w:rPr>
  </w:style>
  <w:style w:type="paragraph" w:customStyle="1" w:styleId="NeniNr">
    <w:name w:val="Neni_Nr"/>
    <w:next w:val="Normal"/>
    <w:link w:val="NeniNrChar"/>
    <w:rsid w:val="000D4AE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D4AE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D4AEA"/>
    <w:rPr>
      <w:rFonts w:ascii="Garamond" w:eastAsia="MS Mincho" w:hAnsi="Garamond" w:cs="CG Times"/>
      <w:sz w:val="24"/>
      <w:lang w:val="en-GB"/>
    </w:rPr>
  </w:style>
  <w:style w:type="paragraph" w:customStyle="1" w:styleId="Autoriteti">
    <w:name w:val="Autoriteti"/>
    <w:next w:val="Normal"/>
    <w:link w:val="AutoritetiChar"/>
    <w:rsid w:val="000D4AE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4AE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D4AEA"/>
    <w:rPr>
      <w:rFonts w:ascii="Garamond" w:eastAsia="MS Mincho" w:hAnsi="Garamond" w:cs="CG Times"/>
      <w:caps/>
      <w:sz w:val="24"/>
      <w:lang w:val="en-GB"/>
    </w:rPr>
  </w:style>
  <w:style w:type="character" w:customStyle="1" w:styleId="AutoritetiEmerChar">
    <w:name w:val="Autoriteti_Emer Char"/>
    <w:link w:val="AutoritetiEmer"/>
    <w:locked/>
    <w:rsid w:val="000D4AEA"/>
    <w:rPr>
      <w:rFonts w:ascii="Garamond" w:eastAsia="MS Mincho" w:hAnsi="Garamond" w:cs="Times New Roman"/>
      <w:b/>
      <w:bCs/>
      <w:sz w:val="24"/>
      <w:lang w:val="en-GB"/>
    </w:rPr>
  </w:style>
  <w:style w:type="paragraph" w:customStyle="1" w:styleId="Titull-Titull">
    <w:name w:val="Titull-Titull"/>
    <w:basedOn w:val="Paragrafi"/>
    <w:qFormat/>
    <w:rsid w:val="000D4AEA"/>
    <w:pPr>
      <w:ind w:firstLine="0"/>
      <w:jc w:val="center"/>
    </w:pPr>
    <w:rPr>
      <w:caps/>
      <w:szCs w:val="24"/>
    </w:rPr>
  </w:style>
  <w:style w:type="paragraph" w:customStyle="1" w:styleId="Vendosi">
    <w:name w:val="Vendosi"/>
    <w:basedOn w:val="Titull-Titull"/>
    <w:qFormat/>
    <w:rsid w:val="000D4AEA"/>
  </w:style>
  <w:style w:type="paragraph" w:customStyle="1" w:styleId="Hapesira7">
    <w:name w:val="Hapesira 7"/>
    <w:basedOn w:val="Paragrafi"/>
    <w:qFormat/>
    <w:rsid w:val="000D4AEA"/>
    <w:rPr>
      <w:sz w:val="14"/>
      <w:szCs w:val="24"/>
    </w:rPr>
  </w:style>
  <w:style w:type="paragraph" w:styleId="ListParagraph">
    <w:name w:val="List Paragraph"/>
    <w:aliases w:val="List Paragraph2"/>
    <w:basedOn w:val="Normal"/>
    <w:link w:val="ListParagraphChar"/>
    <w:uiPriority w:val="34"/>
    <w:qFormat/>
    <w:rsid w:val="000D4AEA"/>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0D4AEA"/>
    <w:rPr>
      <w:rFonts w:ascii="Calibri" w:eastAsia="Times New Roman" w:hAnsi="Calibri" w:cs="Times New Roman"/>
    </w:rPr>
  </w:style>
  <w:style w:type="paragraph" w:customStyle="1" w:styleId="Style1">
    <w:name w:val="Style1"/>
    <w:basedOn w:val="Akti"/>
    <w:link w:val="Style1Char"/>
    <w:qFormat/>
    <w:rsid w:val="000D4AEA"/>
  </w:style>
  <w:style w:type="character" w:customStyle="1" w:styleId="Heading2Char1">
    <w:name w:val="Heading 2 Char1"/>
    <w:link w:val="Heading2"/>
    <w:locked/>
    <w:rsid w:val="000D4AEA"/>
    <w:rPr>
      <w:rFonts w:ascii="Cambria" w:eastAsia="MS Mincho" w:hAnsi="Cambria" w:cs="Cambria"/>
      <w:b/>
      <w:bCs/>
      <w:sz w:val="26"/>
      <w:szCs w:val="26"/>
    </w:rPr>
  </w:style>
  <w:style w:type="character" w:customStyle="1" w:styleId="Heading3Char1">
    <w:name w:val="Heading 3 Char1"/>
    <w:aliases w:val="Germa Char1"/>
    <w:link w:val="Heading3"/>
    <w:locked/>
    <w:rsid w:val="000D4AEA"/>
    <w:rPr>
      <w:rFonts w:ascii="Cambria" w:eastAsia="MS Mincho" w:hAnsi="Cambria" w:cs="Cambria"/>
      <w:b/>
      <w:bCs/>
      <w:sz w:val="24"/>
      <w:szCs w:val="24"/>
    </w:rPr>
  </w:style>
  <w:style w:type="paragraph" w:customStyle="1" w:styleId="ADDRESS">
    <w:name w:val="ADDRESS"/>
    <w:basedOn w:val="Normal"/>
    <w:rsid w:val="000D4AEA"/>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0D4AEA"/>
    <w:pPr>
      <w:spacing w:after="0" w:line="240" w:lineRule="auto"/>
      <w:jc w:val="both"/>
    </w:pPr>
    <w:rPr>
      <w:rFonts w:ascii="CG Times" w:eastAsia="MS Mincho" w:hAnsi="CG Times" w:cs="CG Times"/>
      <w:sz w:val="21"/>
      <w:lang w:val="en-GB"/>
    </w:rPr>
  </w:style>
  <w:style w:type="paragraph" w:customStyle="1" w:styleId="AneksiNr">
    <w:name w:val="Aneksi_Nr"/>
    <w:next w:val="Normal"/>
    <w:rsid w:val="000D4AE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0D4AE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0D4AEA"/>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0D4AEA"/>
    <w:rPr>
      <w:rFonts w:ascii="Arial" w:eastAsia="Times New Roman" w:hAnsi="Arial" w:cs="Arial"/>
      <w:color w:val="000000"/>
      <w:sz w:val="24"/>
      <w:szCs w:val="24"/>
    </w:rPr>
  </w:style>
  <w:style w:type="paragraph" w:customStyle="1" w:styleId="BazLigjPropozues">
    <w:name w:val="Baz_Ligj_Propozues"/>
    <w:rsid w:val="000D4AE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0D4AEA"/>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0D4AEA"/>
    <w:rPr>
      <w:rFonts w:ascii="Times New Roman" w:eastAsia="Times New Roman" w:hAnsi="Times New Roman" w:cs="Times New Roman"/>
      <w:caps/>
      <w:sz w:val="26"/>
      <w:szCs w:val="26"/>
      <w:lang w:val="en-GB"/>
    </w:rPr>
  </w:style>
  <w:style w:type="character" w:customStyle="1" w:styleId="apple-converted-space">
    <w:name w:val="apple-converted-space"/>
    <w:rsid w:val="000D4AEA"/>
  </w:style>
  <w:style w:type="character" w:styleId="Hyperlink">
    <w:name w:val="Hyperlink"/>
    <w:uiPriority w:val="99"/>
    <w:unhideWhenUsed/>
    <w:rsid w:val="000D4AEA"/>
    <w:rPr>
      <w:color w:val="0000FF"/>
      <w:u w:val="single"/>
    </w:rPr>
  </w:style>
  <w:style w:type="character" w:styleId="FollowedHyperlink">
    <w:name w:val="FollowedHyperlink"/>
    <w:uiPriority w:val="99"/>
    <w:unhideWhenUsed/>
    <w:rsid w:val="000D4AEA"/>
    <w:rPr>
      <w:color w:val="800080"/>
      <w:u w:val="single"/>
    </w:rPr>
  </w:style>
  <w:style w:type="paragraph" w:customStyle="1" w:styleId="font5">
    <w:name w:val="font5"/>
    <w:basedOn w:val="Normal"/>
    <w:rsid w:val="000D4AEA"/>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0D4AEA"/>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0D4AEA"/>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0D4AEA"/>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0D4AEA"/>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0D4AE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0D4AEA"/>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0D4AE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0D4AEA"/>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0D4AE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0D4AEA"/>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0D4AE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0D4AEA"/>
    <w:pPr>
      <w:pageBreakBefore/>
      <w:spacing w:after="0" w:line="240" w:lineRule="auto"/>
      <w:jc w:val="both"/>
    </w:pPr>
    <w:rPr>
      <w:rFonts w:ascii="CG Times" w:eastAsia="MS Mincho" w:hAnsi="CG Times" w:cs="CG Times"/>
      <w:b/>
      <w:bCs/>
      <w:sz w:val="21"/>
    </w:rPr>
  </w:style>
  <w:style w:type="paragraph" w:customStyle="1" w:styleId="KapitulliNr">
    <w:name w:val="Kapitulli_Nr"/>
    <w:rsid w:val="000D4AE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0D4AE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0D4AE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0D4AE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0D4AEA"/>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0D4AEA"/>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0D4AEA"/>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0D4AEA"/>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0D4AEA"/>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0D4AEA"/>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0D4AE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0D4AEA"/>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0D4AEA"/>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0D4AE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0D4AE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0D4AEA"/>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0D4AEA"/>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0D4AEA"/>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0D4AEA"/>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0D4AEA"/>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0D4AEA"/>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0D4AEA"/>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0D4AEA"/>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0D4AEA"/>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0D4AEA"/>
  </w:style>
  <w:style w:type="paragraph" w:customStyle="1" w:styleId="PjesaNr">
    <w:name w:val="Pjesa_Nr"/>
    <w:next w:val="Normal"/>
    <w:rsid w:val="000D4AE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0D4AE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0D4AEA"/>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0D4AEA"/>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0D4AE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D4AEA"/>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0D4AE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0D4AEA"/>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0D4AEA"/>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0D4AEA"/>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0D4AE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0D4AEA"/>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0D4AEA"/>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0D4AEA"/>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0D4AEA"/>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0D4AEA"/>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0D4AEA"/>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0D4AEA"/>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0D4AE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0D4AEA"/>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0D4AEA"/>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0D4AEA"/>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0D4AE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0D4AE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0D4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0D4AEA"/>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0D4AEA"/>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0D4AEA"/>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0D4AEA"/>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0D4AE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0D4AEA"/>
    <w:rPr>
      <w:b/>
      <w:bCs/>
    </w:rPr>
  </w:style>
  <w:style w:type="paragraph" w:customStyle="1" w:styleId="xl136">
    <w:name w:val="xl136"/>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0D4AEA"/>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0D4AEA"/>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0D4AEA"/>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0D4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0D4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0D4AEA"/>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0D4AE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0D4AEA"/>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0D4AE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0D4AEA"/>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0D4AE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0D4AE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0D4AE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0D4AEA"/>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0D4AE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0D4AEA"/>
  </w:style>
  <w:style w:type="paragraph" w:styleId="Title">
    <w:name w:val="Title"/>
    <w:basedOn w:val="Heading1"/>
    <w:next w:val="Normal"/>
    <w:link w:val="TitleChar"/>
    <w:uiPriority w:val="99"/>
    <w:qFormat/>
    <w:rsid w:val="000D4AE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0D4AEA"/>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0D4AEA"/>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0D4AEA"/>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0D4AEA"/>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0D4AEA"/>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0D4AEA"/>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0D4AEA"/>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0D4AEA"/>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0D4AEA"/>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0D4AEA"/>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0D4AEA"/>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0D4AEA"/>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0D4AEA"/>
    <w:rPr>
      <w:rFonts w:ascii="Calibri" w:eastAsia="Calibri" w:hAnsi="Calibri" w:cs="Times New Roman"/>
    </w:rPr>
  </w:style>
  <w:style w:type="paragraph" w:customStyle="1" w:styleId="numridata0">
    <w:name w:val="numridata"/>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0D4AEA"/>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0D4AEA"/>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0D4AEA"/>
    <w:rPr>
      <w:rFonts w:ascii="Times New Roman" w:eastAsia="Times New Roman" w:hAnsi="Times New Roman" w:cs="Times New Roman"/>
      <w:sz w:val="16"/>
      <w:szCs w:val="16"/>
    </w:rPr>
  </w:style>
  <w:style w:type="paragraph" w:customStyle="1" w:styleId="s32b251d">
    <w:name w:val="s32b251d"/>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0D4AEA"/>
  </w:style>
  <w:style w:type="paragraph" w:customStyle="1" w:styleId="s30eec3f8">
    <w:name w:val="s30eec3f8"/>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0D4AEA"/>
    <w:rPr>
      <w:sz w:val="24"/>
      <w:lang w:val="en-GB" w:eastAsia="fr-FR"/>
    </w:rPr>
  </w:style>
  <w:style w:type="paragraph" w:customStyle="1" w:styleId="JuPara">
    <w:name w:val="Ju_Para"/>
    <w:basedOn w:val="Normal"/>
    <w:link w:val="JuParaCar"/>
    <w:rsid w:val="000D4AEA"/>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0D4AEA"/>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0D4AEA"/>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0D4AEA"/>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0D4AE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0D4AEA"/>
    <w:rPr>
      <w:vertAlign w:val="superscript"/>
    </w:rPr>
  </w:style>
  <w:style w:type="paragraph" w:customStyle="1" w:styleId="ju-005fpara">
    <w:name w:val="ju-005fpara"/>
    <w:basedOn w:val="Normal"/>
    <w:rsid w:val="000D4AEA"/>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0D4AEA"/>
  </w:style>
  <w:style w:type="character" w:customStyle="1" w:styleId="s7d2086b4">
    <w:name w:val="s7d2086b4"/>
    <w:basedOn w:val="DefaultParagraphFont"/>
    <w:uiPriority w:val="99"/>
    <w:rsid w:val="000D4AEA"/>
  </w:style>
  <w:style w:type="character" w:customStyle="1" w:styleId="hps">
    <w:name w:val="hps"/>
    <w:basedOn w:val="DefaultParagraphFont"/>
    <w:rsid w:val="000D4AEA"/>
  </w:style>
  <w:style w:type="paragraph" w:customStyle="1" w:styleId="paragrafi0">
    <w:name w:val="paragrafi"/>
    <w:basedOn w:val="Normal"/>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0D4AEA"/>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0D4AEA"/>
    <w:rPr>
      <w:rFonts w:cs="Times New Roman"/>
    </w:rPr>
  </w:style>
  <w:style w:type="paragraph" w:customStyle="1" w:styleId="titulli0">
    <w:name w:val="titull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0D4AEA"/>
  </w:style>
  <w:style w:type="paragraph" w:customStyle="1" w:styleId="akti0">
    <w:name w:val="akt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0D4AEA"/>
  </w:style>
  <w:style w:type="paragraph" w:customStyle="1" w:styleId="CM49">
    <w:name w:val="CM49"/>
    <w:basedOn w:val="Normal"/>
    <w:next w:val="Normal"/>
    <w:rsid w:val="000D4AEA"/>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0D4AEA"/>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0D4AEA"/>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0D4AEA"/>
    <w:pPr>
      <w:widowControl w:val="0"/>
    </w:pPr>
    <w:rPr>
      <w:rFonts w:ascii="Helvetica" w:eastAsia="Times New Roman" w:hAnsi="Helvetica" w:cs="Helvetica"/>
      <w:lang w:val="sq-AL"/>
    </w:rPr>
  </w:style>
  <w:style w:type="paragraph" w:customStyle="1" w:styleId="CM57">
    <w:name w:val="CM57"/>
    <w:basedOn w:val="Normal"/>
    <w:next w:val="Normal"/>
    <w:rsid w:val="000D4AEA"/>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0D4AEA"/>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0D4AEA"/>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0D4A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D4AEA"/>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D4AEA"/>
  </w:style>
  <w:style w:type="character" w:customStyle="1" w:styleId="StyleHeading6BoldChar">
    <w:name w:val="Style Heading 6 + Bold Char"/>
    <w:link w:val="StyleHeading6Bold"/>
    <w:rsid w:val="000D4AEA"/>
    <w:rPr>
      <w:rFonts w:ascii="Cambria" w:eastAsia="MS Mincho" w:hAnsi="Cambria" w:cs="Cambria"/>
      <w:b/>
      <w:bCs/>
      <w:i/>
      <w:iCs/>
      <w:color w:val="7F7F7F"/>
      <w:sz w:val="24"/>
      <w:szCs w:val="24"/>
    </w:rPr>
  </w:style>
  <w:style w:type="paragraph" w:customStyle="1" w:styleId="tableheaders">
    <w:name w:val="table headers"/>
    <w:rsid w:val="000D4AE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D4AEA"/>
    <w:rPr>
      <w:b w:val="0"/>
    </w:rPr>
  </w:style>
  <w:style w:type="paragraph" w:styleId="PlainText">
    <w:name w:val="Plain Text"/>
    <w:basedOn w:val="Normal"/>
    <w:link w:val="PlainTextChar"/>
    <w:uiPriority w:val="99"/>
    <w:unhideWhenUsed/>
    <w:rsid w:val="000D4AEA"/>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0D4AEA"/>
    <w:rPr>
      <w:rFonts w:ascii="Consolas" w:eastAsia="Calibri" w:hAnsi="Consolas" w:cs="Times New Roman"/>
      <w:sz w:val="21"/>
      <w:szCs w:val="21"/>
      <w:lang w:val="sq-AL"/>
    </w:rPr>
  </w:style>
  <w:style w:type="paragraph" w:customStyle="1" w:styleId="StyleStyle1Bold">
    <w:name w:val="Style Style1 + Bold"/>
    <w:basedOn w:val="Style1"/>
    <w:rsid w:val="000D4AEA"/>
  </w:style>
  <w:style w:type="paragraph" w:customStyle="1" w:styleId="CM1">
    <w:name w:val="CM1"/>
    <w:basedOn w:val="Default"/>
    <w:next w:val="Default"/>
    <w:rsid w:val="000D4AEA"/>
    <w:rPr>
      <w:rFonts w:ascii="EUAlbertina" w:hAnsi="EUAlbertina"/>
      <w:color w:val="auto"/>
    </w:rPr>
  </w:style>
  <w:style w:type="paragraph" w:customStyle="1" w:styleId="CM4">
    <w:name w:val="CM4"/>
    <w:basedOn w:val="Normal"/>
    <w:next w:val="Normal"/>
    <w:rsid w:val="000D4AEA"/>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0D4AEA"/>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0D4AEA"/>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0D4AEA"/>
    <w:rPr>
      <w:rFonts w:ascii="Tahoma" w:eastAsia="Times New Roman" w:hAnsi="Tahoma" w:cs="Times New Roman"/>
      <w:sz w:val="16"/>
      <w:szCs w:val="16"/>
      <w:lang w:val="sq-AL"/>
    </w:rPr>
  </w:style>
  <w:style w:type="numbering" w:customStyle="1" w:styleId="NoList3">
    <w:name w:val="No List3"/>
    <w:next w:val="NoList"/>
    <w:semiHidden/>
    <w:rsid w:val="000D4AEA"/>
  </w:style>
  <w:style w:type="numbering" w:customStyle="1" w:styleId="NoList4">
    <w:name w:val="No List4"/>
    <w:next w:val="NoList"/>
    <w:semiHidden/>
    <w:rsid w:val="000D4AEA"/>
  </w:style>
  <w:style w:type="paragraph" w:customStyle="1" w:styleId="Point1">
    <w:name w:val="Point 1"/>
    <w:basedOn w:val="Normal"/>
    <w:link w:val="Point1Char"/>
    <w:rsid w:val="000D4AEA"/>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0D4AEA"/>
    <w:rPr>
      <w:rFonts w:ascii="Calibri" w:eastAsia="Times New Roman" w:hAnsi="Calibri" w:cs="Times New Roman"/>
      <w:sz w:val="24"/>
      <w:szCs w:val="24"/>
      <w:lang w:val="en-GB" w:eastAsia="en-GB"/>
    </w:rPr>
  </w:style>
  <w:style w:type="character" w:customStyle="1" w:styleId="longtext">
    <w:name w:val="long_text"/>
    <w:rsid w:val="000D4AEA"/>
    <w:rPr>
      <w:rFonts w:ascii="Comic Sans MS" w:hAnsi="Comic Sans MS"/>
      <w:b/>
      <w:sz w:val="96"/>
      <w:szCs w:val="24"/>
      <w:lang w:val="pl-PL" w:eastAsia="pl-PL" w:bidi="ar-SA"/>
    </w:rPr>
  </w:style>
  <w:style w:type="paragraph" w:customStyle="1" w:styleId="Text1">
    <w:name w:val="Text 1"/>
    <w:basedOn w:val="Normal"/>
    <w:link w:val="Text1Char"/>
    <w:rsid w:val="000D4AEA"/>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0D4AEA"/>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0D4AEA"/>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0D4AEA"/>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0D4AEA"/>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0D4AEA"/>
  </w:style>
  <w:style w:type="character" w:customStyle="1" w:styleId="SectionTitleCharCharChar">
    <w:name w:val="SectionTitle Char Char Char"/>
    <w:link w:val="SectionTitleCharChar"/>
    <w:rsid w:val="000D4AE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0D4AEA"/>
    <w:rPr>
      <w:rFonts w:ascii="Calibri" w:eastAsia="Times New Roman" w:hAnsi="Calibri" w:cs="Times New Roman"/>
      <w:b/>
      <w:bCs/>
      <w:smallCaps/>
      <w:sz w:val="28"/>
      <w:szCs w:val="28"/>
      <w:lang w:val="en-GB" w:eastAsia="en-GB"/>
    </w:rPr>
  </w:style>
  <w:style w:type="character" w:customStyle="1" w:styleId="Text1Char">
    <w:name w:val="Text 1 Char"/>
    <w:link w:val="Text1"/>
    <w:rsid w:val="000D4AEA"/>
    <w:rPr>
      <w:rFonts w:ascii="Calibri" w:eastAsia="Times New Roman" w:hAnsi="Calibri" w:cs="Times New Roman"/>
      <w:sz w:val="24"/>
      <w:szCs w:val="24"/>
      <w:lang w:val="en-GB" w:eastAsia="en-GB"/>
    </w:rPr>
  </w:style>
  <w:style w:type="character" w:customStyle="1" w:styleId="Point1CharChar">
    <w:name w:val="Point 1 Char Char"/>
    <w:rsid w:val="000D4AEA"/>
    <w:rPr>
      <w:sz w:val="24"/>
      <w:szCs w:val="24"/>
      <w:lang w:val="en-GB" w:eastAsia="en-GB" w:bidi="ar-SA"/>
    </w:rPr>
  </w:style>
  <w:style w:type="paragraph" w:customStyle="1" w:styleId="Point0">
    <w:name w:val="Point 0"/>
    <w:basedOn w:val="Normal"/>
    <w:rsid w:val="000D4AEA"/>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0D4AEA"/>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0D4AEA"/>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0D4AEA"/>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0D4AEA"/>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0D4AEA"/>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0D4AEA"/>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0D4AEA"/>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D4AEA"/>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0D4AEA"/>
    <w:rPr>
      <w:rFonts w:ascii="CG Times" w:hAnsi="CG Times"/>
      <w:sz w:val="22"/>
      <w:lang w:val="en-US" w:eastAsia="en-US" w:bidi="ar-SA"/>
    </w:rPr>
  </w:style>
  <w:style w:type="paragraph" w:customStyle="1" w:styleId="SectionTitle">
    <w:name w:val="SectionTitle"/>
    <w:basedOn w:val="Normal"/>
    <w:next w:val="Heading1"/>
    <w:rsid w:val="000D4AEA"/>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0D4AEA"/>
  </w:style>
  <w:style w:type="paragraph" w:styleId="TableofFigures">
    <w:name w:val="table of figures"/>
    <w:basedOn w:val="Normal"/>
    <w:next w:val="Normal"/>
    <w:rsid w:val="000D4AEA"/>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0D4AEA"/>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0D4AEA"/>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0D4AEA"/>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0D4AEA"/>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0D4AEA"/>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0D4AEA"/>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0D4AEA"/>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0D4AEA"/>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0D4AEA"/>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0D4AEA"/>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0D4AEA"/>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0D4AEA"/>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0D4AEA"/>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0D4AEA"/>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0D4AEA"/>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0D4AEA"/>
    <w:pPr>
      <w:spacing w:after="0" w:line="360" w:lineRule="auto"/>
    </w:pPr>
    <w:rPr>
      <w:rFonts w:ascii="Tahoma" w:eastAsia="Times New Roman" w:hAnsi="Tahoma" w:cs="Times New Roman"/>
      <w:lang w:val="de-AT" w:eastAsia="de-DE"/>
    </w:rPr>
  </w:style>
  <w:style w:type="paragraph" w:styleId="List">
    <w:name w:val="List"/>
    <w:basedOn w:val="Normal"/>
    <w:rsid w:val="000D4AEA"/>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0D4AEA"/>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0D4AEA"/>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0D4AEA"/>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0D4AEA"/>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0D4AEA"/>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0D4AEA"/>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0D4AEA"/>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0D4AEA"/>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0D4AEA"/>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0D4AEA"/>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0D4AEA"/>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0D4AEA"/>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0D4AEA"/>
    <w:rPr>
      <w:sz w:val="16"/>
      <w:szCs w:val="16"/>
    </w:rPr>
  </w:style>
  <w:style w:type="paragraph" w:styleId="CommentText">
    <w:name w:val="annotation text"/>
    <w:aliases w:val=" Char"/>
    <w:basedOn w:val="Normal"/>
    <w:link w:val="CommentTextChar"/>
    <w:uiPriority w:val="99"/>
    <w:unhideWhenUsed/>
    <w:rsid w:val="000D4AEA"/>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0D4AE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0D4AEA"/>
    <w:rPr>
      <w:b/>
      <w:bCs/>
    </w:rPr>
  </w:style>
  <w:style w:type="character" w:customStyle="1" w:styleId="CommentSubjectChar">
    <w:name w:val="Comment Subject Char"/>
    <w:basedOn w:val="CommentTextChar"/>
    <w:link w:val="CommentSubject"/>
    <w:uiPriority w:val="99"/>
    <w:rsid w:val="000D4AEA"/>
    <w:rPr>
      <w:rFonts w:ascii="Calibri" w:eastAsia="MS Mincho" w:hAnsi="Calibri" w:cs="Times New Roman"/>
      <w:b/>
      <w:bCs/>
      <w:sz w:val="20"/>
      <w:szCs w:val="20"/>
      <w:lang w:val="sq-AL"/>
    </w:rPr>
  </w:style>
  <w:style w:type="paragraph" w:styleId="ListNumber4">
    <w:name w:val="List Number 4"/>
    <w:basedOn w:val="Normal"/>
    <w:rsid w:val="000D4AEA"/>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0D4AEA"/>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0D4AEA"/>
  </w:style>
  <w:style w:type="paragraph" w:styleId="MacroText">
    <w:name w:val="macro"/>
    <w:link w:val="MacroTextChar"/>
    <w:semiHidden/>
    <w:rsid w:val="000D4AE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D4AEA"/>
    <w:rPr>
      <w:rFonts w:ascii="Courier New" w:eastAsia="Times New Roman" w:hAnsi="Courier New" w:cs="Times New Roman"/>
      <w:lang w:val="de-DE" w:eastAsia="de-DE"/>
    </w:rPr>
  </w:style>
  <w:style w:type="paragraph" w:styleId="NormalIndent">
    <w:name w:val="Normal Indent"/>
    <w:basedOn w:val="Normal"/>
    <w:link w:val="NormalIndentChar"/>
    <w:rsid w:val="000D4AEA"/>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0D4AEA"/>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0D4AEA"/>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0D4AEA"/>
    <w:rPr>
      <w:rFonts w:ascii="Tahoma" w:hAnsi="Tahoma"/>
      <w:sz w:val="22"/>
    </w:rPr>
  </w:style>
  <w:style w:type="paragraph" w:styleId="BlockText">
    <w:name w:val="Block Text"/>
    <w:basedOn w:val="Normal"/>
    <w:rsid w:val="000D4AEA"/>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0D4AEA"/>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0D4AEA"/>
    <w:rPr>
      <w:rFonts w:ascii="Tahoma" w:eastAsia="Times New Roman" w:hAnsi="Tahoma" w:cs="Times New Roman"/>
      <w:lang w:val="de-AT" w:eastAsia="de-DE"/>
    </w:rPr>
  </w:style>
  <w:style w:type="character" w:customStyle="1" w:styleId="Emphasis1">
    <w:name w:val="Emphasis1"/>
    <w:semiHidden/>
    <w:rsid w:val="000D4AEA"/>
  </w:style>
  <w:style w:type="paragraph" w:styleId="NoteHeading">
    <w:name w:val="Note Heading"/>
    <w:basedOn w:val="Normal"/>
    <w:next w:val="Normal"/>
    <w:link w:val="NoteHeadingChar"/>
    <w:rsid w:val="000D4AEA"/>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0D4AEA"/>
    <w:rPr>
      <w:rFonts w:ascii="Tahoma" w:eastAsia="Times New Roman" w:hAnsi="Tahoma" w:cs="Times New Roman"/>
      <w:lang w:val="de-AT" w:eastAsia="de-DE"/>
    </w:rPr>
  </w:style>
  <w:style w:type="paragraph" w:styleId="MessageHeader">
    <w:name w:val="Message Header"/>
    <w:basedOn w:val="Normal"/>
    <w:link w:val="MessageHeaderChar"/>
    <w:semiHidden/>
    <w:rsid w:val="000D4AE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0D4AE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D4AEA"/>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0D4AEA"/>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0D4AEA"/>
    <w:rPr>
      <w:rFonts w:ascii="Tahoma" w:eastAsia="Times New Roman" w:hAnsi="Tahoma" w:cs="Times New Roman"/>
      <w:sz w:val="20"/>
      <w:szCs w:val="20"/>
    </w:rPr>
  </w:style>
  <w:style w:type="character" w:styleId="EndnoteReference">
    <w:name w:val="endnote reference"/>
    <w:uiPriority w:val="99"/>
    <w:semiHidden/>
    <w:unhideWhenUsed/>
    <w:rsid w:val="000D4AEA"/>
    <w:rPr>
      <w:vertAlign w:val="superscript"/>
    </w:rPr>
  </w:style>
  <w:style w:type="paragraph" w:styleId="BodyTextFirstIndent2">
    <w:name w:val="Body Text First Indent 2"/>
    <w:basedOn w:val="BodyTextIndent"/>
    <w:link w:val="BodyTextFirstIndent2Char"/>
    <w:semiHidden/>
    <w:rsid w:val="000D4AE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D4AEA"/>
    <w:rPr>
      <w:rFonts w:ascii="Tahoma" w:eastAsia="Times New Roman" w:hAnsi="Tahoma" w:cs="Times New Roman"/>
      <w:lang w:val="de-AT" w:eastAsia="de-DE"/>
    </w:rPr>
  </w:style>
  <w:style w:type="numbering" w:styleId="111111">
    <w:name w:val="Outline List 2"/>
    <w:basedOn w:val="NoList"/>
    <w:semiHidden/>
    <w:rsid w:val="000D4AEA"/>
    <w:pPr>
      <w:numPr>
        <w:numId w:val="14"/>
      </w:numPr>
    </w:pPr>
  </w:style>
  <w:style w:type="paragraph" w:customStyle="1" w:styleId="Zusatz2">
    <w:name w:val="Zusatz 2"/>
    <w:basedOn w:val="Normal"/>
    <w:next w:val="Normal"/>
    <w:semiHidden/>
    <w:rsid w:val="000D4AEA"/>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0D4AEA"/>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0D4AEA"/>
    <w:pPr>
      <w:numPr>
        <w:numId w:val="15"/>
      </w:numPr>
    </w:pPr>
  </w:style>
  <w:style w:type="paragraph" w:styleId="Salutation">
    <w:name w:val="Salutation"/>
    <w:basedOn w:val="Normal"/>
    <w:next w:val="Normal"/>
    <w:link w:val="SalutationChar"/>
    <w:semiHidden/>
    <w:rsid w:val="000D4AEA"/>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0D4AEA"/>
    <w:rPr>
      <w:rFonts w:ascii="Tahoma" w:eastAsia="Times New Roman" w:hAnsi="Tahoma" w:cs="Times New Roman"/>
      <w:lang w:val="de-AT" w:eastAsia="de-DE"/>
    </w:rPr>
  </w:style>
  <w:style w:type="numbering" w:styleId="ArticleSection">
    <w:name w:val="Outline List 3"/>
    <w:basedOn w:val="NoList"/>
    <w:semiHidden/>
    <w:rsid w:val="000D4AEA"/>
    <w:pPr>
      <w:numPr>
        <w:numId w:val="16"/>
      </w:numPr>
    </w:pPr>
  </w:style>
  <w:style w:type="paragraph" w:styleId="Closing">
    <w:name w:val="Closing"/>
    <w:basedOn w:val="Normal"/>
    <w:link w:val="ClosingChar"/>
    <w:semiHidden/>
    <w:rsid w:val="000D4AEA"/>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0D4AEA"/>
    <w:rPr>
      <w:rFonts w:ascii="Tahoma" w:eastAsia="Times New Roman" w:hAnsi="Tahoma" w:cs="Times New Roman"/>
      <w:lang w:val="de-AT" w:eastAsia="de-DE"/>
    </w:rPr>
  </w:style>
  <w:style w:type="character" w:styleId="Emphasis">
    <w:name w:val="Emphasis"/>
    <w:uiPriority w:val="20"/>
    <w:qFormat/>
    <w:rsid w:val="000D4AEA"/>
    <w:rPr>
      <w:i/>
      <w:iCs/>
    </w:rPr>
  </w:style>
  <w:style w:type="paragraph" w:styleId="HTMLAddress">
    <w:name w:val="HTML Address"/>
    <w:basedOn w:val="Normal"/>
    <w:link w:val="HTMLAddressChar"/>
    <w:semiHidden/>
    <w:rsid w:val="000D4AEA"/>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0D4AEA"/>
    <w:rPr>
      <w:rFonts w:ascii="Tahoma" w:eastAsia="Times New Roman" w:hAnsi="Tahoma" w:cs="Times New Roman"/>
      <w:i/>
      <w:iCs/>
      <w:lang w:val="de-AT" w:eastAsia="de-DE"/>
    </w:rPr>
  </w:style>
  <w:style w:type="character" w:styleId="HTMLAcronym">
    <w:name w:val="HTML Acronym"/>
    <w:semiHidden/>
    <w:rsid w:val="000D4AEA"/>
  </w:style>
  <w:style w:type="character" w:styleId="HTMLSample">
    <w:name w:val="HTML Sample"/>
    <w:semiHidden/>
    <w:rsid w:val="000D4AEA"/>
    <w:rPr>
      <w:rFonts w:ascii="Courier New" w:hAnsi="Courier New" w:cs="Courier New"/>
    </w:rPr>
  </w:style>
  <w:style w:type="character" w:styleId="HTMLCode">
    <w:name w:val="HTML Code"/>
    <w:semiHidden/>
    <w:rsid w:val="000D4AEA"/>
    <w:rPr>
      <w:rFonts w:ascii="Courier New" w:hAnsi="Courier New" w:cs="Courier New"/>
      <w:sz w:val="20"/>
      <w:szCs w:val="20"/>
    </w:rPr>
  </w:style>
  <w:style w:type="character" w:styleId="HTMLDefinition">
    <w:name w:val="HTML Definition"/>
    <w:semiHidden/>
    <w:rsid w:val="000D4AEA"/>
    <w:rPr>
      <w:i/>
      <w:iCs/>
    </w:rPr>
  </w:style>
  <w:style w:type="character" w:styleId="HTMLTypewriter">
    <w:name w:val="HTML Typewriter"/>
    <w:semiHidden/>
    <w:rsid w:val="000D4AEA"/>
    <w:rPr>
      <w:rFonts w:ascii="Courier New" w:hAnsi="Courier New" w:cs="Courier New"/>
      <w:sz w:val="20"/>
      <w:szCs w:val="20"/>
    </w:rPr>
  </w:style>
  <w:style w:type="character" w:styleId="HTMLKeyboard">
    <w:name w:val="HTML Keyboard"/>
    <w:semiHidden/>
    <w:rsid w:val="000D4AEA"/>
    <w:rPr>
      <w:rFonts w:ascii="Courier New" w:hAnsi="Courier New" w:cs="Courier New"/>
      <w:sz w:val="20"/>
      <w:szCs w:val="20"/>
    </w:rPr>
  </w:style>
  <w:style w:type="character" w:styleId="HTMLVariable">
    <w:name w:val="HTML Variable"/>
    <w:semiHidden/>
    <w:rsid w:val="000D4AEA"/>
    <w:rPr>
      <w:i/>
      <w:iCs/>
    </w:rPr>
  </w:style>
  <w:style w:type="paragraph" w:styleId="HTMLPreformatted">
    <w:name w:val="HTML Preformatted"/>
    <w:basedOn w:val="Normal"/>
    <w:link w:val="HTMLPreformattedChar"/>
    <w:uiPriority w:val="99"/>
    <w:rsid w:val="000D4AEA"/>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0D4AEA"/>
    <w:rPr>
      <w:rFonts w:ascii="Courier New" w:eastAsia="Times New Roman" w:hAnsi="Courier New" w:cs="Times New Roman"/>
      <w:sz w:val="20"/>
      <w:lang w:val="de-AT" w:eastAsia="de-DE"/>
    </w:rPr>
  </w:style>
  <w:style w:type="character" w:styleId="HTMLCite">
    <w:name w:val="HTML Cite"/>
    <w:semiHidden/>
    <w:rsid w:val="000D4AEA"/>
    <w:rPr>
      <w:i/>
      <w:iCs/>
    </w:rPr>
  </w:style>
  <w:style w:type="table" w:styleId="Table3Deffects1">
    <w:name w:val="Table 3D effects 1"/>
    <w:basedOn w:val="TableNormal"/>
    <w:semiHidden/>
    <w:rsid w:val="000D4AEA"/>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D4AEA"/>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D4AEA"/>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D4AEA"/>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D4AEA"/>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D4AEA"/>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D4AEA"/>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D4AEA"/>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D4AEA"/>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D4AEA"/>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D4AEA"/>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D4AEA"/>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D4AEA"/>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D4AEA"/>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D4AEA"/>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D4AEA"/>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D4AEA"/>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D4AEA"/>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D4AEA"/>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D4AEA"/>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D4AEA"/>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D4AEA"/>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0D4AEA"/>
    <w:rPr>
      <w:rFonts w:ascii="Tahoma" w:eastAsia="Times New Roman" w:hAnsi="Tahoma" w:cs="Times New Roman"/>
      <w:lang w:val="de-AT" w:eastAsia="de-DE"/>
    </w:rPr>
  </w:style>
  <w:style w:type="paragraph" w:styleId="E-mailSignature">
    <w:name w:val="E-mail Signature"/>
    <w:basedOn w:val="Normal"/>
    <w:link w:val="E-mailSignatureChar"/>
    <w:rsid w:val="000D4AEA"/>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0D4AEA"/>
    <w:rPr>
      <w:rFonts w:ascii="Tahoma" w:eastAsia="Times New Roman" w:hAnsi="Tahoma" w:cs="Times New Roman"/>
      <w:lang w:val="de-AT" w:eastAsia="de-DE"/>
    </w:rPr>
  </w:style>
  <w:style w:type="paragraph" w:styleId="BodyText2">
    <w:name w:val="Body Text 2"/>
    <w:basedOn w:val="Normal"/>
    <w:link w:val="BodyText2Char"/>
    <w:uiPriority w:val="99"/>
    <w:rsid w:val="000D4AEA"/>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0D4AEA"/>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0D4AEA"/>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0D4AEA"/>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0D4AEA"/>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0D4AE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D4AE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D4AE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D4AEA"/>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0D4AEA"/>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0D4AEA"/>
    <w:rPr>
      <w:rFonts w:ascii="CG Times" w:eastAsia="Times New Roman" w:hAnsi="CG Times" w:cs="Times New Roman"/>
      <w:b/>
      <w:szCs w:val="24"/>
    </w:rPr>
  </w:style>
  <w:style w:type="character" w:customStyle="1" w:styleId="SubtitleChar1">
    <w:name w:val="Subtitle Char1"/>
    <w:locked/>
    <w:rsid w:val="000D4AEA"/>
    <w:rPr>
      <w:rFonts w:ascii="Cambria" w:hAnsi="Cambria"/>
      <w:sz w:val="24"/>
      <w:szCs w:val="24"/>
    </w:rPr>
  </w:style>
  <w:style w:type="paragraph" w:customStyle="1" w:styleId="Char1">
    <w:name w:val="Char1"/>
    <w:basedOn w:val="Normal"/>
    <w:rsid w:val="000D4AEA"/>
    <w:pPr>
      <w:spacing w:line="240" w:lineRule="exact"/>
    </w:pPr>
    <w:rPr>
      <w:rFonts w:ascii="Arial" w:eastAsia="Times New Roman" w:hAnsi="Arial" w:cs="Arial"/>
      <w:sz w:val="20"/>
      <w:szCs w:val="20"/>
    </w:rPr>
  </w:style>
  <w:style w:type="character" w:customStyle="1" w:styleId="CharChar11">
    <w:name w:val="Char Char11"/>
    <w:semiHidden/>
    <w:locked/>
    <w:rsid w:val="000D4AEA"/>
    <w:rPr>
      <w:rFonts w:ascii="Tahoma" w:hAnsi="Tahoma" w:cs="Tahoma"/>
      <w:i/>
      <w:iCs/>
      <w:sz w:val="22"/>
      <w:szCs w:val="22"/>
      <w:lang w:val="de-AT" w:eastAsia="de-DE" w:bidi="ar-SA"/>
    </w:rPr>
  </w:style>
  <w:style w:type="character" w:customStyle="1" w:styleId="CharChar36">
    <w:name w:val="Char Char36"/>
    <w:locked/>
    <w:rsid w:val="000D4AEA"/>
    <w:rPr>
      <w:rFonts w:ascii="Arial" w:hAnsi="Arial" w:cs="Arial"/>
      <w:b/>
      <w:bCs/>
      <w:kern w:val="32"/>
      <w:sz w:val="32"/>
      <w:szCs w:val="32"/>
      <w:lang w:val="sq-AL" w:eastAsia="en-US" w:bidi="ar-SA"/>
    </w:rPr>
  </w:style>
  <w:style w:type="character" w:customStyle="1" w:styleId="CharChar35">
    <w:name w:val="Char Char35"/>
    <w:locked/>
    <w:rsid w:val="000D4AEA"/>
    <w:rPr>
      <w:rFonts w:ascii="Arial" w:hAnsi="Arial" w:cs="Arial"/>
      <w:b/>
      <w:bCs/>
      <w:i/>
      <w:iCs/>
      <w:sz w:val="28"/>
      <w:szCs w:val="28"/>
      <w:lang w:val="sq-AL" w:eastAsia="en-US" w:bidi="ar-SA"/>
    </w:rPr>
  </w:style>
  <w:style w:type="character" w:customStyle="1" w:styleId="CharChar34">
    <w:name w:val="Char Char34"/>
    <w:locked/>
    <w:rsid w:val="000D4AEA"/>
    <w:rPr>
      <w:rFonts w:ascii="Tahoma" w:hAnsi="Tahoma"/>
      <w:b/>
      <w:kern w:val="28"/>
      <w:sz w:val="24"/>
      <w:szCs w:val="28"/>
      <w:lang w:val="de-AT" w:eastAsia="de-DE" w:bidi="ar-SA"/>
    </w:rPr>
  </w:style>
  <w:style w:type="character" w:customStyle="1" w:styleId="CharChar33">
    <w:name w:val="Char Char33"/>
    <w:locked/>
    <w:rsid w:val="000D4AEA"/>
    <w:rPr>
      <w:rFonts w:ascii="Tahoma" w:hAnsi="Tahoma"/>
      <w:b/>
      <w:i/>
      <w:kern w:val="28"/>
      <w:sz w:val="22"/>
      <w:szCs w:val="22"/>
      <w:lang w:val="de-AT" w:eastAsia="de-DE" w:bidi="ar-SA"/>
    </w:rPr>
  </w:style>
  <w:style w:type="character" w:customStyle="1" w:styleId="CharChar32">
    <w:name w:val="Char Char32"/>
    <w:locked/>
    <w:rsid w:val="000D4AEA"/>
    <w:rPr>
      <w:rFonts w:ascii="Tahoma" w:hAnsi="Tahoma"/>
      <w:b/>
      <w:i/>
      <w:kern w:val="28"/>
      <w:sz w:val="22"/>
      <w:szCs w:val="22"/>
      <w:lang w:val="de-AT" w:eastAsia="de-DE" w:bidi="ar-SA"/>
    </w:rPr>
  </w:style>
  <w:style w:type="character" w:customStyle="1" w:styleId="CharChar31">
    <w:name w:val="Char Char31"/>
    <w:locked/>
    <w:rsid w:val="000D4AEA"/>
    <w:rPr>
      <w:rFonts w:ascii="Tahoma" w:hAnsi="Tahoma"/>
      <w:b/>
      <w:i/>
      <w:kern w:val="28"/>
      <w:sz w:val="22"/>
      <w:szCs w:val="22"/>
      <w:lang w:val="de-AT" w:eastAsia="de-DE" w:bidi="ar-SA"/>
    </w:rPr>
  </w:style>
  <w:style w:type="character" w:customStyle="1" w:styleId="CharChar10">
    <w:name w:val="Char Char10"/>
    <w:semiHidden/>
    <w:locked/>
    <w:rsid w:val="000D4AEA"/>
    <w:rPr>
      <w:rFonts w:ascii="Courier New" w:hAnsi="Courier New" w:cs="Courier New"/>
      <w:szCs w:val="22"/>
      <w:lang w:val="de-AT" w:eastAsia="de-DE" w:bidi="ar-SA"/>
    </w:rPr>
  </w:style>
  <w:style w:type="character" w:customStyle="1" w:styleId="CharChar30">
    <w:name w:val="Char Char30"/>
    <w:locked/>
    <w:rsid w:val="000D4AEA"/>
    <w:rPr>
      <w:rFonts w:ascii="Tahoma" w:hAnsi="Tahoma"/>
      <w:b/>
      <w:i/>
      <w:kern w:val="28"/>
      <w:sz w:val="22"/>
      <w:szCs w:val="22"/>
      <w:lang w:val="de-AT" w:eastAsia="de-DE" w:bidi="ar-SA"/>
    </w:rPr>
  </w:style>
  <w:style w:type="character" w:customStyle="1" w:styleId="CharChar29">
    <w:name w:val="Char Char29"/>
    <w:locked/>
    <w:rsid w:val="000D4AEA"/>
    <w:rPr>
      <w:rFonts w:ascii="Tahoma" w:hAnsi="Tahoma"/>
      <w:b/>
      <w:i/>
      <w:kern w:val="28"/>
      <w:sz w:val="22"/>
      <w:szCs w:val="22"/>
      <w:lang w:val="de-AT" w:eastAsia="de-DE" w:bidi="ar-SA"/>
    </w:rPr>
  </w:style>
  <w:style w:type="character" w:customStyle="1" w:styleId="CharChar28">
    <w:name w:val="Char Char28"/>
    <w:locked/>
    <w:rsid w:val="000D4AEA"/>
    <w:rPr>
      <w:rFonts w:ascii="Tahoma" w:hAnsi="Tahoma"/>
      <w:b/>
      <w:i/>
      <w:kern w:val="28"/>
      <w:sz w:val="22"/>
      <w:szCs w:val="22"/>
      <w:lang w:val="de-AT" w:eastAsia="de-DE" w:bidi="ar-SA"/>
    </w:rPr>
  </w:style>
  <w:style w:type="character" w:customStyle="1" w:styleId="CharChar27">
    <w:name w:val="Char Char27"/>
    <w:locked/>
    <w:rsid w:val="000D4AEA"/>
    <w:rPr>
      <w:rFonts w:ascii="Calibri" w:eastAsia="Calibri" w:hAnsi="Calibri"/>
      <w:lang w:val="sq-AL" w:eastAsia="en-US" w:bidi="ar-SA"/>
    </w:rPr>
  </w:style>
  <w:style w:type="character" w:customStyle="1" w:styleId="CharChar24">
    <w:name w:val="Char Char24"/>
    <w:locked/>
    <w:rsid w:val="000D4AEA"/>
    <w:rPr>
      <w:rFonts w:ascii="Tahoma" w:hAnsi="Tahoma" w:cs="Tahoma"/>
      <w:sz w:val="22"/>
      <w:szCs w:val="22"/>
      <w:lang w:val="de-AT" w:eastAsia="de-DE" w:bidi="ar-SA"/>
    </w:rPr>
  </w:style>
  <w:style w:type="character" w:customStyle="1" w:styleId="CharChar23">
    <w:name w:val="Char Char23"/>
    <w:locked/>
    <w:rsid w:val="000D4AEA"/>
    <w:rPr>
      <w:rFonts w:ascii="Tahoma" w:hAnsi="Tahoma" w:cs="Tahoma"/>
      <w:sz w:val="22"/>
      <w:szCs w:val="22"/>
      <w:lang w:val="de-AT" w:eastAsia="de-DE" w:bidi="ar-SA"/>
    </w:rPr>
  </w:style>
  <w:style w:type="character" w:customStyle="1" w:styleId="CharChar22">
    <w:name w:val="Char Char22"/>
    <w:semiHidden/>
    <w:locked/>
    <w:rsid w:val="000D4AEA"/>
    <w:rPr>
      <w:rFonts w:ascii="Courier New" w:hAnsi="Courier New" w:cs="Courier New"/>
      <w:sz w:val="22"/>
      <w:szCs w:val="22"/>
      <w:lang w:val="de-DE" w:eastAsia="de-DE" w:bidi="ar-SA"/>
    </w:rPr>
  </w:style>
  <w:style w:type="character" w:customStyle="1" w:styleId="CharChar21">
    <w:name w:val="Char Char21"/>
    <w:locked/>
    <w:rsid w:val="000D4AEA"/>
    <w:rPr>
      <w:rFonts w:ascii="Tahoma" w:hAnsi="Tahoma" w:cs="Tahoma"/>
      <w:b/>
      <w:kern w:val="28"/>
      <w:sz w:val="36"/>
      <w:szCs w:val="36"/>
      <w:lang w:val="de-AT" w:eastAsia="de-DE" w:bidi="ar-SA"/>
    </w:rPr>
  </w:style>
  <w:style w:type="character" w:customStyle="1" w:styleId="CharChar12">
    <w:name w:val="Char Char12"/>
    <w:semiHidden/>
    <w:locked/>
    <w:rsid w:val="000D4AEA"/>
    <w:rPr>
      <w:rFonts w:ascii="Tahoma" w:hAnsi="Tahoma" w:cs="Tahoma"/>
      <w:sz w:val="22"/>
      <w:szCs w:val="22"/>
      <w:lang w:val="de-AT" w:eastAsia="de-DE" w:bidi="ar-SA"/>
    </w:rPr>
  </w:style>
  <w:style w:type="character" w:customStyle="1" w:styleId="CharChar9">
    <w:name w:val="Char Char9"/>
    <w:semiHidden/>
    <w:locked/>
    <w:rsid w:val="000D4AEA"/>
    <w:rPr>
      <w:rFonts w:ascii="Tahoma" w:hAnsi="Tahoma" w:cs="Tahoma"/>
      <w:sz w:val="22"/>
      <w:szCs w:val="22"/>
      <w:lang w:val="de-AT" w:eastAsia="de-DE" w:bidi="ar-SA"/>
    </w:rPr>
  </w:style>
  <w:style w:type="character" w:customStyle="1" w:styleId="CharChar25">
    <w:name w:val="Char Char25"/>
    <w:semiHidden/>
    <w:locked/>
    <w:rsid w:val="000D4AEA"/>
    <w:rPr>
      <w:rFonts w:ascii="Tahoma" w:hAnsi="Tahoma" w:cs="Tahoma"/>
      <w:sz w:val="22"/>
      <w:szCs w:val="22"/>
      <w:lang w:val="de-AT" w:eastAsia="de-DE" w:bidi="ar-SA"/>
    </w:rPr>
  </w:style>
  <w:style w:type="character" w:customStyle="1" w:styleId="CharChar15">
    <w:name w:val="Char Char15"/>
    <w:semiHidden/>
    <w:locked/>
    <w:rsid w:val="000D4AEA"/>
    <w:rPr>
      <w:rFonts w:ascii="Tahoma" w:hAnsi="Tahoma" w:cs="Tahoma"/>
      <w:sz w:val="22"/>
      <w:szCs w:val="22"/>
      <w:lang w:val="de-AT" w:eastAsia="de-DE" w:bidi="ar-SA"/>
    </w:rPr>
  </w:style>
  <w:style w:type="character" w:customStyle="1" w:styleId="CharChar16">
    <w:name w:val="Char Char16"/>
    <w:semiHidden/>
    <w:locked/>
    <w:rsid w:val="000D4AEA"/>
    <w:rPr>
      <w:rFonts w:ascii="Tahoma" w:hAnsi="Tahoma" w:cs="Arial"/>
      <w:sz w:val="24"/>
      <w:szCs w:val="24"/>
      <w:lang w:val="de-AT" w:eastAsia="de-DE" w:bidi="ar-SA"/>
    </w:rPr>
  </w:style>
  <w:style w:type="character" w:customStyle="1" w:styleId="CharChar20">
    <w:name w:val="Char Char20"/>
    <w:locked/>
    <w:rsid w:val="000D4AEA"/>
    <w:rPr>
      <w:rFonts w:ascii="Tahoma" w:hAnsi="Tahoma" w:cs="Tahoma"/>
      <w:b/>
      <w:kern w:val="28"/>
      <w:sz w:val="32"/>
      <w:szCs w:val="36"/>
      <w:lang w:val="de-AT" w:eastAsia="de-DE" w:bidi="ar-SA"/>
    </w:rPr>
  </w:style>
  <w:style w:type="character" w:customStyle="1" w:styleId="CharChar13">
    <w:name w:val="Char Char13"/>
    <w:semiHidden/>
    <w:locked/>
    <w:rsid w:val="000D4AEA"/>
    <w:rPr>
      <w:rFonts w:ascii="Tahoma" w:hAnsi="Tahoma" w:cs="Tahoma"/>
      <w:sz w:val="22"/>
      <w:szCs w:val="22"/>
      <w:lang w:val="de-AT" w:eastAsia="de-DE" w:bidi="ar-SA"/>
    </w:rPr>
  </w:style>
  <w:style w:type="character" w:customStyle="1" w:styleId="CharChar19">
    <w:name w:val="Char Char19"/>
    <w:semiHidden/>
    <w:locked/>
    <w:rsid w:val="000D4AEA"/>
    <w:rPr>
      <w:rFonts w:ascii="Tahoma" w:hAnsi="Tahoma" w:cs="Tahoma"/>
      <w:sz w:val="22"/>
      <w:szCs w:val="22"/>
      <w:lang w:val="de-AT" w:eastAsia="de-DE" w:bidi="ar-SA"/>
    </w:rPr>
  </w:style>
  <w:style w:type="character" w:customStyle="1" w:styleId="CharChar3">
    <w:name w:val="Char Char3"/>
    <w:semiHidden/>
    <w:locked/>
    <w:rsid w:val="000D4AEA"/>
  </w:style>
  <w:style w:type="character" w:customStyle="1" w:styleId="CharChar14">
    <w:name w:val="Char Char14"/>
    <w:semiHidden/>
    <w:locked/>
    <w:rsid w:val="000D4AEA"/>
  </w:style>
  <w:style w:type="character" w:customStyle="1" w:styleId="CharChar17">
    <w:name w:val="Char Char17"/>
    <w:locked/>
    <w:rsid w:val="000D4AEA"/>
    <w:rPr>
      <w:rFonts w:ascii="Tahoma" w:hAnsi="Tahoma" w:cs="Tahoma"/>
      <w:sz w:val="22"/>
      <w:szCs w:val="22"/>
      <w:lang w:val="de-AT" w:eastAsia="de-DE" w:bidi="ar-SA"/>
    </w:rPr>
  </w:style>
  <w:style w:type="character" w:customStyle="1" w:styleId="CharChar7">
    <w:name w:val="Char Char7"/>
    <w:semiHidden/>
    <w:locked/>
    <w:rsid w:val="000D4AEA"/>
    <w:rPr>
      <w:rFonts w:ascii="Tahoma" w:hAnsi="Tahoma" w:cs="Tahoma"/>
      <w:sz w:val="22"/>
      <w:szCs w:val="22"/>
      <w:lang w:val="de-AT" w:eastAsia="de-DE" w:bidi="ar-SA"/>
    </w:rPr>
  </w:style>
  <w:style w:type="character" w:customStyle="1" w:styleId="CharChar6">
    <w:name w:val="Char Char6"/>
    <w:semiHidden/>
    <w:locked/>
    <w:rsid w:val="000D4AEA"/>
    <w:rPr>
      <w:rFonts w:ascii="Tahoma" w:hAnsi="Tahoma" w:cs="Tahoma"/>
      <w:sz w:val="16"/>
      <w:szCs w:val="16"/>
      <w:lang w:val="de-AT" w:eastAsia="de-DE" w:bidi="ar-SA"/>
    </w:rPr>
  </w:style>
  <w:style w:type="character" w:customStyle="1" w:styleId="CharChar5">
    <w:name w:val="Char Char5"/>
    <w:semiHidden/>
    <w:locked/>
    <w:rsid w:val="000D4AEA"/>
    <w:rPr>
      <w:rFonts w:ascii="Tahoma" w:hAnsi="Tahoma" w:cs="Tahoma"/>
      <w:sz w:val="22"/>
      <w:szCs w:val="22"/>
      <w:lang w:val="de-AT" w:eastAsia="de-DE" w:bidi="ar-SA"/>
    </w:rPr>
  </w:style>
  <w:style w:type="character" w:customStyle="1" w:styleId="CharChar4">
    <w:name w:val="Char Char4"/>
    <w:semiHidden/>
    <w:locked/>
    <w:rsid w:val="000D4AEA"/>
    <w:rPr>
      <w:rFonts w:ascii="Tahoma" w:hAnsi="Tahoma" w:cs="Tahoma"/>
      <w:sz w:val="16"/>
      <w:szCs w:val="16"/>
      <w:lang w:val="de-AT" w:eastAsia="de-DE" w:bidi="ar-SA"/>
    </w:rPr>
  </w:style>
  <w:style w:type="character" w:customStyle="1" w:styleId="CharChar18">
    <w:name w:val="Char Char18"/>
    <w:semiHidden/>
    <w:locked/>
    <w:rsid w:val="000D4AEA"/>
    <w:rPr>
      <w:rFonts w:ascii="Tahoma" w:hAnsi="Tahoma" w:cs="Tahoma"/>
      <w:sz w:val="22"/>
      <w:szCs w:val="22"/>
      <w:lang w:val="de-AT" w:eastAsia="de-DE" w:bidi="ar-SA"/>
    </w:rPr>
  </w:style>
  <w:style w:type="character" w:customStyle="1" w:styleId="CharChar8">
    <w:name w:val="Char Char8"/>
    <w:locked/>
    <w:rsid w:val="000D4AEA"/>
    <w:rPr>
      <w:rFonts w:ascii="Tahoma" w:hAnsi="Tahoma" w:cs="Tahoma"/>
      <w:sz w:val="22"/>
      <w:szCs w:val="22"/>
      <w:lang w:val="de-AT" w:eastAsia="de-DE" w:bidi="ar-SA"/>
    </w:rPr>
  </w:style>
  <w:style w:type="character" w:customStyle="1" w:styleId="CharChar2">
    <w:name w:val="Char Char2"/>
    <w:locked/>
    <w:rsid w:val="000D4AEA"/>
    <w:rPr>
      <w:rFonts w:ascii="Calibri" w:eastAsia="Calibri" w:hAnsi="Calibri" w:cs="Times New Roman"/>
      <w:b/>
      <w:bCs/>
      <w:sz w:val="20"/>
      <w:szCs w:val="20"/>
      <w:lang w:val="sq-AL" w:eastAsia="en-US" w:bidi="ar-SA"/>
    </w:rPr>
  </w:style>
  <w:style w:type="character" w:customStyle="1" w:styleId="CharChar26">
    <w:name w:val="Char Char26"/>
    <w:semiHidden/>
    <w:locked/>
    <w:rsid w:val="000D4AEA"/>
    <w:rPr>
      <w:rFonts w:ascii="Tahoma" w:hAnsi="Tahoma" w:cs="Tahoma"/>
      <w:sz w:val="16"/>
      <w:szCs w:val="16"/>
      <w:lang w:val="sq-AL" w:eastAsia="en-US" w:bidi="ar-SA"/>
    </w:rPr>
  </w:style>
  <w:style w:type="character" w:customStyle="1" w:styleId="CommentTextChar11">
    <w:name w:val="Comment Text Char11"/>
    <w:aliases w:val="Char Char37"/>
    <w:semiHidden/>
    <w:rsid w:val="000D4AEA"/>
    <w:rPr>
      <w:rFonts w:ascii="Calibri" w:hAnsi="Calibri" w:hint="default"/>
      <w:lang w:val="sq-AL"/>
    </w:rPr>
  </w:style>
  <w:style w:type="character" w:customStyle="1" w:styleId="NormalIndentChar">
    <w:name w:val="Normal Indent Char"/>
    <w:link w:val="NormalIndent"/>
    <w:rsid w:val="000D4AE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D4AEA"/>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0D4AEA"/>
    <w:pPr>
      <w:tabs>
        <w:tab w:val="num" w:pos="360"/>
        <w:tab w:val="num" w:pos="1935"/>
        <w:tab w:val="num" w:pos="2563"/>
        <w:tab w:val="num" w:pos="3474"/>
      </w:tabs>
      <w:ind w:left="1935" w:hanging="360"/>
      <w:outlineLvl w:val="6"/>
    </w:pPr>
  </w:style>
  <w:style w:type="character" w:customStyle="1" w:styleId="AODefHeadChar">
    <w:name w:val="AODefHead Char"/>
    <w:link w:val="AODefHead"/>
    <w:rsid w:val="000D4AEA"/>
    <w:rPr>
      <w:rFonts w:ascii="Times New Roman" w:eastAsia="Times New Roman" w:hAnsi="Times New Roman" w:cs="Times New Roman"/>
      <w:szCs w:val="20"/>
      <w:lang w:val="sq-AL" w:eastAsia="sq-AL" w:bidi="sq-AL"/>
    </w:rPr>
  </w:style>
  <w:style w:type="paragraph" w:customStyle="1" w:styleId="PARA">
    <w:name w:val="PARA"/>
    <w:basedOn w:val="Normal"/>
    <w:locked/>
    <w:rsid w:val="000D4AEA"/>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0D4AEA"/>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0D4AE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D4AEA"/>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0D4AEA"/>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D4AEA"/>
    <w:rPr>
      <w:color w:val="0000FF"/>
      <w:spacing w:val="0"/>
      <w:u w:val="double"/>
    </w:rPr>
  </w:style>
  <w:style w:type="paragraph" w:customStyle="1" w:styleId="dia">
    <w:name w:val="di(a)"/>
    <w:basedOn w:val="Normal"/>
    <w:rsid w:val="000D4AEA"/>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0D4AEA"/>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0D4AEA"/>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0D4AEA"/>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0D4AE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0D4A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0D4AEA"/>
    <w:rPr>
      <w:rFonts w:cs="Times New Roman"/>
      <w:color w:val="808080"/>
    </w:rPr>
  </w:style>
  <w:style w:type="character" w:customStyle="1" w:styleId="az12">
    <w:name w:val="az12"/>
    <w:uiPriority w:val="99"/>
    <w:rsid w:val="000D4AE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D4AE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D4AEA"/>
    <w:rPr>
      <w:rFonts w:ascii="Calibri" w:eastAsia="Times New Roman" w:hAnsi="Calibri" w:cs="Times New Roman"/>
      <w:sz w:val="24"/>
      <w:szCs w:val="24"/>
      <w:lang w:val="en-GB" w:eastAsia="en-GB"/>
    </w:rPr>
  </w:style>
  <w:style w:type="paragraph" w:customStyle="1" w:styleId="Paragraf02">
    <w:name w:val="Paragraf 0.2"/>
    <w:basedOn w:val="Paragrafi"/>
    <w:qFormat/>
    <w:rsid w:val="000D4AEA"/>
    <w:pPr>
      <w:tabs>
        <w:tab w:val="left" w:pos="6575"/>
      </w:tabs>
    </w:pPr>
    <w:rPr>
      <w:spacing w:val="-4"/>
    </w:rPr>
  </w:style>
  <w:style w:type="table" w:customStyle="1" w:styleId="TableGrid30">
    <w:name w:val="Table Grid3"/>
    <w:basedOn w:val="TableNormal"/>
    <w:next w:val="TableGrid"/>
    <w:uiPriority w:val="59"/>
    <w:rsid w:val="000D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D4AEA"/>
  </w:style>
  <w:style w:type="character" w:styleId="BookTitle">
    <w:name w:val="Book Title"/>
    <w:uiPriority w:val="33"/>
    <w:qFormat/>
    <w:rsid w:val="000D4AEA"/>
    <w:rPr>
      <w:b/>
      <w:bCs/>
      <w:smallCaps/>
      <w:spacing w:val="5"/>
    </w:rPr>
  </w:style>
  <w:style w:type="paragraph" w:customStyle="1" w:styleId="Cover1">
    <w:name w:val="Cover1"/>
    <w:basedOn w:val="Normal"/>
    <w:next w:val="Normal"/>
    <w:rsid w:val="000D4AEA"/>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0D4AEA"/>
    <w:pPr>
      <w:spacing w:after="240" w:line="240" w:lineRule="auto"/>
    </w:pPr>
    <w:rPr>
      <w:rFonts w:ascii="Arial" w:eastAsia="Times New Roman" w:hAnsi="Arial" w:cs="Times New Roman"/>
      <w:szCs w:val="20"/>
      <w:lang w:val="sq-AL" w:eastAsia="sq-AL" w:bidi="sq-AL"/>
    </w:rPr>
  </w:style>
  <w:style w:type="paragraph" w:customStyle="1" w:styleId="Stile">
    <w:name w:val="Stile"/>
    <w:rsid w:val="000D4AE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D4AEA"/>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0D4AEA"/>
    <w:rPr>
      <w:rFonts w:ascii="Times New Roman" w:eastAsia="Times New Roman" w:hAnsi="Times New Roman" w:cs="Times New Roman"/>
      <w:szCs w:val="20"/>
      <w:lang w:val="sq-AL"/>
    </w:rPr>
  </w:style>
  <w:style w:type="character" w:customStyle="1" w:styleId="Bodytext0">
    <w:name w:val="Body text_"/>
    <w:link w:val="BodyText1"/>
    <w:rsid w:val="000D4AEA"/>
    <w:rPr>
      <w:rFonts w:ascii="Times New Roman" w:hAnsi="Times New Roman"/>
      <w:sz w:val="21"/>
      <w:szCs w:val="21"/>
      <w:shd w:val="clear" w:color="auto" w:fill="FFFFFF"/>
    </w:rPr>
  </w:style>
  <w:style w:type="paragraph" w:customStyle="1" w:styleId="BodyText1">
    <w:name w:val="Body Text1"/>
    <w:basedOn w:val="Normal"/>
    <w:link w:val="Bodytext0"/>
    <w:rsid w:val="000D4AEA"/>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0D4AE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D4AEA"/>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0D4AEA"/>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0D4AEA"/>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0D4AEA"/>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D4AEA"/>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D4AEA"/>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D4AEA"/>
    <w:pPr>
      <w:widowControl w:val="0"/>
      <w:spacing w:after="0" w:line="240" w:lineRule="auto"/>
    </w:pPr>
  </w:style>
  <w:style w:type="paragraph" w:customStyle="1" w:styleId="xl63">
    <w:name w:val="xl63"/>
    <w:basedOn w:val="Normal"/>
    <w:rsid w:val="000D4A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0D4A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paragraph" w:customStyle="1" w:styleId="PreformattedText">
    <w:name w:val="Preformatted Text"/>
    <w:basedOn w:val="Normal"/>
    <w:rsid w:val="000D4AEA"/>
    <w:pPr>
      <w:widowControl w:val="0"/>
      <w:suppressAutoHyphens/>
      <w:spacing w:after="0" w:line="240" w:lineRule="auto"/>
    </w:pPr>
    <w:rPr>
      <w:rFonts w:ascii="Liberation Mono" w:eastAsia="AR PL SungtiL GB" w:hAnsi="Liberation Mono" w:cs="Liberation Mono"/>
      <w:sz w:val="20"/>
      <w:szCs w:val="20"/>
      <w:lang w:eastAsia="zh-CN" w:bidi="hi-IN"/>
    </w:rPr>
  </w:style>
  <w:style w:type="paragraph" w:customStyle="1" w:styleId="MediumGrid21">
    <w:name w:val="Medium Grid 21"/>
    <w:uiPriority w:val="1"/>
    <w:qFormat/>
    <w:rsid w:val="000D4AEA"/>
    <w:pPr>
      <w:spacing w:after="0" w:line="240" w:lineRule="auto"/>
    </w:pPr>
    <w:rPr>
      <w:rFonts w:ascii="Times New Roman" w:eastAsia="Calibri" w:hAnsi="Times New Roman" w:cs="Times New Roman"/>
      <w:sz w:val="24"/>
      <w:szCs w:val="24"/>
      <w:lang w:val="en-GB"/>
    </w:rPr>
  </w:style>
  <w:style w:type="paragraph" w:customStyle="1" w:styleId="gmail-msolistparagraph">
    <w:name w:val="gmail-msolistparagraph"/>
    <w:basedOn w:val="Normal"/>
    <w:rsid w:val="000D4AEA"/>
    <w:pPr>
      <w:spacing w:before="100" w:beforeAutospacing="1" w:after="100" w:afterAutospacing="1" w:line="240" w:lineRule="auto"/>
    </w:pPr>
    <w:rPr>
      <w:rFonts w:ascii="Times New Roman" w:eastAsia="Calibri" w:hAnsi="Times New Roman" w:cs="Times New Roman"/>
      <w:sz w:val="24"/>
      <w:szCs w:val="24"/>
    </w:rPr>
  </w:style>
  <w:style w:type="paragraph" w:customStyle="1" w:styleId="gmail-paragrafi0">
    <w:name w:val="gmail-paragrafi0"/>
    <w:basedOn w:val="Normal"/>
    <w:uiPriority w:val="99"/>
    <w:rsid w:val="000D4AEA"/>
    <w:pPr>
      <w:spacing w:before="100" w:beforeAutospacing="1" w:after="100" w:afterAutospacing="1" w:line="240" w:lineRule="auto"/>
    </w:pPr>
    <w:rPr>
      <w:rFonts w:ascii="Times New Roman" w:eastAsia="Calibri" w:hAnsi="Times New Roman" w:cs="Times New Roman"/>
      <w:sz w:val="24"/>
      <w:szCs w:val="24"/>
    </w:rPr>
  </w:style>
  <w:style w:type="table" w:styleId="MediumGrid1-Accent2">
    <w:name w:val="Medium Grid 1 Accent 2"/>
    <w:basedOn w:val="TableNormal"/>
    <w:link w:val="MediumGrid1-Accent2Char"/>
    <w:uiPriority w:val="34"/>
    <w:unhideWhenUsed/>
    <w:rsid w:val="000D4AEA"/>
    <w:pPr>
      <w:spacing w:after="0" w:line="240" w:lineRule="auto"/>
    </w:pPr>
    <w:rPr>
      <w:rFonts w:ascii="Times New Roman" w:eastAsia="Calibri" w:hAnsi="Times New Roman" w:cs="Times New Roman"/>
      <w:sz w:val="24"/>
      <w:szCs w:val="24"/>
      <w:lang w:val="en-GB"/>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customStyle="1" w:styleId="MediumGrid1-Accent2Char">
    <w:name w:val="Medium Grid 1 - Accent 2 Char"/>
    <w:link w:val="MediumGrid1-Accent2"/>
    <w:uiPriority w:val="34"/>
    <w:locked/>
    <w:rsid w:val="000D4AEA"/>
    <w:rPr>
      <w:rFonts w:ascii="Times New Roman" w:eastAsia="Calibri" w:hAnsi="Times New Roman" w:cs="Times New Roman" w:hint="default"/>
      <w:sz w:val="24"/>
      <w:szCs w:val="24"/>
      <w:lang w:val="en-GB"/>
    </w:rPr>
  </w:style>
  <w:style w:type="table" w:styleId="MediumGrid2">
    <w:name w:val="Medium Grid 2"/>
    <w:basedOn w:val="TableNormal"/>
    <w:uiPriority w:val="68"/>
    <w:unhideWhenUsed/>
    <w:rsid w:val="000D4AEA"/>
    <w:pPr>
      <w:spacing w:after="0" w:line="240" w:lineRule="auto"/>
    </w:pPr>
    <w:rPr>
      <w:rFonts w:ascii="Cambria" w:eastAsia="Times New Roman" w:hAnsi="Cambria" w:cs="Times New Roman"/>
      <w:color w:val="000000"/>
      <w:sz w:val="20"/>
      <w:szCs w:val="20"/>
      <w:lang w:val="sq-AL" w:eastAsia="sq-AL"/>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NoList11">
    <w:name w:val="No List11"/>
    <w:next w:val="NoList"/>
    <w:uiPriority w:val="99"/>
    <w:semiHidden/>
    <w:unhideWhenUsed/>
    <w:rsid w:val="000D4AEA"/>
  </w:style>
  <w:style w:type="paragraph" w:customStyle="1" w:styleId="Char2">
    <w:name w:val="Char2"/>
    <w:basedOn w:val="Normal"/>
    <w:link w:val="FootnoteReference"/>
    <w:uiPriority w:val="99"/>
    <w:rsid w:val="000D4AEA"/>
    <w:pPr>
      <w:spacing w:line="240" w:lineRule="exact"/>
    </w:pPr>
    <w:rPr>
      <w:vertAlign w:val="superscript"/>
    </w:rPr>
  </w:style>
  <w:style w:type="paragraph" w:customStyle="1" w:styleId="ecxmsonormal">
    <w:name w:val="ecxmsonormal"/>
    <w:basedOn w:val="Normal"/>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0D4AEA"/>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0D4AEA"/>
    <w:rPr>
      <w:rFonts w:ascii="Garamond" w:eastAsia="MS Mincho" w:hAnsi="Garamond" w:cs="CG Times"/>
      <w:b/>
      <w:bCs/>
      <w:caps/>
      <w:color w:val="000000"/>
      <w:sz w:val="24"/>
      <w:lang w:val="en-GB"/>
    </w:rPr>
  </w:style>
  <w:style w:type="paragraph" w:customStyle="1" w:styleId="Style20">
    <w:name w:val="Style 2"/>
    <w:basedOn w:val="Normal"/>
    <w:uiPriority w:val="99"/>
    <w:qFormat/>
    <w:rsid w:val="000D4AEA"/>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0D4AEA"/>
    <w:rPr>
      <w:sz w:val="24"/>
    </w:rPr>
  </w:style>
  <w:style w:type="character" w:customStyle="1" w:styleId="Style2Char">
    <w:name w:val="Style2 Char"/>
    <w:locked/>
    <w:rsid w:val="000D4AEA"/>
    <w:rPr>
      <w:rFonts w:ascii="Times New Roman" w:eastAsia="Times New Roman" w:hAnsi="Times New Roman"/>
      <w:color w:val="0070C0"/>
      <w:sz w:val="28"/>
      <w:szCs w:val="24"/>
      <w:lang w:val="sq-AL"/>
    </w:rPr>
  </w:style>
  <w:style w:type="character" w:styleId="IntenseEmphasis">
    <w:name w:val="Intense Emphasis"/>
    <w:uiPriority w:val="21"/>
    <w:qFormat/>
    <w:rsid w:val="000D4AEA"/>
    <w:rPr>
      <w:b/>
      <w:bCs/>
      <w:i/>
      <w:iCs/>
      <w:color w:val="4F81BD"/>
      <w:sz w:val="24"/>
    </w:rPr>
  </w:style>
  <w:style w:type="character" w:customStyle="1" w:styleId="longtext1">
    <w:name w:val="long_text1"/>
    <w:rsid w:val="000D4AEA"/>
    <w:rPr>
      <w:sz w:val="20"/>
      <w:szCs w:val="20"/>
    </w:rPr>
  </w:style>
  <w:style w:type="character" w:customStyle="1" w:styleId="BodyTextChar1">
    <w:name w:val="Body Text Char1"/>
    <w:uiPriority w:val="99"/>
    <w:semiHidden/>
    <w:rsid w:val="000D4AEA"/>
    <w:rPr>
      <w:rFonts w:ascii="Times New Roman" w:eastAsia="Times New Roman" w:hAnsi="Times New Roman"/>
      <w:sz w:val="24"/>
      <w:szCs w:val="24"/>
    </w:rPr>
  </w:style>
  <w:style w:type="character" w:customStyle="1" w:styleId="BodyText3Char1">
    <w:name w:val="Body Text 3 Char1"/>
    <w:uiPriority w:val="99"/>
    <w:semiHidden/>
    <w:rsid w:val="000D4AEA"/>
    <w:rPr>
      <w:rFonts w:ascii="Times New Roman" w:eastAsia="Times New Roman" w:hAnsi="Times New Roman"/>
      <w:sz w:val="16"/>
      <w:szCs w:val="16"/>
    </w:rPr>
  </w:style>
  <w:style w:type="character" w:customStyle="1" w:styleId="BodyTextIndent2Char1">
    <w:name w:val="Body Text Indent 2 Char1"/>
    <w:uiPriority w:val="99"/>
    <w:semiHidden/>
    <w:rsid w:val="000D4AEA"/>
    <w:rPr>
      <w:rFonts w:ascii="Times New Roman" w:eastAsia="Times New Roman" w:hAnsi="Times New Roman"/>
      <w:sz w:val="24"/>
      <w:szCs w:val="24"/>
    </w:rPr>
  </w:style>
  <w:style w:type="paragraph" w:customStyle="1" w:styleId="xl160">
    <w:name w:val="xl160"/>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0D4AEA"/>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0D4AE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0D4AE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0D4AEA"/>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0D4AE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0D4AEA"/>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0D4AE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0D4AE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0D4AE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0D4AEA"/>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0D4AEA"/>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0D4AEA"/>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0D4AEA"/>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0D4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0D4AE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0D4AE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0D4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0D4AEA"/>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0D4AEA"/>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0D4AEA"/>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0D4AEA"/>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0D4AEA"/>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0D4AE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0D4AE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0D4AE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0D4AEA"/>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0D4AE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0D4AE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0D4AEA"/>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0D4AEA"/>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0D4AEA"/>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0D4AEA"/>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0D4AEA"/>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0D4AEA"/>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0D4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0D4AEA"/>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0D4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0D4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0D4AEA"/>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0D4AEA"/>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0D4AE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0D4AEA"/>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0D4AEA"/>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0D4AEA"/>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0D4AEA"/>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0D4AEA"/>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0D4AEA"/>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0D4AEA"/>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0D4AEA"/>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0D4AEA"/>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0D4AEA"/>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0D4AEA"/>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0D4AEA"/>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0D4AEA"/>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0D4AEA"/>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0D4AEA"/>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0D4AEA"/>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0D4AEA"/>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0D4AEA"/>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Heading21">
    <w:name w:val="Heading 21"/>
    <w:basedOn w:val="Normal"/>
    <w:next w:val="Normal"/>
    <w:uiPriority w:val="9"/>
    <w:semiHidden/>
    <w:qFormat/>
    <w:rsid w:val="000D4AEA"/>
    <w:pPr>
      <w:keepNext/>
      <w:keepLines/>
      <w:spacing w:before="200" w:after="0" w:line="240" w:lineRule="auto"/>
      <w:outlineLvl w:val="1"/>
    </w:pPr>
    <w:rPr>
      <w:rFonts w:ascii="Cambria" w:eastAsia="Times New Roman" w:hAnsi="Cambria" w:cs="Times New Roman"/>
      <w:b/>
      <w:bCs/>
      <w:color w:val="4F81BD"/>
      <w:sz w:val="26"/>
      <w:szCs w:val="26"/>
    </w:rPr>
  </w:style>
  <w:style w:type="paragraph" w:customStyle="1" w:styleId="yiv4545518466msonormal">
    <w:name w:val="yiv4545518466msonormal"/>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82094338gmail-msolistparagraph">
    <w:name w:val="yiv4182094338gmail-msolistparagraph"/>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82094338gmail-msoins">
    <w:name w:val="yiv4182094338gmail-msoins"/>
    <w:basedOn w:val="DefaultParagraphFont"/>
    <w:rsid w:val="000D4AEA"/>
  </w:style>
  <w:style w:type="paragraph" w:styleId="IntenseQuote">
    <w:name w:val="Intense Quote"/>
    <w:basedOn w:val="Normal"/>
    <w:next w:val="Normal"/>
    <w:link w:val="IntenseQuoteChar"/>
    <w:uiPriority w:val="30"/>
    <w:qFormat/>
    <w:rsid w:val="000D4AEA"/>
    <w:pPr>
      <w:pBdr>
        <w:top w:val="single" w:sz="4" w:space="10" w:color="5B9BD5"/>
        <w:bottom w:val="single" w:sz="4" w:space="10" w:color="5B9BD5"/>
      </w:pBdr>
      <w:spacing w:before="360" w:after="360" w:line="240" w:lineRule="auto"/>
      <w:ind w:left="864" w:right="864"/>
      <w:jc w:val="center"/>
    </w:pPr>
    <w:rPr>
      <w:rFonts w:ascii="Calibri" w:eastAsia="Calibri" w:hAnsi="Calibri" w:cs="Times New Roman"/>
      <w:i/>
      <w:iCs/>
      <w:color w:val="000000"/>
      <w:sz w:val="20"/>
      <w:szCs w:val="20"/>
      <w:lang w:val="en-GB"/>
    </w:rPr>
  </w:style>
  <w:style w:type="character" w:customStyle="1" w:styleId="IntenseQuoteChar">
    <w:name w:val="Intense Quote Char"/>
    <w:basedOn w:val="DefaultParagraphFont"/>
    <w:link w:val="IntenseQuote"/>
    <w:uiPriority w:val="30"/>
    <w:rsid w:val="000D4AEA"/>
    <w:rPr>
      <w:rFonts w:ascii="Calibri" w:eastAsia="Calibri" w:hAnsi="Calibri" w:cs="Times New Roman"/>
      <w:i/>
      <w:iCs/>
      <w:color w:val="000000"/>
      <w:sz w:val="20"/>
      <w:szCs w:val="20"/>
      <w:lang w:val="en-GB"/>
    </w:rPr>
  </w:style>
  <w:style w:type="paragraph" w:customStyle="1" w:styleId="m-284376450517827603gmail-m1751023561988929595gmail-msonormal">
    <w:name w:val="m_-284376450517827603gmail-m_1751023561988929595gmail-msonormal"/>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mail-m2268107640545953977m2880133903447157422m3784442604459821962m3634173993286962166msolistparagraph">
    <w:name w:val="gmail-m_2268107640545953977m_2880133903447157422m_3784442604459821962m_3634173993286962166msolistparagraph"/>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ubjectChar1">
    <w:name w:val="Comment Subject Char1"/>
    <w:basedOn w:val="CommentTextChar"/>
    <w:uiPriority w:val="99"/>
    <w:semiHidden/>
    <w:rsid w:val="000D4AEA"/>
    <w:rPr>
      <w:rFonts w:ascii="Times New Roman" w:eastAsia="Calibri" w:hAnsi="Times New Roman" w:cs="Times New Roman" w:hint="default"/>
      <w:b/>
      <w:bCs/>
      <w:sz w:val="20"/>
      <w:szCs w:val="20"/>
      <w:lang w:val="en-GB"/>
    </w:rPr>
  </w:style>
  <w:style w:type="paragraph" w:customStyle="1" w:styleId="western">
    <w:name w:val="western"/>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0D4AE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0D4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36</Pages>
  <Words>16669</Words>
  <Characters>95015</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2019-02-05T11:37:00Z</cp:lastPrinted>
  <dcterms:created xsi:type="dcterms:W3CDTF">2016-11-10T14:52:00Z</dcterms:created>
  <dcterms:modified xsi:type="dcterms:W3CDTF">2019-02-05T11:37:00Z</dcterms:modified>
</cp:coreProperties>
</file>