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40E" w:rsidRPr="00725D5D" w:rsidRDefault="0052340E" w:rsidP="0052340E">
      <w:pPr>
        <w:pStyle w:val="Hapesira7"/>
        <w:rPr>
          <w:spacing w:val="-4"/>
          <w:lang w:val="sq-AL"/>
        </w:rPr>
      </w:pPr>
      <w:bookmarkStart w:id="0" w:name="_GoBack"/>
      <w:bookmarkEnd w:id="0"/>
    </w:p>
    <w:p w:rsidR="0052340E" w:rsidRPr="00725D5D" w:rsidRDefault="0052340E" w:rsidP="0052340E">
      <w:pPr>
        <w:widowControl w:val="0"/>
        <w:pBdr>
          <w:top w:val="nil"/>
          <w:left w:val="nil"/>
          <w:bottom w:val="nil"/>
          <w:right w:val="nil"/>
          <w:between w:val="nil"/>
          <w:bar w:val="nil"/>
        </w:pBdr>
        <w:tabs>
          <w:tab w:val="left" w:pos="300"/>
          <w:tab w:val="left" w:pos="660"/>
          <w:tab w:val="left" w:pos="11199"/>
        </w:tabs>
        <w:spacing w:after="0" w:line="240" w:lineRule="auto"/>
        <w:jc w:val="center"/>
        <w:outlineLvl w:val="1"/>
        <w:rPr>
          <w:rFonts w:ascii="Garamond" w:eastAsia="Arial Unicode MS" w:hAnsi="Garamond"/>
          <w:spacing w:val="-4"/>
          <w:sz w:val="24"/>
          <w:szCs w:val="24"/>
          <w:u w:color="000000"/>
          <w:bdr w:val="nil"/>
          <w:lang w:val="sq-AL" w:eastAsia="it-IT"/>
        </w:rPr>
      </w:pPr>
      <w:r w:rsidRPr="00725D5D">
        <w:rPr>
          <w:rFonts w:ascii="Garamond" w:eastAsia="Arial Unicode MS" w:hAnsi="Garamond"/>
          <w:b/>
          <w:spacing w:val="-4"/>
          <w:sz w:val="24"/>
          <w:szCs w:val="24"/>
          <w:u w:color="000000"/>
          <w:bdr w:val="nil"/>
          <w:lang w:val="sq-AL" w:eastAsia="it-IT"/>
        </w:rPr>
        <w:t xml:space="preserve">LIGJ  </w:t>
      </w:r>
    </w:p>
    <w:p w:rsidR="0052340E" w:rsidRPr="00725D5D" w:rsidRDefault="0052340E" w:rsidP="0052340E">
      <w:pPr>
        <w:widowControl w:val="0"/>
        <w:pBdr>
          <w:top w:val="nil"/>
          <w:left w:val="nil"/>
          <w:bottom w:val="nil"/>
          <w:right w:val="nil"/>
          <w:between w:val="nil"/>
          <w:bar w:val="nil"/>
        </w:pBdr>
        <w:spacing w:after="0" w:line="240" w:lineRule="auto"/>
        <w:jc w:val="center"/>
        <w:outlineLvl w:val="0"/>
        <w:rPr>
          <w:rFonts w:ascii="Garamond" w:eastAsia="Arial Unicode MS" w:hAnsi="Garamond"/>
          <w:b/>
          <w:spacing w:val="-4"/>
          <w:sz w:val="24"/>
          <w:szCs w:val="24"/>
          <w:u w:color="365F91"/>
          <w:bdr w:val="nil"/>
          <w:lang w:val="sq-AL" w:eastAsia="it-IT"/>
        </w:rPr>
      </w:pPr>
      <w:r w:rsidRPr="00725D5D">
        <w:rPr>
          <w:rFonts w:ascii="Garamond" w:eastAsia="Arial Unicode MS" w:hAnsi="Garamond"/>
          <w:b/>
          <w:spacing w:val="-4"/>
          <w:sz w:val="24"/>
          <w:szCs w:val="24"/>
          <w:u w:color="365F91"/>
          <w:bdr w:val="nil"/>
          <w:lang w:val="sq-AL" w:eastAsia="it-IT"/>
        </w:rPr>
        <w:t>Nr. 101/2016</w:t>
      </w:r>
    </w:p>
    <w:p w:rsidR="0052340E" w:rsidRPr="00725D5D" w:rsidRDefault="0052340E" w:rsidP="0052340E">
      <w:pPr>
        <w:pStyle w:val="Hapesira7"/>
        <w:rPr>
          <w:spacing w:val="-4"/>
          <w:lang w:val="sq-AL"/>
        </w:rPr>
      </w:pPr>
    </w:p>
    <w:p w:rsidR="0052340E" w:rsidRPr="00725D5D" w:rsidRDefault="0052340E" w:rsidP="0052340E">
      <w:pPr>
        <w:widowControl w:val="0"/>
        <w:shd w:val="clear" w:color="auto" w:fill="FFFFFF"/>
        <w:spacing w:after="0" w:line="240" w:lineRule="auto"/>
        <w:jc w:val="center"/>
        <w:outlineLvl w:val="0"/>
        <w:rPr>
          <w:rFonts w:ascii="Garamond" w:eastAsia="Times New Roman" w:hAnsi="Garamond"/>
          <w:b/>
          <w:spacing w:val="-4"/>
          <w:sz w:val="24"/>
          <w:szCs w:val="24"/>
          <w:lang w:val="sq-AL"/>
        </w:rPr>
      </w:pPr>
      <w:r w:rsidRPr="00725D5D">
        <w:rPr>
          <w:rFonts w:ascii="Garamond" w:hAnsi="Garamond"/>
          <w:b/>
          <w:spacing w:val="-4"/>
          <w:sz w:val="24"/>
          <w:szCs w:val="24"/>
          <w:lang w:val="sq-AL"/>
        </w:rPr>
        <w:t xml:space="preserve">PËR </w:t>
      </w:r>
      <w:r w:rsidRPr="00725D5D">
        <w:rPr>
          <w:rFonts w:ascii="Garamond" w:eastAsia="Times New Roman" w:hAnsi="Garamond"/>
          <w:b/>
          <w:spacing w:val="-4"/>
          <w:sz w:val="24"/>
          <w:szCs w:val="24"/>
          <w:lang w:val="sq-AL"/>
        </w:rPr>
        <w:t xml:space="preserve">DISA NDRYSHIME DHE SHTESA NË LIGJIN NR. 8537, DATË 18.10.1999, “PËR BARRËT SIGURUESE”, </w:t>
      </w:r>
    </w:p>
    <w:p w:rsidR="0052340E" w:rsidRPr="00725D5D" w:rsidRDefault="0052340E" w:rsidP="0052340E">
      <w:pPr>
        <w:widowControl w:val="0"/>
        <w:shd w:val="clear" w:color="auto" w:fill="FFFFFF"/>
        <w:spacing w:after="0" w:line="240" w:lineRule="auto"/>
        <w:jc w:val="center"/>
        <w:outlineLvl w:val="0"/>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TË NDRYSHUAR</w:t>
      </w:r>
    </w:p>
    <w:p w:rsidR="0052340E" w:rsidRPr="00725D5D" w:rsidRDefault="0052340E" w:rsidP="0052340E">
      <w:pPr>
        <w:pStyle w:val="Hapesira7"/>
        <w:rPr>
          <w:spacing w:val="-4"/>
          <w:kern w:val="36"/>
          <w:lang w:val="sq-AL"/>
        </w:rPr>
      </w:pPr>
    </w:p>
    <w:p w:rsidR="0052340E" w:rsidRPr="00725D5D" w:rsidRDefault="0052340E" w:rsidP="0052340E">
      <w:pPr>
        <w:widowControl w:val="0"/>
        <w:shd w:val="clear" w:color="auto" w:fill="FFFFFF"/>
        <w:spacing w:after="0" w:line="240" w:lineRule="auto"/>
        <w:outlineLvl w:val="0"/>
        <w:rPr>
          <w:rFonts w:ascii="Garamond" w:hAnsi="Garamond"/>
          <w:spacing w:val="-4"/>
          <w:kern w:val="36"/>
          <w:sz w:val="24"/>
          <w:szCs w:val="24"/>
          <w:lang w:val="sq-AL"/>
        </w:rPr>
      </w:pPr>
      <w:r w:rsidRPr="00725D5D">
        <w:rPr>
          <w:rFonts w:ascii="Garamond" w:hAnsi="Garamond"/>
          <w:spacing w:val="-4"/>
          <w:kern w:val="36"/>
          <w:sz w:val="24"/>
          <w:szCs w:val="24"/>
          <w:lang w:val="sq-AL"/>
        </w:rPr>
        <w:tab/>
        <w:t xml:space="preserve">Në mbështetje të neneve 78 dhe 83, pika 1, të Kushtetutës, me propozimin e Këshillit të Ministrave, </w:t>
      </w:r>
    </w:p>
    <w:p w:rsidR="0052340E" w:rsidRPr="00725D5D" w:rsidRDefault="0052340E" w:rsidP="0052340E">
      <w:pPr>
        <w:pStyle w:val="Hapesira7"/>
        <w:rPr>
          <w:spacing w:val="-4"/>
          <w:kern w:val="36"/>
          <w:lang w:val="sq-AL"/>
        </w:rPr>
      </w:pPr>
    </w:p>
    <w:p w:rsidR="0052340E" w:rsidRPr="00725D5D" w:rsidRDefault="0052340E" w:rsidP="0052340E">
      <w:pPr>
        <w:widowControl w:val="0"/>
        <w:shd w:val="clear" w:color="auto" w:fill="FFFFFF"/>
        <w:spacing w:after="0" w:line="240" w:lineRule="auto"/>
        <w:jc w:val="center"/>
        <w:outlineLvl w:val="0"/>
        <w:rPr>
          <w:rFonts w:ascii="Garamond" w:hAnsi="Garamond"/>
          <w:spacing w:val="-4"/>
          <w:kern w:val="36"/>
          <w:sz w:val="24"/>
          <w:szCs w:val="24"/>
          <w:lang w:val="sq-AL"/>
        </w:rPr>
      </w:pPr>
      <w:r w:rsidRPr="00725D5D">
        <w:rPr>
          <w:rFonts w:ascii="Garamond" w:hAnsi="Garamond"/>
          <w:spacing w:val="-4"/>
          <w:kern w:val="36"/>
          <w:sz w:val="24"/>
          <w:szCs w:val="24"/>
          <w:lang w:val="sq-AL"/>
        </w:rPr>
        <w:t>KUVENDI</w:t>
      </w:r>
    </w:p>
    <w:p w:rsidR="0052340E" w:rsidRPr="00725D5D" w:rsidRDefault="0052340E" w:rsidP="0052340E">
      <w:pPr>
        <w:widowControl w:val="0"/>
        <w:shd w:val="clear" w:color="auto" w:fill="FFFFFF"/>
        <w:spacing w:after="0" w:line="240" w:lineRule="auto"/>
        <w:jc w:val="center"/>
        <w:outlineLvl w:val="0"/>
        <w:rPr>
          <w:rFonts w:ascii="Garamond" w:hAnsi="Garamond"/>
          <w:spacing w:val="-4"/>
          <w:kern w:val="36"/>
          <w:sz w:val="24"/>
          <w:szCs w:val="24"/>
          <w:lang w:val="sq-AL"/>
        </w:rPr>
      </w:pPr>
      <w:r w:rsidRPr="00725D5D">
        <w:rPr>
          <w:rFonts w:ascii="Garamond" w:hAnsi="Garamond"/>
          <w:spacing w:val="-4"/>
          <w:kern w:val="36"/>
          <w:sz w:val="24"/>
          <w:szCs w:val="24"/>
          <w:lang w:val="sq-AL"/>
        </w:rPr>
        <w:t>I REPUBLIKËS SË SHQIPËRISË</w:t>
      </w:r>
    </w:p>
    <w:p w:rsidR="0052340E" w:rsidRPr="00725D5D" w:rsidRDefault="0052340E" w:rsidP="0052340E">
      <w:pPr>
        <w:pStyle w:val="Hapesira7"/>
        <w:rPr>
          <w:spacing w:val="-4"/>
          <w:kern w:val="36"/>
          <w:lang w:val="sq-AL"/>
        </w:rPr>
      </w:pPr>
    </w:p>
    <w:p w:rsidR="0052340E" w:rsidRPr="00725D5D" w:rsidRDefault="0052340E" w:rsidP="0052340E">
      <w:pPr>
        <w:widowControl w:val="0"/>
        <w:shd w:val="clear" w:color="auto" w:fill="FFFFFF"/>
        <w:spacing w:after="0" w:line="240" w:lineRule="auto"/>
        <w:jc w:val="center"/>
        <w:outlineLvl w:val="0"/>
        <w:rPr>
          <w:rFonts w:ascii="Garamond" w:eastAsia="Times New Roman Bold" w:hAnsi="Garamond"/>
          <w:spacing w:val="-4"/>
          <w:kern w:val="36"/>
          <w:sz w:val="24"/>
          <w:szCs w:val="24"/>
          <w:lang w:val="sq-AL"/>
        </w:rPr>
      </w:pPr>
      <w:r w:rsidRPr="00725D5D">
        <w:rPr>
          <w:rFonts w:ascii="Garamond" w:hAnsi="Garamond"/>
          <w:spacing w:val="-4"/>
          <w:kern w:val="36"/>
          <w:sz w:val="24"/>
          <w:szCs w:val="24"/>
          <w:lang w:val="sq-AL"/>
        </w:rPr>
        <w:t>VENDOSI:</w:t>
      </w:r>
    </w:p>
    <w:p w:rsidR="0052340E" w:rsidRPr="00725D5D" w:rsidRDefault="0052340E" w:rsidP="0052340E">
      <w:pPr>
        <w:widowControl w:val="0"/>
        <w:spacing w:after="0" w:line="240" w:lineRule="auto"/>
        <w:jc w:val="center"/>
        <w:rPr>
          <w:rFonts w:ascii="Garamond" w:eastAsia="Times New Roman" w:hAnsi="Garamond"/>
          <w:b/>
          <w:spacing w:val="-4"/>
          <w:sz w:val="24"/>
          <w:szCs w:val="2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ligjin nr. 8537, datë 18.10.1999, “Për barrët siguruese”, të ndryshuar, bëhen këto ndryshime dhe shtesa si më poshtë:</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1 bëhen këto ndryshime e shtesa:</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Paragrafi i dytë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“Barrë siguruese - është një e drejtë reale mbi pasuri të paprekshme ose pasuri të luajtshme të prekshme, si të tashme, ashtu dhe të ardhme, që siguron një ose më shumë detyrime që kanë lindur përpara ose pas lidhjes së marrëveshjes siguruese.”.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2. Paragrafi i gjashtë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“Ceduesi - është personi, ndaj të cilit debitori i llogarisë ka një borxh dhe i cili e transferon këtë borxh te një person tjetër. Për efekt të këtij ligji, ceduesi trajtohet si barrëdhënës kur cedimi është kryer nëpërmjet barrës siguruese ose shitjes së llogarive.”.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3. Paragrafi i shtatë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“Cesionari - është personi, të cilit ceduesi i transferon llogarinë që debitori i llogarisë i detyrohet ose do t’i detyrohet në të ardhmen. Për efekt të këtij ligji, cesionari trajtohet si barrëmarrës kur cedimi është kryer nëpërmjet barrës siguruese apo shitjes së llogarive.”.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4. Paragrafi i tetë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 i llogarisë - është personi, i cili ka ose do të ketë në të ardhmen një detyrim në para ndaj një personi tjetër.”.</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5. Pas paragrafit të dhjetë shtohet një paragraf me këtë përmbajtje: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“Instrument - është një e drejtë që i jep zotëruesit të saj përfitimin e një vlere në para mbi bazën e një marrëveshjeje të nënshkruar më parë.”.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6. Pas paragrafit të katërmbëdhjetë shtohen dy paragrafë me këtë përmbajtje: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“Tituj” - janë instrumente, sipas kuptimit të dhënë në legjislacionin e posaçëm për titujt.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Llogari - është detyrimi në para që nuk pasqyrohet në një instrument ose titull dhe që ekziston pavarësisht nëse debitori ka përmbushur ose jo detyrimin.”.</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7. Pas paragrafit të njëzetenjëtë shtohet një paragraf me këtë përmbajtje: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“Pasuri e paprekshme - është çdo lloj pasurie që nuk është send, instrument ose titull. Janë pasuri e paprekshme pronësia intelektuale, llogaritë etj.”.</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2</w:t>
      </w:r>
    </w:p>
    <w:p w:rsidR="0052340E" w:rsidRPr="00E25FF4" w:rsidRDefault="0052340E" w:rsidP="0052340E">
      <w:pPr>
        <w:pStyle w:val="Hapesira7"/>
        <w:rPr>
          <w:spacing w:val="-4"/>
          <w:szCs w:val="1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2 bëhen këto ndryshime: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lastRenderedPageBreak/>
        <w:tab/>
        <w:t>1. Paragrafi i parë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“Ky ligj zbatohet për transaksione të çdo forme ose emërtimi që krijojnë barrë siguruese mbi sende të luajtshme ose pasuri të paprekshme ose mbi të drejtat e pronarit me anë të transferimit të titullit të pronësisë, posedimit me anë pengu ose me çdo mënyrë tjetër.”.</w:t>
      </w:r>
    </w:p>
    <w:p w:rsidR="0052340E" w:rsidRPr="00725D5D" w:rsidRDefault="0052340E" w:rsidP="0052340E">
      <w:pPr>
        <w:pStyle w:val="ListParagraph"/>
        <w:widowControl w:val="0"/>
        <w:spacing w:after="0" w:line="240" w:lineRule="auto"/>
        <w:ind w:left="0" w:firstLine="284"/>
        <w:rPr>
          <w:rFonts w:ascii="Garamond" w:hAnsi="Garamond"/>
          <w:spacing w:val="-4"/>
          <w:sz w:val="24"/>
          <w:szCs w:val="24"/>
          <w:lang w:val="sq-AL"/>
        </w:rPr>
      </w:pPr>
      <w:r w:rsidRPr="00725D5D">
        <w:rPr>
          <w:rFonts w:ascii="Garamond" w:hAnsi="Garamond"/>
          <w:spacing w:val="-4"/>
          <w:sz w:val="24"/>
          <w:szCs w:val="24"/>
          <w:lang w:val="sq-AL"/>
        </w:rPr>
        <w:tab/>
        <w:t>2. Në paragrafin e dytë, shkronja “b”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b) shitja e një ose disa llogarive;”.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3. Paragrafi i katërt dhe i pestë ndryshohen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“Rregullat që zbatohen për barrëmarrësin ose për të drejtat dhe detyrimet e barrëmarrësit zbatohen njëlloj edhe për: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a) shitësin në një kontratë të shitjes me rezervë të mallrave;</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b) shitësin e llogarive;</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c) porositësin në një kontratë komisioni;</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ç) qiradhënësin në kontratën e qirasë së mallrave me afat mbi një vit.</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Rregullat që zbatohen për barrëdhënësin ose për të drejtat dhe detyrimet e barrëdhënësit zbatohen njëlloj edhe për:</w:t>
      </w:r>
    </w:p>
    <w:p w:rsidR="0052340E" w:rsidRPr="00725D5D" w:rsidRDefault="0052340E" w:rsidP="0052340E">
      <w:pPr>
        <w:widowControl w:val="0"/>
        <w:spacing w:after="0" w:line="240" w:lineRule="auto"/>
        <w:rPr>
          <w:rFonts w:ascii="Garamond" w:hAnsi="Garamond"/>
          <w:spacing w:val="-4"/>
          <w:sz w:val="24"/>
          <w:szCs w:val="24"/>
          <w:lang w:val="sq-AL"/>
        </w:rPr>
      </w:pPr>
      <w:r w:rsidRPr="00725D5D">
        <w:rPr>
          <w:rFonts w:ascii="Garamond" w:eastAsia="Times New Roman" w:hAnsi="Garamond"/>
          <w:spacing w:val="-4"/>
          <w:sz w:val="24"/>
          <w:szCs w:val="24"/>
          <w:lang w:val="sq-AL"/>
        </w:rPr>
        <w:t xml:space="preserve"> </w:t>
      </w:r>
      <w:r w:rsidRPr="00725D5D">
        <w:rPr>
          <w:rFonts w:ascii="Garamond" w:hAnsi="Garamond"/>
          <w:spacing w:val="-4"/>
          <w:sz w:val="24"/>
          <w:szCs w:val="24"/>
          <w:lang w:val="sq-AL"/>
        </w:rPr>
        <w:tab/>
        <w:t>a) blerësin në një kontratë të shitjes me rezervë të mallrave;</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blerësin e llogarive;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c) komisionerin në një kontratë komisioni;</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ç) qiramarrësin në kontratën e qirasë së mallrave me afat mbi një vit.”.</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3</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4 bëhen këto ndryshime: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Shkronja “b”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b) shitjen e llogarive si pjesë e shitjes së veprimtarisë tregtare, prej së cilës ato kanë lindur;”.</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2. Shkronja “d” ndryshohet si më poshtë:</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d) cedimin e llogarive, që bëhet vetëm për të lehtësuar mbledhjen e llogarive për ceduesin;”.</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4</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5 bëhen këto ndryshime: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Në paragrafin e parë, shkronjat “b” dhe “c” ndryshohen si më poshtë:</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barrëdhënës është pronari i kolateralit ose personi, i cili ka tagrat për të lidhur marrëveshjen siguruese në emër të pronarit të kolateralit; ose barrëdhënësi është blerës, sipas një kontrate shitjeje me rezervë të mallrave, blerës i llogarisë, komisioner dhe qiramarrës në kontratën e qirasë së mallrave me afat mbi një vit;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c) barrëmarrësi ka lidhur kontratë me barrëdhënësin për t’i dhënë kredi ose hua barrëdhënësit ose një personi tjetër, ose për të përmbushur një detyrim për llogari të barrëdhënësit, ose barrëmarrësi i ka dhënë kredi ose hua barrëdhënësit ose një pale të tretë përpara lidhjes së marrëveshjes siguruese.”.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2. Paragrafi i dytë ndryshohet si më poshtë:</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“Kur marrëveshja siguruese parashikon vendosjen e një barre siguruese mbi kolateralin që fitohet nga barrëdhënësi pas lidhjes së marrëveshjes, barra siguruese lind:</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a) në çastin e fitimit të pronësisë nga barrëdhënësi, pa qenë nevoja që barrëmarrësi ose barrëdhënësi  të kryejnë ndonjë veprim;</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b) në çastin e kalimit të posedimit të mallrave te barrëdhënësi, në rast se barrëdhënësi është blerës në një kontratë shitjeje me rezervë të mallrave;</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c) në çastin e kalimit të posedimit të mallrave te barrëdhënësi, në rast se barrëdhënësi është komisioner ose qiramarrës në kontratën e qirasë së mallrave me afat mbi një vit;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ç) në çastin e krijimit të llogarisë, kur barrëdhënësi është ceduesi i llogarisë.”. </w:t>
      </w:r>
    </w:p>
    <w:p w:rsidR="0052340E" w:rsidRPr="00E25FF4" w:rsidRDefault="0052340E" w:rsidP="0052340E">
      <w:pPr>
        <w:widowControl w:val="0"/>
        <w:spacing w:after="0" w:line="240" w:lineRule="auto"/>
        <w:jc w:val="center"/>
        <w:rPr>
          <w:rFonts w:ascii="Garamond" w:eastAsia="Times New Roman" w:hAnsi="Garamond"/>
          <w:spacing w:val="-4"/>
          <w:sz w:val="14"/>
          <w:szCs w:val="2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lastRenderedPageBreak/>
        <w:t>Neni 5</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8, paragrafi i dytë, shkronjat “b” dhe “c” ndryshohen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 barrëmarrësi ose agjenti i tij, që nuk është barrëdhënësi, i posedon fizikisht mallrat, instrumentet, titujt ose paratë siç është pranuar në marrëveshjen siguruese;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c)  kur ka një barrë siguruese mbi mallrat që janë në posedim të depozitarit, ky lëshon një dokument pronësie në emër të barrëmarrësit ose pranon të mbajë mallrat për llogari të barrëmarrësit;”.</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6</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9, paragrafi i parë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“Barra siguruese mbi një instrument, që ka qenë e kompletuar nëpërmjet posedimit nga barrëmarrësi ose agjent i tij, mbetet e kompletuar pa qenë nevoja të regjistrohet për 20 ditë, pasi kolaterali të vihet nën kontrollin e barrëdhënësit për qëllim shitjeje, këmbimi, mbledhjeje, përtëritjeje, regjistrimi ose transferimi.”.</w:t>
      </w:r>
    </w:p>
    <w:p w:rsidR="0052340E" w:rsidRPr="00E25FF4" w:rsidRDefault="0052340E" w:rsidP="0052340E">
      <w:pPr>
        <w:pStyle w:val="Hapesira7"/>
        <w:rPr>
          <w:spacing w:val="-4"/>
          <w:sz w:val="10"/>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7</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10, paragrafi i parë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“Kur mbi një llogari vihet barrë siguruese, barrëmarrësi ka kundrejt dorëzanësit të llogarisë të njëjtat të drejta që ka barrëdhënësi.”. </w:t>
      </w:r>
    </w:p>
    <w:p w:rsidR="0052340E" w:rsidRPr="00E25FF4" w:rsidRDefault="0052340E" w:rsidP="0052340E">
      <w:pPr>
        <w:pStyle w:val="Hapesira7"/>
        <w:rPr>
          <w:spacing w:val="-4"/>
          <w:sz w:val="10"/>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8</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11, paragrafi i tetë ndryshohet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“Preferohet mbi çdo barrë tjetër siguruese që është dhënë nga barrëdhënësi mbi të njëjtin kolateral:</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a) barra siguruese e dhënë mbi kolateralin, për çmimin e blerjes së tij, ose mbi të ardhurat e tij, në rast se është  pasuri e prekshme dhe jo inventar, e cila është kompletuar brenda 20 ditëve nga data e posedimit të kolateralit nga barrëdhënësi, ose një person tjetër i autorizuar prej tij;</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barra siguruese e dhënë mbi një kolateral të paprekshëm, për çmimin e blerjes së tij, ose mbi të ardhurat e tij, e cila është kompletuar jo më vonë se 20 ditë pas datës së lidhjes së saj me kolateralin e paprekshëm.”. </w:t>
      </w: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9</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19 ndryshohet si më poshtë:</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19</w:t>
      </w: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b/>
          <w:spacing w:val="-4"/>
          <w:sz w:val="24"/>
          <w:szCs w:val="24"/>
          <w:lang w:val="sq-AL"/>
        </w:rPr>
        <w:t>Preferimi mbi instrumente që parashikohen nga ligje të tjera</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Barra siguruese e një personi, i cili fiton instrumente, sipas parashikimeve të legjislacionit bankar, preferohet mbi barrën siguruese të kompletuar të mëparshme mbi këto instrumente.</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Pretendimi i një personi që blen titull ose përfiton barrë siguruese mbi të, preferohet mbi një barrë siguruese që është kompletuar me regjistrim, në qoftë se ky person fiton titull dhe posedimin mbi të përkundrejt kompensimit, pa pasur dijeni për barrën siguruese.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Pretendimi i cesionarit, i cili merr një dokument pronësie, preferohet mbi barrën siguruese vendosur mbi mallrat në posedim të lëshuesit të dokumentit të pronësisë, në rast se plotësohen njëkohësisht të gjitha këto kushte:</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a) cesionari jep kompensim për dokumentin e pronësisë;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cesionari merr posedimin e dokumentit të pronësisë pa pasur dijeni për barrën siguruese;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c) cedimi bëhet në përputhje me kërkesat që përmban dokumenti i pronësisë, të cilat lejojnë transferimin e dokumentit te mbajtësi ose sipas porosisë së tij.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lastRenderedPageBreak/>
        <w:tab/>
        <w:t>Pretendimi i poseduesit të parave preferohet mbi një barrë siguruese të vënë mbi paratë, në rast se poseduesi i tyre i ka fituar ato pa pasur dijeni se kanë qenë objekt i kësaj barre. Kur poseduesi i parave i ka këmbyer ato me pasuri me po atë vlerë, ose ka marrë përsipër një detyrim, pretendimi i tij preferohet mbi çdo barrë siguruese mbi paratë, pavarësisht nëse në çastin e fitimit të tyre ai ka pasur dijeni ose jo për këtë barrë mbi paratë.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Pretendimi i kreditorit, të cilit i paguhet detyrimi, preferohet mbi një barrë siguruese dhënë mbi paratë e paguara për këtë detyrim dhe mbi instrumentin me të cilin është kryer kjo pagesë. Kjo zbatohet pavarësisht nëse kreditori ka pasur ose jo dijeni për një barrë të tillë në kohën e kryerjes së pagesës dhe kur pagesa është kryer nga barrëdhënësi me anë instrumenti, transferte elektronike fondesh, debitimi, transferte të autorizuar prej tij, apo me një mënyrë të ngjashme pagese.”.</w:t>
      </w: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10</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23 ndryshohet si më poshtë:</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23</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Marrëveshja për të mos ngritur pretendime kundër cesionarit</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Marrëveshja ndërmjet debitorit dhe ceduesit të një llogarie, sipas së cilës debitori i llogarisë merr përsipër të mos ngrejë kundër cesionarit pretendimet që mund të ketë ndaj ceduesit dhe të mos përdorë mjete të tjera ligjore kundër tij, ka fuqi detyruese edhe për marrëdhënien mes cesionarit dhe debitorit të llogarisë. Kjo zbatohet vetëm kur cesionari e ka marrë llogarinë me kundërshpërblim, në mirëbesim dhe pa pasur dijeni për marrëveshjen.</w:t>
      </w:r>
    </w:p>
    <w:p w:rsidR="0052340E" w:rsidRPr="00725D5D" w:rsidRDefault="0052340E" w:rsidP="0052340E">
      <w:pPr>
        <w:widowControl w:val="0"/>
        <w:spacing w:after="0" w:line="240" w:lineRule="auto"/>
        <w:rPr>
          <w:rFonts w:ascii="Garamond" w:eastAsia="Times New Roman" w:hAnsi="Garamond"/>
          <w:b/>
          <w:spacing w:val="-4"/>
          <w:sz w:val="24"/>
          <w:szCs w:val="24"/>
          <w:lang w:val="sq-AL"/>
        </w:rPr>
      </w:pPr>
      <w:r w:rsidRPr="00725D5D">
        <w:rPr>
          <w:rFonts w:ascii="Garamond" w:eastAsia="Times New Roman" w:hAnsi="Garamond"/>
          <w:spacing w:val="-4"/>
          <w:sz w:val="24"/>
          <w:szCs w:val="24"/>
          <w:lang w:val="sq-AL"/>
        </w:rPr>
        <w:tab/>
        <w:t>Një marrëveshje e tillë është e pavlefshme, kur bëhet në kundërshtim me nenin 92 të Kodit Civil të Republikës së Shqipërisë, ose kur debitori i llogarisë është mbingarkuar me borxhe ose detyrime, ose kur fillojnë procedurat e falimentimit.”.</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11</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24 ndryshohet si më poshtë:</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14"/>
          <w:szCs w:val="2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24</w:t>
      </w:r>
    </w:p>
    <w:p w:rsidR="0052340E" w:rsidRPr="00725D5D" w:rsidRDefault="0052340E" w:rsidP="0052340E">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Cedimi</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Barrëmarrësi mund ta cedojë të drejtën e tij, në përputhje me nenin 499 të Kodit Civil të Republikës së Shqipërisë.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Mosnjoftimi i një debitori llogarie për cedimin e një të drejte pagese sjell vetëm pasojat ligjore që parashikohen shprehimisht në këtë nen. Krijimi, lidhja, kompletimi ose ekzekutimi i një barre siguruese mbi një llogari nuk kërkon njoftim.</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rast se debitori i llogarisë nuk ka bërë një marrëveshje të vlefshme për të mos ngritur pretendime, ose për të mos përdorur mjete të tjera ligjore kundër cesionarit, të drejtat e cesionarit kundrejt debitorit të llogarisë u nënshtrohen:</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a) të gjitha kushteve të marrëveshjes ndërmjet debitorit të llogarisë dhe ceduesit, si edhe çdo pretendimi ose mjeti ligjor që vjen nga transaksioni, prej të cilit rrjedh llogaria ose një transaksion tjetër që ka lidhje me të;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 të gjitha pretendimeve ose mjeteve ligjore të debitorit të llogarisë kundër ceduesit, që kanë lindur para se debitori i llogarisë të ketë marrë njoftim me shkrim për cedimin, njoftim që është nënshkruar nga ceduesi ose cesionari.</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Debitori i llogarisë ka të drejtë të ngrejë pretendime kundër cesionarit vetëm për të zvogëluar detyrimin që rezulton në llogari.</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lastRenderedPageBreak/>
        <w:tab/>
        <w:t xml:space="preserve">Në qoftë se ceduesi dhe debitori i llogarisë ndryshojnë kushtet e një marrëveshjeje të lidhur midis tyre, ndryshimet duhet të respektohen edhe nga cesionari, në qoftë se ato janë bërë në mirëbesim dhe në përputhje me normat e arsyeshme tregtare. Cesionari fiton të drejtat e ceduesit, të cilat rrjedhin nga kontrata e ndryshuar. Ky paragraf nuk zbatohet kur e drejta, sipas një kontrate të ceduar, është fituar si rezultat i përmbushjes së plotë të detyrimit dhe kur debitori i llogarisë ka marrë njoftim për cedimin.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Debitori i llogarisë mund ta përmbushë detyrimin duke paguar ceduesin jo më vonë nga data e marrjes së njoftimit, i cili tregon se shuma e kërkuar, ose që do të kërkohet, është ceduar dhe se pagesa duhet t’i bëhet cesionarit. Pas marrjes së njoftimit, debitori i llogarisë mund të çlirohet nga detyrimi në rast se paguan cesionarin, por jo kur paguan ceduesin. Lajmërimi është i pavlefshëm në rast se nuk përshkruan në mënyrë të arsyeshme llogarinë e ceduar.</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Me kërkesë të debitorit të llogarisë, cesionari, brenda një kohe të arsyeshme, duhet të provojë se cedimi është kryer. Në rast se cesionari nuk vepron në përputhje me këtë kërkesë, debitori i llogarisë çlirohet nga detyrimi në rast se paguan ceduesin, edhe sikur të ketë marrë njoftim.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Debitori i llogarisë, që ka marrë lajmërim për cedimin e llogarisë, ka të drejtë të marrë nga cesionari një shënim, me anë të të cilit bëhet e ditur se debitori i llogarisë çlirohet nga çdo detyrim i mëtejshëm ndaj cesionarit, në qoftë se nuk ka mbetur pjesë e detyrimit e papaguar dhe cesionari nuk ka detyrim të japë kredi, të marrë përsipër një detyrim të ri, ose të paguajë në ndonjë mënyrë tjetër.</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Çlirimi nga detyrimi, duhet të bëhet brenda një periudhe të arsyeshme, por jo më vonë se 3 ditë pune pasi ceduesi të ketë marrë kërkesën nga debitori i llogarisë. Rregulli i parashikuar në  këtë paragraf nuk zbatohet për shitjen e llogarisë.”.</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12</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30 ndryshohet si më poshtë:</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30</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Arkëtimi i llogarive dhe instrumenteve nga barrëmarrësi</w:t>
      </w:r>
    </w:p>
    <w:p w:rsidR="0052340E" w:rsidRPr="00725D5D" w:rsidRDefault="0052340E" w:rsidP="0052340E">
      <w:pPr>
        <w:pStyle w:val="Hapesira7"/>
        <w:rPr>
          <w:spacing w:val="-4"/>
          <w:lang w:val="sq-AL"/>
        </w:rPr>
      </w:pPr>
    </w:p>
    <w:p w:rsidR="0052340E" w:rsidRPr="00725D5D" w:rsidRDefault="0052340E" w:rsidP="0052340E">
      <w:pPr>
        <w:pStyle w:val="Default"/>
        <w:widowControl w:val="0"/>
        <w:ind w:firstLine="284"/>
        <w:jc w:val="both"/>
        <w:rPr>
          <w:rFonts w:ascii="Garamond" w:eastAsia="Times New Roman" w:hAnsi="Garamond"/>
          <w:color w:val="auto"/>
          <w:spacing w:val="-4"/>
          <w:lang w:val="sq-AL"/>
        </w:rPr>
      </w:pPr>
      <w:r w:rsidRPr="00725D5D">
        <w:rPr>
          <w:rFonts w:ascii="Garamond" w:hAnsi="Garamond"/>
          <w:color w:val="auto"/>
          <w:spacing w:val="-4"/>
          <w:lang w:val="sq-AL"/>
        </w:rPr>
        <w:tab/>
        <w:t>Kur kolaterali është llogari, instrument ose titull, barrëmarrësi ka të drejtë të njoftojë debitorin e llogarisë ose personin që ka detyrime nga instrumenti ose titulli që t’i paguajë barrëmarrësit shumën e llogarisë, të instrumentit ose titullit dhe pasi të ketë zbritur shpenzimet e arsyeshme të bëra për arkëtimin, t’i përdorë paratë e arkëtuara për përmbushjen e detyrimit të siguruar nëpërmjet barrës siguruese.”.</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13</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Në nenin 41 bëhen këto ndryshime </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Shkronjat “a” dhe “b” ndryshohen si më poshtë:</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“a) Vlefshmëria, kompletimi dhe preferimi i barrës siguruese rregullohen nga ligji i vendit ku ndodhet barrëdhënësi në çastin që jepet barra, në rast se kolaterali i kësaj barre është:</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 llogari, instrument ose para dhe është kompletuar me regjistrim;</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ii) automjet që nuk është mall konsumi, aeroplan ose vagon treni që nuk është inventar;</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Vendndodhja e barrëdhënësit, është vendi kryesor ku ai ushtron veprimtari tregtare ose vendbanimi i tij, në qoftë se nuk zhvillon veprimtari tregtare. </w:t>
      </w:r>
      <w:r w:rsidRPr="00725D5D">
        <w:rPr>
          <w:rFonts w:ascii="Garamond" w:eastAsia="Times New Roman" w:hAnsi="Garamond"/>
          <w:spacing w:val="-4"/>
          <w:sz w:val="24"/>
          <w:szCs w:val="24"/>
          <w:lang w:val="sq-AL"/>
        </w:rPr>
        <w:tab/>
        <w:t>Vendndodhja e personit juridik është vendi i selisë së tij.</w:t>
      </w: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 Vlefshmëria, kompletimi dhe preferimi i barrës siguruese rregullohen nga ligji i vendit në të cilin ndodhet kolaterali në çastin e dhënies së barrës, në rast se kolaterali i kësaj barre është:</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 një automjet që është mall konsumi;</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ii) një mall që nuk përmendet në shkronjën “a” të këtij neni; </w:t>
      </w:r>
    </w:p>
    <w:p w:rsidR="0052340E" w:rsidRPr="00725D5D" w:rsidRDefault="0052340E" w:rsidP="0052340E">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iii) një instrument ose para, kur këto janë në posedim të barrëmarrësit.”.</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lastRenderedPageBreak/>
        <w:t>Neni 14</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Termat “Ministria e Ekonomisë, Tregtisë dhe Energjetikës” dhe “Ministri i Ekonomisë, Tregtisë dhe Energjetikës” zëvendësohen respektivisht me termat “ministria përgjegjëse për ekonominë” dhe “ministri përgjegjës për ekonominë” </w:t>
      </w:r>
    </w:p>
    <w:p w:rsidR="0052340E" w:rsidRPr="00725D5D" w:rsidRDefault="0052340E" w:rsidP="0052340E">
      <w:pPr>
        <w:pStyle w:val="Hapesira7"/>
        <w:rPr>
          <w:spacing w:val="-4"/>
          <w:lang w:val="sq-AL"/>
        </w:rPr>
      </w:pPr>
    </w:p>
    <w:p w:rsidR="0052340E" w:rsidRDefault="0052340E" w:rsidP="0052340E">
      <w:pPr>
        <w:widowControl w:val="0"/>
        <w:spacing w:after="0" w:line="240" w:lineRule="auto"/>
        <w:jc w:val="center"/>
        <w:rPr>
          <w:rFonts w:ascii="Garamond" w:eastAsia="Times New Roman" w:hAnsi="Garamond"/>
          <w:spacing w:val="-4"/>
          <w:sz w:val="24"/>
          <w:szCs w:val="24"/>
          <w:lang w:val="sq-AL"/>
        </w:rPr>
      </w:pPr>
    </w:p>
    <w:p w:rsidR="0052340E" w:rsidRDefault="0052340E" w:rsidP="0052340E">
      <w:pPr>
        <w:widowControl w:val="0"/>
        <w:spacing w:after="0" w:line="240" w:lineRule="auto"/>
        <w:jc w:val="center"/>
        <w:rPr>
          <w:rFonts w:ascii="Garamond" w:eastAsia="Times New Roman" w:hAnsi="Garamond"/>
          <w:spacing w:val="-4"/>
          <w:sz w:val="24"/>
          <w:szCs w:val="24"/>
          <w:lang w:val="sq-AL"/>
        </w:rPr>
      </w:pPr>
    </w:p>
    <w:p w:rsidR="0052340E" w:rsidRPr="00725D5D" w:rsidRDefault="0052340E" w:rsidP="0052340E">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15</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Ky ligj hyn në fuqi 15 ditë pas botimit në Fletoren Zyrtare.</w:t>
      </w:r>
    </w:p>
    <w:p w:rsidR="0052340E" w:rsidRPr="00725D5D" w:rsidRDefault="0052340E" w:rsidP="0052340E">
      <w:pPr>
        <w:pStyle w:val="Hapesira7"/>
        <w:rPr>
          <w:spacing w:val="-4"/>
          <w:lang w:val="sq-AL"/>
        </w:rPr>
      </w:pPr>
    </w:p>
    <w:p w:rsidR="0052340E" w:rsidRPr="00725D5D" w:rsidRDefault="0052340E" w:rsidP="0052340E">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Miratuar në datën 20.10.2016</w:t>
      </w:r>
    </w:p>
    <w:p w:rsidR="0052340E" w:rsidRPr="00725D5D" w:rsidRDefault="0052340E" w:rsidP="0052340E">
      <w:pPr>
        <w:pStyle w:val="Hapesira7"/>
        <w:rPr>
          <w:spacing w:val="-4"/>
          <w:lang w:val="sq-AL" w:eastAsia="en-GB"/>
        </w:rPr>
      </w:pPr>
    </w:p>
    <w:p w:rsidR="0052340E" w:rsidRPr="00725D5D" w:rsidRDefault="0052340E" w:rsidP="0052340E">
      <w:pPr>
        <w:pStyle w:val="Paragrafi"/>
        <w:ind w:firstLine="0"/>
        <w:rPr>
          <w:b/>
          <w:spacing w:val="-4"/>
          <w:lang w:val="sq-AL"/>
        </w:rPr>
      </w:pPr>
      <w:r w:rsidRPr="00725D5D">
        <w:rPr>
          <w:b/>
          <w:spacing w:val="-4"/>
          <w:lang w:val="sq-AL"/>
        </w:rPr>
        <w:t>Shpallur me dekretin nr. 9781, datë 31.10.2016, të Presidentit të Republikës së Shqipërisë, Bujar Nishani</w:t>
      </w: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392"/>
    <w:rsid w:val="004E3392"/>
    <w:rsid w:val="004F59B3"/>
    <w:rsid w:val="0052340E"/>
    <w:rsid w:val="00B4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0E"/>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2340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2340E"/>
    <w:rPr>
      <w:rFonts w:ascii="Garamond" w:eastAsia="MS Mincho" w:hAnsi="Garamond" w:cs="CG Times"/>
      <w:sz w:val="24"/>
    </w:rPr>
  </w:style>
  <w:style w:type="paragraph" w:customStyle="1" w:styleId="Hapesira7">
    <w:name w:val="Hapesira 7"/>
    <w:basedOn w:val="Paragrafi"/>
    <w:qFormat/>
    <w:rsid w:val="0052340E"/>
    <w:rPr>
      <w:sz w:val="14"/>
      <w:szCs w:val="24"/>
    </w:rPr>
  </w:style>
  <w:style w:type="paragraph" w:styleId="ListParagraph">
    <w:name w:val="List Paragraph"/>
    <w:aliases w:val="List Paragraph2"/>
    <w:basedOn w:val="Normal"/>
    <w:link w:val="ListParagraphChar"/>
    <w:uiPriority w:val="34"/>
    <w:qFormat/>
    <w:rsid w:val="0052340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52340E"/>
    <w:rPr>
      <w:rFonts w:ascii="Calibri" w:eastAsia="Times New Roman" w:hAnsi="Calibri" w:cs="Times New Roman"/>
    </w:rPr>
  </w:style>
  <w:style w:type="paragraph" w:customStyle="1" w:styleId="Default">
    <w:name w:val="Default"/>
    <w:rsid w:val="0052340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40E"/>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2340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2340E"/>
    <w:rPr>
      <w:rFonts w:ascii="Garamond" w:eastAsia="MS Mincho" w:hAnsi="Garamond" w:cs="CG Times"/>
      <w:sz w:val="24"/>
    </w:rPr>
  </w:style>
  <w:style w:type="paragraph" w:customStyle="1" w:styleId="Hapesira7">
    <w:name w:val="Hapesira 7"/>
    <w:basedOn w:val="Paragrafi"/>
    <w:qFormat/>
    <w:rsid w:val="0052340E"/>
    <w:rPr>
      <w:sz w:val="14"/>
      <w:szCs w:val="24"/>
    </w:rPr>
  </w:style>
  <w:style w:type="paragraph" w:styleId="ListParagraph">
    <w:name w:val="List Paragraph"/>
    <w:aliases w:val="List Paragraph2"/>
    <w:basedOn w:val="Normal"/>
    <w:link w:val="ListParagraphChar"/>
    <w:uiPriority w:val="34"/>
    <w:qFormat/>
    <w:rsid w:val="0052340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52340E"/>
    <w:rPr>
      <w:rFonts w:ascii="Calibri" w:eastAsia="Times New Roman" w:hAnsi="Calibri" w:cs="Times New Roman"/>
    </w:rPr>
  </w:style>
  <w:style w:type="paragraph" w:customStyle="1" w:styleId="Default">
    <w:name w:val="Default"/>
    <w:rsid w:val="0052340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2255</Words>
  <Characters>12856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3</cp:revision>
  <cp:lastPrinted>2019-02-05T11:36:00Z</cp:lastPrinted>
  <dcterms:created xsi:type="dcterms:W3CDTF">2016-11-10T14:43:00Z</dcterms:created>
  <dcterms:modified xsi:type="dcterms:W3CDTF">2019-02-05T11:36:00Z</dcterms:modified>
</cp:coreProperties>
</file>