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F47" w:rsidRPr="00DC7C85" w:rsidRDefault="004B0F47" w:rsidP="004B0F47">
      <w:pPr>
        <w:pStyle w:val="Akti"/>
        <w:keepNext w:val="0"/>
        <w:rPr>
          <w:spacing w:val="-4"/>
        </w:rPr>
      </w:pPr>
      <w:r w:rsidRPr="00DC7C85">
        <w:rPr>
          <w:spacing w:val="-4"/>
        </w:rPr>
        <w:t>LIGJ</w:t>
      </w:r>
    </w:p>
    <w:p w:rsidR="004B0F47" w:rsidRPr="00DC7C85" w:rsidRDefault="004B0F47" w:rsidP="004B0F47">
      <w:pPr>
        <w:pStyle w:val="NumriData"/>
        <w:keepNext w:val="0"/>
        <w:rPr>
          <w:spacing w:val="-4"/>
        </w:rPr>
      </w:pPr>
      <w:r w:rsidRPr="00DC7C85">
        <w:rPr>
          <w:spacing w:val="-4"/>
        </w:rPr>
        <w:t xml:space="preserve">Nr. 112/2016 </w:t>
      </w:r>
    </w:p>
    <w:p w:rsidR="004B0F47" w:rsidRPr="00DC7C85" w:rsidRDefault="004B0F47" w:rsidP="004B0F47">
      <w:pPr>
        <w:pStyle w:val="Hapesira7"/>
        <w:rPr>
          <w:lang w:val="sq-AL"/>
        </w:rPr>
      </w:pPr>
    </w:p>
    <w:p w:rsidR="004B0F47" w:rsidRPr="00DC7C85" w:rsidRDefault="004B0F47" w:rsidP="004B0F47">
      <w:pPr>
        <w:pStyle w:val="Titulli"/>
        <w:keepNext w:val="0"/>
        <w:rPr>
          <w:spacing w:val="-4"/>
        </w:rPr>
      </w:pPr>
      <w:r w:rsidRPr="00DC7C85">
        <w:rPr>
          <w:spacing w:val="-4"/>
        </w:rPr>
        <w:t xml:space="preserve">PËR DISA SHTESA DHE NDRYSHIME NË LIGJIN NR. 9920, DATË 19.5.2008, “PËR PROCEDURAT TATIMORE NË REPUBLIKËN E SHQIPËRISË”, </w:t>
      </w:r>
    </w:p>
    <w:p w:rsidR="004B0F47" w:rsidRPr="00DC7C85" w:rsidRDefault="004B0F47" w:rsidP="004B0F47">
      <w:pPr>
        <w:pStyle w:val="Titulli"/>
        <w:keepNext w:val="0"/>
        <w:rPr>
          <w:spacing w:val="-4"/>
        </w:rPr>
      </w:pPr>
      <w:r w:rsidRPr="00DC7C85">
        <w:rPr>
          <w:spacing w:val="-4"/>
        </w:rPr>
        <w:t>TË NDRYSHUAR</w:t>
      </w:r>
    </w:p>
    <w:p w:rsidR="004B0F47" w:rsidRPr="00DC7C85" w:rsidRDefault="004B0F47" w:rsidP="004B0F47">
      <w:pPr>
        <w:pStyle w:val="Hapesira7"/>
        <w:rPr>
          <w:lang w:val="sq-AL"/>
        </w:rPr>
      </w:pP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Në mbështetje të neneve 78, 83, pika 1, dhe 155, të Kushtetutës, me propozimin e Këshillit të Ministrave, </w:t>
      </w:r>
    </w:p>
    <w:p w:rsidR="004B0F47" w:rsidRPr="00DC7C85" w:rsidRDefault="004B0F47" w:rsidP="004B0F47">
      <w:pPr>
        <w:pStyle w:val="Hapesira7"/>
        <w:rPr>
          <w:lang w:val="sq-AL"/>
        </w:rPr>
      </w:pPr>
    </w:p>
    <w:p w:rsidR="004B0F47" w:rsidRPr="00DC7C85" w:rsidRDefault="004B0F47" w:rsidP="004B0F47">
      <w:pPr>
        <w:widowControl w:val="0"/>
        <w:spacing w:after="0" w:line="240" w:lineRule="auto"/>
        <w:jc w:val="center"/>
        <w:rPr>
          <w:rFonts w:ascii="Garamond" w:hAnsi="Garamond"/>
          <w:spacing w:val="-4"/>
          <w:sz w:val="24"/>
          <w:szCs w:val="24"/>
          <w:lang w:val="sq-AL"/>
        </w:rPr>
      </w:pPr>
      <w:r w:rsidRPr="00DC7C85">
        <w:rPr>
          <w:rFonts w:ascii="Garamond" w:hAnsi="Garamond"/>
          <w:spacing w:val="-4"/>
          <w:sz w:val="24"/>
          <w:szCs w:val="24"/>
          <w:lang w:val="sq-AL"/>
        </w:rPr>
        <w:t>KUVENDI</w:t>
      </w:r>
    </w:p>
    <w:p w:rsidR="004B0F47" w:rsidRPr="00DC7C85" w:rsidRDefault="004B0F47" w:rsidP="004B0F47">
      <w:pPr>
        <w:widowControl w:val="0"/>
        <w:spacing w:after="0" w:line="240" w:lineRule="auto"/>
        <w:jc w:val="center"/>
        <w:rPr>
          <w:rFonts w:ascii="Garamond" w:hAnsi="Garamond"/>
          <w:spacing w:val="-4"/>
          <w:sz w:val="24"/>
          <w:szCs w:val="24"/>
          <w:lang w:val="sq-AL"/>
        </w:rPr>
      </w:pPr>
      <w:r w:rsidRPr="00DC7C85">
        <w:rPr>
          <w:rFonts w:ascii="Garamond" w:hAnsi="Garamond"/>
          <w:spacing w:val="-4"/>
          <w:sz w:val="24"/>
          <w:szCs w:val="24"/>
          <w:lang w:val="sq-AL"/>
        </w:rPr>
        <w:t>I REPUBLIKËS SË SHQIPËRISË</w:t>
      </w:r>
    </w:p>
    <w:p w:rsidR="004B0F47" w:rsidRPr="00DC7C85" w:rsidRDefault="004B0F47" w:rsidP="004B0F47">
      <w:pPr>
        <w:pStyle w:val="Hapesira7"/>
        <w:rPr>
          <w:lang w:val="sq-AL"/>
        </w:rPr>
      </w:pPr>
      <w:r w:rsidRPr="00DC7C85">
        <w:rPr>
          <w:lang w:val="sq-AL"/>
        </w:rPr>
        <w:tab/>
      </w:r>
      <w:r w:rsidRPr="00DC7C85">
        <w:rPr>
          <w:lang w:val="sq-AL"/>
        </w:rPr>
        <w:tab/>
      </w:r>
    </w:p>
    <w:p w:rsidR="004B0F47" w:rsidRPr="00DC7C85" w:rsidRDefault="004B0F47" w:rsidP="004B0F47">
      <w:pPr>
        <w:widowControl w:val="0"/>
        <w:spacing w:after="0" w:line="240" w:lineRule="auto"/>
        <w:jc w:val="center"/>
        <w:rPr>
          <w:rFonts w:ascii="Garamond" w:hAnsi="Garamond"/>
          <w:spacing w:val="-4"/>
          <w:sz w:val="24"/>
          <w:szCs w:val="24"/>
          <w:lang w:val="sq-AL"/>
        </w:rPr>
      </w:pPr>
      <w:r w:rsidRPr="00DC7C85">
        <w:rPr>
          <w:rFonts w:ascii="Garamond" w:hAnsi="Garamond"/>
          <w:spacing w:val="-4"/>
          <w:sz w:val="24"/>
          <w:szCs w:val="24"/>
          <w:lang w:val="sq-AL"/>
        </w:rPr>
        <w:t>VENDOSI:</w:t>
      </w:r>
    </w:p>
    <w:p w:rsidR="004B0F47" w:rsidRPr="00DC7C85" w:rsidRDefault="004B0F47" w:rsidP="004B0F47">
      <w:pPr>
        <w:widowControl w:val="0"/>
        <w:spacing w:after="0" w:line="240" w:lineRule="auto"/>
        <w:jc w:val="center"/>
        <w:rPr>
          <w:rFonts w:ascii="Garamond" w:hAnsi="Garamond"/>
          <w:b/>
          <w:spacing w:val="-4"/>
          <w:sz w:val="24"/>
          <w:szCs w:val="24"/>
          <w:lang w:val="sq-AL"/>
        </w:rPr>
      </w:pP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ligjin nr. 9920, datë 19.5.2008, “Për procedurat tatimore në Republikën e Shqipërisë”, të ndryshuar, bëhen këto shtesa dhe ndryshime:</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1</w:t>
      </w:r>
    </w:p>
    <w:p w:rsidR="004B0F47" w:rsidRPr="00DC7C85" w:rsidRDefault="004B0F47" w:rsidP="004B0F47">
      <w:pPr>
        <w:pStyle w:val="Hapesira7"/>
      </w:pPr>
    </w:p>
    <w:p w:rsidR="004B0F47" w:rsidRPr="00DC7C85" w:rsidRDefault="004B0F47" w:rsidP="004B0F47">
      <w:pPr>
        <w:pStyle w:val="NoSpacing"/>
        <w:widowControl w:val="0"/>
        <w:ind w:firstLine="284"/>
        <w:jc w:val="both"/>
        <w:rPr>
          <w:rFonts w:ascii="Garamond" w:hAnsi="Garamond"/>
          <w:spacing w:val="-4"/>
        </w:rPr>
      </w:pPr>
      <w:r w:rsidRPr="00DC7C85">
        <w:rPr>
          <w:rFonts w:ascii="Garamond" w:hAnsi="Garamond"/>
          <w:spacing w:val="-4"/>
        </w:rPr>
        <w:tab/>
        <w:t>Në nenin 5, pas shkronjës “h” shtohet shkronja “j” me këtë përmbajtje:</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“j) “Ambulant” është personi fizik, i cili tregton mallra ose shërbime për publikun pa pasur një vend biznesi fiks, që ushtron aktivitetin në njësi të vetme tregtimi të lëvizshme dhe lejohet të tregtojë në ambiente publike pasi është pajisur me leje nga bashkia nën juridiksionin territorial dhe administrativ.”.</w:t>
      </w:r>
    </w:p>
    <w:p w:rsidR="004B0F47" w:rsidRPr="00DC7C85" w:rsidRDefault="004B0F47" w:rsidP="004B0F47">
      <w:pPr>
        <w:pStyle w:val="Hapesira7"/>
      </w:pPr>
    </w:p>
    <w:p w:rsidR="004B0F47" w:rsidRPr="00DC7C85" w:rsidRDefault="004B0F47" w:rsidP="004B0F47">
      <w:pPr>
        <w:pStyle w:val="NeniNr"/>
        <w:keepNext w:val="0"/>
      </w:pPr>
      <w:r w:rsidRPr="00DC7C85">
        <w:t>Neni 2</w:t>
      </w:r>
    </w:p>
    <w:p w:rsidR="004B0F47" w:rsidRPr="00DC7C85" w:rsidRDefault="004B0F47" w:rsidP="004B0F47">
      <w:pPr>
        <w:pStyle w:val="Hapesira7"/>
      </w:pPr>
    </w:p>
    <w:p w:rsidR="004B0F47" w:rsidRPr="00DC7C85" w:rsidRDefault="004B0F47" w:rsidP="004B0F47">
      <w:pPr>
        <w:pStyle w:val="NoSpacing"/>
        <w:widowControl w:val="0"/>
        <w:ind w:firstLine="284"/>
        <w:jc w:val="both"/>
        <w:rPr>
          <w:rFonts w:ascii="Garamond" w:hAnsi="Garamond"/>
          <w:spacing w:val="-4"/>
        </w:rPr>
      </w:pPr>
      <w:r w:rsidRPr="00DC7C85">
        <w:rPr>
          <w:rFonts w:ascii="Garamond" w:hAnsi="Garamond"/>
          <w:spacing w:val="-4"/>
        </w:rPr>
        <w:tab/>
        <w:t>Në nenin 6, pika 4, bëhen shtesat e mëposhtme:</w:t>
      </w:r>
    </w:p>
    <w:p w:rsidR="004B0F47" w:rsidRPr="00DC7C85" w:rsidRDefault="004B0F47" w:rsidP="004B0F47">
      <w:pPr>
        <w:pStyle w:val="NoSpacing"/>
        <w:widowControl w:val="0"/>
        <w:ind w:firstLine="284"/>
        <w:jc w:val="both"/>
        <w:rPr>
          <w:rFonts w:ascii="Garamond" w:hAnsi="Garamond"/>
          <w:spacing w:val="-4"/>
        </w:rPr>
      </w:pPr>
      <w:r w:rsidRPr="00DC7C85">
        <w:rPr>
          <w:rFonts w:ascii="Garamond" w:hAnsi="Garamond"/>
          <w:spacing w:val="-4"/>
        </w:rPr>
        <w:tab/>
        <w:t>1. Në shkronjën “a”, pas fjalëve “trashëgimtarët ligjorë” shtohen fjalët “në përputhje me dispozitat e Kodit Civil”.</w:t>
      </w:r>
    </w:p>
    <w:p w:rsidR="004B0F47" w:rsidRPr="00DC7C85" w:rsidRDefault="004B0F47" w:rsidP="004B0F47">
      <w:pPr>
        <w:pStyle w:val="NoSpacing"/>
        <w:widowControl w:val="0"/>
        <w:ind w:firstLine="284"/>
        <w:jc w:val="both"/>
        <w:rPr>
          <w:rFonts w:ascii="Garamond" w:hAnsi="Garamond"/>
          <w:spacing w:val="-4"/>
        </w:rPr>
      </w:pPr>
      <w:r w:rsidRPr="00DC7C85">
        <w:rPr>
          <w:rFonts w:ascii="Garamond" w:hAnsi="Garamond"/>
          <w:spacing w:val="-4"/>
        </w:rPr>
        <w:tab/>
        <w:t xml:space="preserve">2. Në shkronjën “b”, pas fjalëve “i caktuar ligjërisht” shtohen fjalët “në përputhje me ligjin për tregtarët dhe shoqëritë tregtare”. </w:t>
      </w:r>
    </w:p>
    <w:p w:rsidR="004B0F47" w:rsidRPr="00DC7C85" w:rsidRDefault="004B0F47" w:rsidP="004B0F47">
      <w:pPr>
        <w:pStyle w:val="Hapesira7"/>
      </w:pPr>
    </w:p>
    <w:p w:rsidR="004B0F47" w:rsidRPr="00DC7C85" w:rsidRDefault="004B0F47" w:rsidP="004B0F47">
      <w:pPr>
        <w:pStyle w:val="NeniNr"/>
        <w:keepNext w:val="0"/>
      </w:pPr>
      <w:r w:rsidRPr="00DC7C85">
        <w:t>Neni 3</w:t>
      </w:r>
    </w:p>
    <w:p w:rsidR="004B0F47" w:rsidRPr="00DC7C85" w:rsidRDefault="004B0F47" w:rsidP="004B0F47">
      <w:pPr>
        <w:pStyle w:val="Hapesira7"/>
      </w:pPr>
    </w:p>
    <w:p w:rsidR="004B0F47" w:rsidRPr="00DC7C85" w:rsidRDefault="004B0F47" w:rsidP="004B0F47">
      <w:pPr>
        <w:pStyle w:val="NoSpacing"/>
        <w:widowControl w:val="0"/>
        <w:ind w:firstLine="284"/>
        <w:jc w:val="both"/>
        <w:rPr>
          <w:rFonts w:ascii="Garamond" w:hAnsi="Garamond"/>
          <w:spacing w:val="-4"/>
        </w:rPr>
      </w:pPr>
      <w:r w:rsidRPr="00DC7C85">
        <w:rPr>
          <w:rFonts w:ascii="Garamond" w:hAnsi="Garamond"/>
          <w:spacing w:val="-4"/>
        </w:rPr>
        <w:tab/>
        <w:t>Në nenin 10 bëhen ndryshimi dhe shtesa e mëposhtme:</w:t>
      </w:r>
    </w:p>
    <w:p w:rsidR="004B0F47" w:rsidRPr="00DC7C85" w:rsidRDefault="004B0F47" w:rsidP="004B0F47">
      <w:pPr>
        <w:pStyle w:val="NoSpacing"/>
        <w:widowControl w:val="0"/>
        <w:ind w:firstLine="284"/>
        <w:jc w:val="both"/>
        <w:rPr>
          <w:rFonts w:ascii="Garamond" w:hAnsi="Garamond"/>
          <w:spacing w:val="-4"/>
        </w:rPr>
      </w:pPr>
      <w:r w:rsidRPr="00DC7C85">
        <w:rPr>
          <w:rFonts w:ascii="Garamond" w:hAnsi="Garamond"/>
          <w:spacing w:val="-4"/>
        </w:rPr>
        <w:tab/>
        <w:t>1. Fjalia e dytë dhe e tretë e pikës 2 ndryshohen si më poshtë:</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“Vendimi publikohet brenda 5</w:t>
      </w:r>
      <w:r>
        <w:rPr>
          <w:rFonts w:ascii="Garamond" w:hAnsi="Garamond"/>
          <w:spacing w:val="-4"/>
          <w:sz w:val="24"/>
          <w:szCs w:val="24"/>
          <w:lang w:val="sq-AL"/>
        </w:rPr>
        <w:t xml:space="preserve"> </w:t>
      </w:r>
      <w:r w:rsidRPr="00DC7C85">
        <w:rPr>
          <w:rFonts w:ascii="Garamond" w:hAnsi="Garamond"/>
          <w:spacing w:val="-4"/>
          <w:sz w:val="24"/>
          <w:szCs w:val="24"/>
          <w:lang w:val="sq-AL"/>
        </w:rPr>
        <w:t>ditëve kalendarike në faqen zyrtare të DPT-së, në rubrikën përkatëse të vendimeve teknike, duke ruajtur konfidencialitetin e të dhënave të biznesit të tatimpaguesit. Vendimi bëhet detyrues për tatimpaguesin në datën kur ai merr njoftim për të në njërën nga format e parashikuara në Kodin e Procedurave Administrative dhe zbatohet njëlloj nga strukturat e administratës tatimore qendrore, për raste të tjera, të ngjashme.”.</w:t>
      </w:r>
    </w:p>
    <w:p w:rsidR="004B0F47" w:rsidRPr="00DC7C85" w:rsidRDefault="004B0F47" w:rsidP="004B0F47">
      <w:pPr>
        <w:pStyle w:val="NoSpacing"/>
        <w:widowControl w:val="0"/>
        <w:ind w:firstLine="284"/>
        <w:jc w:val="both"/>
        <w:rPr>
          <w:rFonts w:ascii="Garamond" w:hAnsi="Garamond"/>
          <w:spacing w:val="-4"/>
        </w:rPr>
      </w:pPr>
      <w:r w:rsidRPr="00DC7C85">
        <w:rPr>
          <w:rFonts w:ascii="Garamond" w:hAnsi="Garamond"/>
          <w:spacing w:val="-4"/>
        </w:rPr>
        <w:tab/>
        <w:t>2. Pas pikës 2 shtohet pika 3 me këtë përmbajtje:</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“3. Drejtoria e Përgjithshme e Tatimeve, në fund të muajit korrik dhe dhjetor të çdo viti, përgatit komentarë përmbledhës të vendimeve teknike, në lidhje me mënyrën e trajtimit tatimor të rasteve specifike, duke i grupuar ato sipas natyrës së tyre. Këta komentarë përmbledhës publikohen në faqen zyrtare të DPT-së në muajin pasardhës.”.</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4</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16 bëhen ndryshimet e mëposhtme:</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 Pika 3 ndryshohet si më poshtë:</w:t>
      </w:r>
    </w:p>
    <w:p w:rsidR="008E2187"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r>
    </w:p>
    <w:p w:rsidR="004B0F47" w:rsidRPr="00DC7C85" w:rsidRDefault="004B0F47" w:rsidP="004B0F47">
      <w:pPr>
        <w:widowControl w:val="0"/>
        <w:spacing w:after="0" w:line="240" w:lineRule="auto"/>
        <w:rPr>
          <w:rFonts w:ascii="Garamond" w:hAnsi="Garamond"/>
          <w:spacing w:val="-4"/>
          <w:sz w:val="24"/>
          <w:szCs w:val="24"/>
          <w:lang w:val="sq-AL"/>
        </w:rPr>
      </w:pPr>
      <w:bookmarkStart w:id="0" w:name="_GoBack"/>
      <w:bookmarkEnd w:id="0"/>
      <w:r w:rsidRPr="00DC7C85">
        <w:rPr>
          <w:rFonts w:ascii="Garamond" w:hAnsi="Garamond"/>
          <w:spacing w:val="-4"/>
          <w:sz w:val="24"/>
          <w:szCs w:val="24"/>
          <w:lang w:val="sq-AL"/>
        </w:rPr>
        <w:lastRenderedPageBreak/>
        <w:t>“3. Administrata tatimore qendrore është e organizuar në drejtori dhe njësi të tjera sipas funksioneve të mëposhtme:</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a) Funksionet bazë dhe operacionale, ku bëjnë pjesë:</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i) shërbimi, regjistrimi dhe edukimi i tatimpaguesit; </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ii) menaxhimi i riskut, rimbursimi i tatimeve, kontrolli tatimor;</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iii) mbledhja e detyrimeve tatimore/zbatimi i masave shtrënguese; </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iv) hetimi tatimor; </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v) investigimi i brendshëm antikorrupsion, auditi i brendshëm.</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b) Funksionet mbështetëse, ku bëjnë pjesë: financa, statistikat dhe analiza, teknologjia e informacionit, shërbimi ligjor e teknik, shërbimet administrative, burimet njerëzore dhe marrëdhëniet institucionale.”. </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2. Pika 4 shfuqizohet. </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3.</w:t>
      </w:r>
      <w:r>
        <w:rPr>
          <w:rFonts w:ascii="Garamond" w:hAnsi="Garamond"/>
          <w:spacing w:val="-4"/>
          <w:sz w:val="24"/>
          <w:szCs w:val="24"/>
          <w:lang w:val="sq-AL"/>
        </w:rPr>
        <w:t xml:space="preserve"> </w:t>
      </w:r>
      <w:r w:rsidRPr="00DC7C85">
        <w:rPr>
          <w:rFonts w:ascii="Garamond" w:hAnsi="Garamond"/>
          <w:spacing w:val="-4"/>
          <w:sz w:val="24"/>
          <w:szCs w:val="24"/>
          <w:lang w:val="sq-AL"/>
        </w:rPr>
        <w:tab/>
        <w:t>Në pikën 6, fjalët “shkronja “dh” e këtij neni” zëvendësohen me fjalët “shkronja “b” e këtij neni”.</w:t>
      </w:r>
    </w:p>
    <w:p w:rsidR="004B0F47" w:rsidRPr="001D7177" w:rsidRDefault="004B0F47" w:rsidP="004B0F47">
      <w:pPr>
        <w:pStyle w:val="Hapesira7"/>
        <w:rPr>
          <w:sz w:val="10"/>
          <w:lang w:val="sq-AL"/>
        </w:rPr>
      </w:pPr>
    </w:p>
    <w:p w:rsidR="004B0F47" w:rsidRPr="00DC7C85" w:rsidRDefault="004B0F47" w:rsidP="004B0F47">
      <w:pPr>
        <w:widowControl w:val="0"/>
        <w:autoSpaceDE w:val="0"/>
        <w:autoSpaceDN w:val="0"/>
        <w:adjustRightInd w:val="0"/>
        <w:spacing w:after="0" w:line="240" w:lineRule="auto"/>
        <w:jc w:val="center"/>
        <w:rPr>
          <w:rFonts w:ascii="Garamond" w:hAnsi="Garamond"/>
          <w:spacing w:val="-4"/>
          <w:sz w:val="24"/>
          <w:szCs w:val="24"/>
          <w:lang w:val="sq-AL"/>
        </w:rPr>
      </w:pPr>
      <w:r w:rsidRPr="00DC7C85">
        <w:rPr>
          <w:rFonts w:ascii="Garamond" w:hAnsi="Garamond"/>
          <w:spacing w:val="-4"/>
          <w:sz w:val="24"/>
          <w:szCs w:val="24"/>
          <w:lang w:val="sq-AL"/>
        </w:rPr>
        <w:t>Neni 5</w:t>
      </w:r>
    </w:p>
    <w:p w:rsidR="004B0F47" w:rsidRPr="00DC7C85" w:rsidRDefault="004B0F47" w:rsidP="004B0F47">
      <w:pPr>
        <w:pStyle w:val="Hapesira7"/>
        <w:rPr>
          <w:lang w:val="sq-AL"/>
        </w:rPr>
      </w:pPr>
    </w:p>
    <w:p w:rsidR="004B0F47" w:rsidRPr="00DC7C85" w:rsidRDefault="004B0F47" w:rsidP="004B0F47">
      <w:pPr>
        <w:widowControl w:val="0"/>
        <w:spacing w:after="0" w:line="240" w:lineRule="auto"/>
        <w:rPr>
          <w:rFonts w:ascii="Garamond" w:hAnsi="Garamond"/>
          <w:spacing w:val="-4"/>
          <w:sz w:val="24"/>
          <w:szCs w:val="24"/>
          <w:lang w:val="sq-AL"/>
        </w:rPr>
      </w:pPr>
      <w:r w:rsidRPr="00DC7C85">
        <w:rPr>
          <w:rStyle w:val="Strong"/>
          <w:rFonts w:ascii="Garamond" w:hAnsi="Garamond"/>
          <w:spacing w:val="-4"/>
          <w:sz w:val="24"/>
          <w:szCs w:val="24"/>
          <w:lang w:val="sq-AL"/>
        </w:rPr>
        <w:tab/>
        <w:t>Neni 17 ndryshohet si më poshtë: </w:t>
      </w:r>
    </w:p>
    <w:p w:rsidR="004B0F47" w:rsidRPr="00DC7C85" w:rsidRDefault="004B0F47" w:rsidP="004B0F47">
      <w:pPr>
        <w:pStyle w:val="Hapesira7"/>
        <w:rPr>
          <w:lang w:val="sq-AL"/>
        </w:rPr>
      </w:pPr>
    </w:p>
    <w:p w:rsidR="004B0F47" w:rsidRPr="00DC7C85" w:rsidRDefault="004B0F47" w:rsidP="004B0F47">
      <w:pPr>
        <w:widowControl w:val="0"/>
        <w:spacing w:after="0" w:line="240" w:lineRule="auto"/>
        <w:jc w:val="center"/>
        <w:rPr>
          <w:rStyle w:val="Strong"/>
          <w:rFonts w:ascii="Garamond" w:hAnsi="Garamond"/>
          <w:b w:val="0"/>
          <w:spacing w:val="-4"/>
          <w:sz w:val="24"/>
          <w:szCs w:val="24"/>
          <w:lang w:val="sq-AL"/>
        </w:rPr>
      </w:pPr>
      <w:r w:rsidRPr="00DC7C85">
        <w:rPr>
          <w:rStyle w:val="Strong"/>
          <w:rFonts w:ascii="Garamond" w:hAnsi="Garamond"/>
          <w:spacing w:val="-4"/>
          <w:sz w:val="24"/>
          <w:szCs w:val="24"/>
          <w:lang w:val="sq-AL"/>
        </w:rPr>
        <w:t>“Neni 17</w:t>
      </w:r>
    </w:p>
    <w:p w:rsidR="004B0F47" w:rsidRPr="00DC7C85" w:rsidRDefault="004B0F47" w:rsidP="004B0F47">
      <w:pPr>
        <w:widowControl w:val="0"/>
        <w:spacing w:after="0" w:line="240" w:lineRule="auto"/>
        <w:jc w:val="center"/>
        <w:rPr>
          <w:rFonts w:ascii="Garamond" w:hAnsi="Garamond"/>
          <w:b/>
          <w:bCs/>
          <w:spacing w:val="-4"/>
          <w:sz w:val="24"/>
          <w:szCs w:val="24"/>
          <w:lang w:val="sq-AL"/>
        </w:rPr>
      </w:pPr>
      <w:r w:rsidRPr="00DC7C85">
        <w:rPr>
          <w:rStyle w:val="Strong"/>
          <w:rFonts w:ascii="Garamond" w:hAnsi="Garamond"/>
          <w:spacing w:val="-4"/>
          <w:sz w:val="24"/>
          <w:szCs w:val="24"/>
          <w:lang w:val="sq-AL"/>
        </w:rPr>
        <w:t>Marrëdhënia e punës për drejtorin dhe zëvendësdrejtorët e përgjithshëm të tatimeve</w:t>
      </w:r>
    </w:p>
    <w:p w:rsidR="004B0F47" w:rsidRPr="00DC7C85" w:rsidRDefault="004B0F47" w:rsidP="004B0F47">
      <w:pPr>
        <w:pStyle w:val="Hapesira7"/>
        <w:rPr>
          <w:lang w:val="sq-AL"/>
        </w:rPr>
      </w:pPr>
    </w:p>
    <w:p w:rsidR="004B0F47" w:rsidRPr="00DC7C85" w:rsidRDefault="004B0F47" w:rsidP="004B0F47">
      <w:pPr>
        <w:pStyle w:val="Default"/>
        <w:widowControl w:val="0"/>
        <w:ind w:firstLine="284"/>
        <w:jc w:val="both"/>
        <w:rPr>
          <w:rFonts w:ascii="Garamond" w:hAnsi="Garamond"/>
          <w:color w:val="auto"/>
          <w:spacing w:val="-4"/>
          <w:lang w:val="sq-AL"/>
        </w:rPr>
      </w:pPr>
      <w:r w:rsidRPr="00DC7C85">
        <w:rPr>
          <w:rFonts w:ascii="Garamond" w:hAnsi="Garamond"/>
          <w:color w:val="auto"/>
          <w:spacing w:val="-4"/>
          <w:lang w:val="sq-AL"/>
        </w:rPr>
        <w:tab/>
        <w:t>1. Organ drejtues i administratës tatimore qendrore është Drejtori i Përgjithshëm i Tatimeve.</w:t>
      </w:r>
    </w:p>
    <w:p w:rsidR="004B0F47" w:rsidRPr="00DC7C85" w:rsidRDefault="004B0F47" w:rsidP="004B0F47">
      <w:pPr>
        <w:pStyle w:val="Default"/>
        <w:widowControl w:val="0"/>
        <w:ind w:firstLine="284"/>
        <w:jc w:val="both"/>
        <w:rPr>
          <w:rFonts w:ascii="Garamond" w:hAnsi="Garamond"/>
          <w:color w:val="auto"/>
          <w:spacing w:val="-4"/>
          <w:lang w:val="sq-AL"/>
        </w:rPr>
      </w:pPr>
      <w:r w:rsidRPr="00DC7C85">
        <w:rPr>
          <w:rFonts w:ascii="Garamond" w:hAnsi="Garamond"/>
          <w:color w:val="auto"/>
          <w:spacing w:val="-4"/>
          <w:lang w:val="sq-AL"/>
        </w:rPr>
        <w:tab/>
        <w:t xml:space="preserve">2. Drejtori i Përgjithshëm i Tatimeve emërohet, lirohet, apo shkarkohet nga detyra me vendim të Këshillit të Ministrave, me propozim të Ministrit të Financave. </w:t>
      </w:r>
    </w:p>
    <w:p w:rsidR="004B0F47" w:rsidRPr="00DC7C85" w:rsidRDefault="004B0F47" w:rsidP="004B0F47">
      <w:pPr>
        <w:pStyle w:val="Default"/>
        <w:widowControl w:val="0"/>
        <w:ind w:firstLine="284"/>
        <w:jc w:val="both"/>
        <w:rPr>
          <w:rFonts w:ascii="Garamond" w:hAnsi="Garamond"/>
          <w:color w:val="auto"/>
          <w:spacing w:val="-4"/>
          <w:lang w:val="sq-AL"/>
        </w:rPr>
      </w:pPr>
      <w:r w:rsidRPr="00DC7C85">
        <w:rPr>
          <w:rFonts w:ascii="Garamond" w:eastAsia="Times New Roman" w:hAnsi="Garamond"/>
          <w:color w:val="auto"/>
          <w:spacing w:val="-4"/>
          <w:lang w:val="sq-AL"/>
        </w:rPr>
        <w:tab/>
        <w:t>3. Zëvendësdrejtorët e përgjithshëm të tatimeve janë nëpunës civilë dhe  emërohen e lirohen në përputhje me dispozitat e legjislacionit për nëpunësin civil, sipas propozimit të Ministrit të Financave.”. </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6</w:t>
      </w:r>
    </w:p>
    <w:p w:rsidR="004B0F47" w:rsidRPr="00DC7C85" w:rsidRDefault="004B0F47" w:rsidP="004B0F47">
      <w:pPr>
        <w:widowControl w:val="0"/>
        <w:autoSpaceDE w:val="0"/>
        <w:autoSpaceDN w:val="0"/>
        <w:adjustRightInd w:val="0"/>
        <w:spacing w:after="0" w:line="240" w:lineRule="auto"/>
        <w:jc w:val="center"/>
        <w:rPr>
          <w:rFonts w:ascii="Garamond" w:hAnsi="Garamond"/>
          <w:b/>
          <w:spacing w:val="-4"/>
          <w:sz w:val="24"/>
          <w:szCs w:val="24"/>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Neni 18 ndryshohet si më poshtë:</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18</w:t>
      </w:r>
    </w:p>
    <w:p w:rsidR="004B0F47" w:rsidRPr="00DC7C85" w:rsidRDefault="004B0F47" w:rsidP="004B0F47">
      <w:pPr>
        <w:widowControl w:val="0"/>
        <w:spacing w:after="0" w:line="240" w:lineRule="auto"/>
        <w:jc w:val="center"/>
        <w:rPr>
          <w:rFonts w:ascii="Garamond" w:hAnsi="Garamond"/>
          <w:b/>
          <w:spacing w:val="-4"/>
          <w:sz w:val="24"/>
          <w:szCs w:val="24"/>
          <w:lang w:val="sq-AL"/>
        </w:rPr>
      </w:pPr>
      <w:r w:rsidRPr="00DC7C85">
        <w:rPr>
          <w:rFonts w:ascii="Garamond" w:hAnsi="Garamond"/>
          <w:b/>
          <w:spacing w:val="-4"/>
          <w:sz w:val="24"/>
          <w:szCs w:val="24"/>
          <w:lang w:val="sq-AL"/>
        </w:rPr>
        <w:t>“Struktura e apelimit tatimor</w:t>
      </w:r>
    </w:p>
    <w:p w:rsidR="004B0F47" w:rsidRPr="00DC7C85" w:rsidRDefault="004B0F47" w:rsidP="004B0F47">
      <w:pPr>
        <w:pStyle w:val="Hapesira7"/>
        <w:rPr>
          <w:lang w:val="sq-AL"/>
        </w:rPr>
      </w:pPr>
    </w:p>
    <w:p w:rsidR="004B0F47" w:rsidRPr="00DC7C85" w:rsidRDefault="004B0F47" w:rsidP="004B0F47">
      <w:pPr>
        <w:pStyle w:val="ListParagraph"/>
        <w:widowControl w:val="0"/>
        <w:spacing w:after="0" w:line="240" w:lineRule="auto"/>
        <w:ind w:left="0" w:firstLine="284"/>
        <w:jc w:val="both"/>
        <w:rPr>
          <w:rFonts w:ascii="Garamond" w:hAnsi="Garamond"/>
          <w:spacing w:val="-4"/>
          <w:sz w:val="24"/>
          <w:szCs w:val="24"/>
          <w:lang w:val="sq-AL"/>
        </w:rPr>
      </w:pPr>
      <w:r w:rsidRPr="00DC7C85">
        <w:rPr>
          <w:rFonts w:ascii="Garamond" w:hAnsi="Garamond"/>
          <w:spacing w:val="-4"/>
          <w:sz w:val="24"/>
          <w:szCs w:val="24"/>
          <w:lang w:val="sq-AL"/>
        </w:rPr>
        <w:tab/>
        <w:t xml:space="preserve">1. Drejtoria e Apelimit Tatimor, pjesë përbërëse e strukturës organike të Ministrisë së Financave, është funksion i pavarur në vendimmarrje që shqyrton dhe merr vendim ndaj ankimit administrativ tatimor </w:t>
      </w:r>
      <w:r w:rsidRPr="00DC7C85">
        <w:rPr>
          <w:rFonts w:ascii="Garamond" w:hAnsi="Garamond" w:cs="Garamond-Bold"/>
          <w:bCs/>
          <w:spacing w:val="-4"/>
          <w:sz w:val="24"/>
          <w:szCs w:val="24"/>
          <w:lang w:val="sq-AL"/>
        </w:rPr>
        <w:t>për vlera deri në një shumë të përcaktuar me vendim të Këshillit të Ministrave</w:t>
      </w:r>
      <w:r w:rsidRPr="00DC7C85">
        <w:rPr>
          <w:rFonts w:ascii="Garamond" w:hAnsi="Garamond"/>
          <w:bCs/>
          <w:spacing w:val="-4"/>
          <w:sz w:val="24"/>
          <w:szCs w:val="24"/>
          <w:lang w:val="sq-AL"/>
        </w:rPr>
        <w:t>.</w:t>
      </w:r>
      <w:r w:rsidRPr="00DC7C85">
        <w:rPr>
          <w:rFonts w:ascii="Garamond" w:hAnsi="Garamond"/>
          <w:spacing w:val="-4"/>
          <w:sz w:val="24"/>
          <w:szCs w:val="24"/>
          <w:lang w:val="sq-AL"/>
        </w:rPr>
        <w:t xml:space="preserve"> Drejtori i Drejtorisë së Apelimit Tatimor emërohet dhe lirohet sipas dispozitave të legjislacionit për nëpunësin civil.</w:t>
      </w:r>
    </w:p>
    <w:p w:rsidR="004B0F47" w:rsidRPr="00DC7C85" w:rsidRDefault="004B0F47" w:rsidP="004B0F47">
      <w:pPr>
        <w:pStyle w:val="ListParagraph"/>
        <w:widowControl w:val="0"/>
        <w:spacing w:after="0" w:line="240" w:lineRule="auto"/>
        <w:ind w:left="0" w:firstLine="284"/>
        <w:jc w:val="both"/>
        <w:rPr>
          <w:rFonts w:ascii="Garamond" w:hAnsi="Garamond"/>
          <w:spacing w:val="-4"/>
          <w:sz w:val="24"/>
          <w:szCs w:val="24"/>
          <w:lang w:val="sq-AL"/>
        </w:rPr>
      </w:pPr>
      <w:r w:rsidRPr="00DC7C85">
        <w:rPr>
          <w:rFonts w:ascii="Garamond" w:hAnsi="Garamond"/>
          <w:spacing w:val="-4"/>
          <w:sz w:val="24"/>
          <w:szCs w:val="24"/>
          <w:lang w:val="sq-AL"/>
        </w:rPr>
        <w:tab/>
        <w:t>2. Për shqyrtimin dhe vendimmarrjen e apelimeve tatimore, për vlera mbi shumën e përcaktuar me vendim të Këshillit të Ministrave, në Ministrinë e Financave ngrihet Komisioni për Shqyrtimin e Apelimit Tatimor, në përbërje të të cilit janë 7 anëtarë, tre përfaqësues të Ministrisë së Financave, dy përfaqësues të Drejtorisë së Përgjithshme të Tatimeve, Drejtori i Apelimit Tatimor dhe një përfaqësues i Avokaturës së Shtetit.</w:t>
      </w:r>
    </w:p>
    <w:p w:rsidR="004B0F47" w:rsidRPr="00DC7C85" w:rsidRDefault="004B0F47" w:rsidP="004B0F47">
      <w:pPr>
        <w:pStyle w:val="ListParagraph"/>
        <w:widowControl w:val="0"/>
        <w:spacing w:after="0" w:line="240" w:lineRule="auto"/>
        <w:ind w:left="0" w:firstLine="284"/>
        <w:jc w:val="both"/>
        <w:rPr>
          <w:rFonts w:ascii="Garamond" w:hAnsi="Garamond"/>
          <w:spacing w:val="-4"/>
          <w:sz w:val="24"/>
          <w:szCs w:val="24"/>
          <w:lang w:val="sq-AL"/>
        </w:rPr>
      </w:pPr>
      <w:r w:rsidRPr="00DC7C85">
        <w:rPr>
          <w:rFonts w:ascii="Garamond" w:hAnsi="Garamond"/>
          <w:spacing w:val="-4"/>
          <w:sz w:val="24"/>
          <w:szCs w:val="24"/>
          <w:lang w:val="sq-AL"/>
        </w:rPr>
        <w:tab/>
        <w:t>3. Procedurat e funksionimit të Komisionit për Shqyrtimin e Apelimeve Tatimore, përfshirë përbërjen, kryesimin, sekretariatin, ndryshimin e anëtarëve dhe masën e shpërblimit të tyre, si dhe procedurat e shqyrtimit të ankimit e të vendimmarrjes dhe kufiri i vlerës objekt ankimi, vendimmarrja e të cilave bëhet nga ky komision, përcaktohen me vendim të Këshillit të Ministrave.</w:t>
      </w:r>
    </w:p>
    <w:p w:rsidR="004B0F47" w:rsidRPr="00DC7C85" w:rsidRDefault="004B0F47" w:rsidP="004B0F47">
      <w:pPr>
        <w:pStyle w:val="ListParagraph"/>
        <w:widowControl w:val="0"/>
        <w:spacing w:after="0" w:line="240" w:lineRule="auto"/>
        <w:ind w:left="0" w:firstLine="284"/>
        <w:jc w:val="both"/>
        <w:rPr>
          <w:rFonts w:ascii="Garamond" w:hAnsi="Garamond"/>
          <w:spacing w:val="-4"/>
          <w:sz w:val="24"/>
          <w:szCs w:val="24"/>
          <w:lang w:val="sq-AL"/>
        </w:rPr>
      </w:pPr>
      <w:r w:rsidRPr="00DC7C85">
        <w:rPr>
          <w:rFonts w:ascii="Garamond" w:hAnsi="Garamond"/>
          <w:spacing w:val="-4"/>
          <w:sz w:val="24"/>
          <w:szCs w:val="24"/>
          <w:lang w:val="sq-AL"/>
        </w:rPr>
        <w:tab/>
        <w:t>4. Drejtoria e Apelimit Tatimor dhe Komisioni për Shqyrtimin e Apelimeve Tatimore për procesin e ankimit administrativ tatimor u nënshtrohen dispozitave të kreut XIII të këtij ligji.”.   </w:t>
      </w:r>
    </w:p>
    <w:p w:rsidR="004B0F47" w:rsidRDefault="004B0F47" w:rsidP="004B0F47">
      <w:pPr>
        <w:widowControl w:val="0"/>
        <w:autoSpaceDE w:val="0"/>
        <w:autoSpaceDN w:val="0"/>
        <w:adjustRightInd w:val="0"/>
        <w:spacing w:after="0" w:line="240" w:lineRule="auto"/>
        <w:jc w:val="center"/>
        <w:rPr>
          <w:rFonts w:ascii="Garamond" w:hAnsi="Garamond"/>
          <w:spacing w:val="-4"/>
          <w:sz w:val="24"/>
          <w:szCs w:val="24"/>
          <w:lang w:val="sq-AL"/>
        </w:rPr>
      </w:pPr>
    </w:p>
    <w:p w:rsidR="004B0F47" w:rsidRPr="00DC7C85" w:rsidRDefault="004B0F47" w:rsidP="004B0F47">
      <w:pPr>
        <w:widowControl w:val="0"/>
        <w:autoSpaceDE w:val="0"/>
        <w:autoSpaceDN w:val="0"/>
        <w:adjustRightInd w:val="0"/>
        <w:spacing w:after="0" w:line="240" w:lineRule="auto"/>
        <w:jc w:val="center"/>
        <w:rPr>
          <w:rFonts w:ascii="Garamond" w:hAnsi="Garamond"/>
          <w:spacing w:val="-4"/>
          <w:sz w:val="24"/>
          <w:szCs w:val="24"/>
          <w:lang w:val="sq-AL"/>
        </w:rPr>
      </w:pPr>
      <w:r w:rsidRPr="00DC7C85">
        <w:rPr>
          <w:rFonts w:ascii="Garamond" w:hAnsi="Garamond"/>
          <w:spacing w:val="-4"/>
          <w:sz w:val="24"/>
          <w:szCs w:val="24"/>
          <w:lang w:val="sq-AL"/>
        </w:rPr>
        <w:lastRenderedPageBreak/>
        <w:t>Neni 7</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b/>
          <w:spacing w:val="-4"/>
          <w:sz w:val="24"/>
          <w:szCs w:val="24"/>
          <w:lang w:val="sq-AL"/>
        </w:rPr>
      </w:pPr>
      <w:r w:rsidRPr="00DC7C85">
        <w:rPr>
          <w:rFonts w:ascii="Garamond" w:hAnsi="Garamond"/>
          <w:spacing w:val="-4"/>
          <w:sz w:val="24"/>
          <w:szCs w:val="24"/>
          <w:lang w:val="sq-AL"/>
        </w:rPr>
        <w:t>Neni 19 ndryshohet si më poshtë:</w:t>
      </w:r>
      <w:r w:rsidRPr="00DC7C85">
        <w:rPr>
          <w:rFonts w:ascii="Garamond" w:hAnsi="Garamond"/>
          <w:b/>
          <w:spacing w:val="-4"/>
          <w:sz w:val="24"/>
          <w:szCs w:val="24"/>
          <w:lang w:val="sq-AL"/>
        </w:rPr>
        <w:t xml:space="preserve"> </w:t>
      </w:r>
    </w:p>
    <w:p w:rsidR="004B0F47" w:rsidRPr="00DC7C85" w:rsidRDefault="004B0F47" w:rsidP="004B0F47">
      <w:pPr>
        <w:pStyle w:val="NeniNr"/>
        <w:keepNext w:val="0"/>
        <w:rPr>
          <w:rStyle w:val="Strong"/>
          <w:b w:val="0"/>
          <w:spacing w:val="-4"/>
          <w:szCs w:val="24"/>
          <w:lang w:val="sq-AL"/>
        </w:rPr>
      </w:pPr>
      <w:r w:rsidRPr="00DC7C85">
        <w:rPr>
          <w:rStyle w:val="Strong"/>
          <w:spacing w:val="-4"/>
          <w:szCs w:val="24"/>
          <w:lang w:val="sq-AL"/>
        </w:rPr>
        <w:t>“Neni 19</w:t>
      </w:r>
    </w:p>
    <w:p w:rsidR="004B0F47" w:rsidRPr="00DC7C85" w:rsidRDefault="004B0F47" w:rsidP="004B0F47">
      <w:pPr>
        <w:widowControl w:val="0"/>
        <w:autoSpaceDE w:val="0"/>
        <w:autoSpaceDN w:val="0"/>
        <w:adjustRightInd w:val="0"/>
        <w:spacing w:after="0" w:line="240" w:lineRule="auto"/>
        <w:jc w:val="center"/>
        <w:rPr>
          <w:rStyle w:val="Strong"/>
          <w:rFonts w:ascii="Garamond" w:hAnsi="Garamond"/>
          <w:spacing w:val="-4"/>
          <w:sz w:val="24"/>
          <w:szCs w:val="24"/>
          <w:lang w:val="sq-AL"/>
        </w:rPr>
      </w:pPr>
      <w:r w:rsidRPr="00DC7C85">
        <w:rPr>
          <w:rStyle w:val="Strong"/>
          <w:rFonts w:ascii="Garamond" w:hAnsi="Garamond"/>
          <w:spacing w:val="-4"/>
          <w:sz w:val="24"/>
          <w:szCs w:val="24"/>
          <w:lang w:val="sq-AL"/>
        </w:rPr>
        <w:t>Marrëdhënia e punës për personelin e administratës tatimore</w:t>
      </w:r>
    </w:p>
    <w:p w:rsidR="004B0F47" w:rsidRPr="006C41D4" w:rsidRDefault="004B0F47" w:rsidP="004B0F47">
      <w:pPr>
        <w:pStyle w:val="Hapesira7"/>
        <w:rPr>
          <w:rStyle w:val="Strong"/>
          <w:b w:val="0"/>
          <w:spacing w:val="-4"/>
          <w:sz w:val="10"/>
          <w:lang w:val="sq-AL"/>
        </w:rPr>
      </w:pPr>
    </w:p>
    <w:p w:rsidR="004B0F47" w:rsidRPr="00DC7C85" w:rsidRDefault="004B0F47" w:rsidP="004B0F47">
      <w:pPr>
        <w:widowControl w:val="0"/>
        <w:autoSpaceDE w:val="0"/>
        <w:autoSpaceDN w:val="0"/>
        <w:adjustRightInd w:val="0"/>
        <w:spacing w:after="0" w:line="240" w:lineRule="auto"/>
        <w:rPr>
          <w:rStyle w:val="Strong"/>
          <w:rFonts w:ascii="Garamond" w:hAnsi="Garamond"/>
          <w:b w:val="0"/>
          <w:spacing w:val="-4"/>
          <w:sz w:val="24"/>
          <w:szCs w:val="24"/>
          <w:lang w:val="sq-AL"/>
        </w:rPr>
      </w:pPr>
      <w:r w:rsidRPr="00DC7C85">
        <w:rPr>
          <w:rStyle w:val="Strong"/>
          <w:rFonts w:ascii="Garamond" w:hAnsi="Garamond"/>
          <w:spacing w:val="-4"/>
          <w:sz w:val="24"/>
          <w:szCs w:val="24"/>
          <w:lang w:val="sq-AL"/>
        </w:rPr>
        <w:tab/>
        <w:t xml:space="preserve">1. Marrëdhëniet e punës </w:t>
      </w:r>
      <w:r>
        <w:rPr>
          <w:rStyle w:val="Strong"/>
          <w:rFonts w:ascii="Garamond" w:hAnsi="Garamond"/>
          <w:spacing w:val="-4"/>
          <w:sz w:val="24"/>
          <w:szCs w:val="24"/>
          <w:lang w:val="sq-AL"/>
        </w:rPr>
        <w:t xml:space="preserve">së </w:t>
      </w:r>
      <w:r w:rsidRPr="00DC7C85">
        <w:rPr>
          <w:rStyle w:val="Strong"/>
          <w:rFonts w:ascii="Garamond" w:hAnsi="Garamond"/>
          <w:spacing w:val="-4"/>
          <w:sz w:val="24"/>
          <w:szCs w:val="24"/>
          <w:lang w:val="sq-AL"/>
        </w:rPr>
        <w:t xml:space="preserve">nëpunësve të administratës tatimore rregullohen sipas dispozitave </w:t>
      </w:r>
      <w:r>
        <w:rPr>
          <w:rStyle w:val="Strong"/>
          <w:rFonts w:ascii="Garamond" w:hAnsi="Garamond"/>
          <w:spacing w:val="-4"/>
          <w:sz w:val="24"/>
          <w:szCs w:val="24"/>
          <w:lang w:val="sq-AL"/>
        </w:rPr>
        <w:t xml:space="preserve">të legjislacionit për nëpunësin </w:t>
      </w:r>
      <w:r w:rsidRPr="00DC7C85">
        <w:rPr>
          <w:rStyle w:val="Strong"/>
          <w:rFonts w:ascii="Garamond" w:hAnsi="Garamond"/>
          <w:spacing w:val="-4"/>
          <w:sz w:val="24"/>
          <w:szCs w:val="24"/>
          <w:lang w:val="sq-AL"/>
        </w:rPr>
        <w:t>civil, përveç rasteve kur në këtë ligj parashikohet ndryshe. </w:t>
      </w:r>
    </w:p>
    <w:p w:rsidR="004B0F47" w:rsidRPr="00DC7C85" w:rsidRDefault="004B0F47" w:rsidP="004B0F47">
      <w:pPr>
        <w:widowControl w:val="0"/>
        <w:autoSpaceDE w:val="0"/>
        <w:autoSpaceDN w:val="0"/>
        <w:adjustRightInd w:val="0"/>
        <w:spacing w:after="0" w:line="240" w:lineRule="auto"/>
        <w:rPr>
          <w:rStyle w:val="Strong"/>
          <w:rFonts w:ascii="Garamond" w:hAnsi="Garamond"/>
          <w:b w:val="0"/>
          <w:bCs w:val="0"/>
          <w:spacing w:val="-4"/>
          <w:sz w:val="24"/>
          <w:szCs w:val="24"/>
          <w:lang w:val="sq-AL"/>
        </w:rPr>
      </w:pPr>
      <w:r w:rsidRPr="00DC7C85">
        <w:rPr>
          <w:rStyle w:val="Strong"/>
          <w:rFonts w:ascii="Garamond" w:hAnsi="Garamond"/>
          <w:spacing w:val="-4"/>
          <w:sz w:val="24"/>
          <w:szCs w:val="24"/>
          <w:lang w:val="sq-AL"/>
        </w:rPr>
        <w:tab/>
        <w:t>2. Marrëdhëniet</w:t>
      </w:r>
      <w:r>
        <w:rPr>
          <w:rStyle w:val="Strong"/>
          <w:rFonts w:ascii="Garamond" w:hAnsi="Garamond"/>
          <w:spacing w:val="-4"/>
          <w:sz w:val="24"/>
          <w:szCs w:val="24"/>
          <w:lang w:val="sq-AL"/>
        </w:rPr>
        <w:t xml:space="preserve"> e punës së punonjësve të tjerë të </w:t>
      </w:r>
      <w:r w:rsidRPr="00DC7C85">
        <w:rPr>
          <w:rStyle w:val="Strong"/>
          <w:rFonts w:ascii="Garamond" w:hAnsi="Garamond"/>
          <w:spacing w:val="-4"/>
          <w:sz w:val="24"/>
          <w:szCs w:val="24"/>
          <w:lang w:val="sq-AL"/>
        </w:rPr>
        <w:t xml:space="preserve">administratës tatimore që nuk i nënshtrohen legjislacionit për nëpunësin civil, rregullohen në bazë të dispozitave të Kodit të Punës.”. </w:t>
      </w:r>
    </w:p>
    <w:p w:rsidR="004B0F47" w:rsidRPr="006C41D4" w:rsidRDefault="004B0F47" w:rsidP="004B0F47">
      <w:pPr>
        <w:pStyle w:val="Hapesira7"/>
        <w:rPr>
          <w:rStyle w:val="Strong"/>
          <w:b w:val="0"/>
          <w:spacing w:val="-4"/>
          <w:sz w:val="12"/>
          <w:lang w:val="sq-AL"/>
        </w:rPr>
      </w:pPr>
    </w:p>
    <w:p w:rsidR="004B0F47" w:rsidRPr="00DC7C85" w:rsidRDefault="004B0F47" w:rsidP="004B0F47">
      <w:pPr>
        <w:pStyle w:val="NeniNr"/>
        <w:keepNext w:val="0"/>
        <w:rPr>
          <w:b/>
        </w:rPr>
      </w:pPr>
      <w:r w:rsidRPr="00DC7C85">
        <w:t>Neni 8</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Neni 20 ndryshohet si më poshtë:</w:t>
      </w:r>
    </w:p>
    <w:p w:rsidR="004B0F47" w:rsidRPr="006C41D4" w:rsidRDefault="004B0F47" w:rsidP="004B0F47">
      <w:pPr>
        <w:pStyle w:val="Hapesira7"/>
        <w:rPr>
          <w:sz w:val="12"/>
          <w:lang w:val="sq-AL"/>
        </w:rPr>
      </w:pPr>
    </w:p>
    <w:p w:rsidR="004B0F47" w:rsidRPr="00DC7C85" w:rsidRDefault="004B0F47" w:rsidP="004B0F47">
      <w:pPr>
        <w:pStyle w:val="NeniNr"/>
        <w:keepNext w:val="0"/>
      </w:pPr>
      <w:r w:rsidRPr="00DC7C85">
        <w:t>“Neni 20</w:t>
      </w:r>
    </w:p>
    <w:p w:rsidR="004B0F47" w:rsidRPr="00DC7C85" w:rsidRDefault="004B0F47" w:rsidP="004B0F47">
      <w:pPr>
        <w:widowControl w:val="0"/>
        <w:autoSpaceDE w:val="0"/>
        <w:autoSpaceDN w:val="0"/>
        <w:adjustRightInd w:val="0"/>
        <w:spacing w:after="0" w:line="240" w:lineRule="auto"/>
        <w:jc w:val="center"/>
        <w:rPr>
          <w:rFonts w:ascii="Garamond" w:hAnsi="Garamond"/>
          <w:b/>
          <w:spacing w:val="-4"/>
          <w:sz w:val="24"/>
          <w:szCs w:val="24"/>
          <w:lang w:val="sq-AL"/>
        </w:rPr>
      </w:pPr>
      <w:r w:rsidRPr="00DC7C85">
        <w:rPr>
          <w:rFonts w:ascii="Garamond" w:hAnsi="Garamond"/>
          <w:b/>
          <w:bCs/>
          <w:spacing w:val="-4"/>
          <w:sz w:val="24"/>
          <w:szCs w:val="24"/>
          <w:lang w:val="sq-AL"/>
        </w:rPr>
        <w:t>Punësimi dhe kategoritë e punësimit</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w:t>
      </w:r>
      <w:r w:rsidRPr="00DC7C85">
        <w:rPr>
          <w:rFonts w:ascii="Garamond" w:hAnsi="Garamond"/>
          <w:spacing w:val="-4"/>
          <w:sz w:val="24"/>
          <w:szCs w:val="24"/>
          <w:lang w:val="sq-AL"/>
        </w:rPr>
        <w:tab/>
      </w:r>
      <w:r>
        <w:rPr>
          <w:rFonts w:ascii="Garamond" w:hAnsi="Garamond"/>
          <w:spacing w:val="-4"/>
          <w:sz w:val="24"/>
          <w:szCs w:val="24"/>
          <w:lang w:val="sq-AL"/>
        </w:rPr>
        <w:t xml:space="preserve"> </w:t>
      </w:r>
      <w:r w:rsidRPr="00DC7C85">
        <w:rPr>
          <w:rFonts w:ascii="Garamond" w:hAnsi="Garamond"/>
          <w:spacing w:val="-4"/>
          <w:sz w:val="24"/>
          <w:szCs w:val="24"/>
          <w:lang w:val="sq-AL"/>
        </w:rPr>
        <w:t>Përveçse kur në këtë ligj përcaktohet ndryshe, Drejtori i Përgjithshëm i Tatimeve merr masat për respektimin e dispozitave ligjore për procedurat e punësimit e të rekrutimit të personelit të administratës tatimore qendrore, sipas pikës 2, të nenit 19, të këtij ligji, marrëdhënia e punës e të cilëve rregullohet në përputhje me Kodin e Punës.</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2.</w:t>
      </w:r>
      <w:r w:rsidRPr="00DC7C85">
        <w:rPr>
          <w:rFonts w:ascii="Garamond" w:hAnsi="Garamond"/>
          <w:spacing w:val="-4"/>
          <w:sz w:val="24"/>
          <w:szCs w:val="24"/>
          <w:lang w:val="sq-AL"/>
        </w:rPr>
        <w:tab/>
      </w:r>
      <w:r>
        <w:rPr>
          <w:rFonts w:ascii="Garamond" w:hAnsi="Garamond"/>
          <w:spacing w:val="-4"/>
          <w:sz w:val="24"/>
          <w:szCs w:val="24"/>
          <w:lang w:val="sq-AL"/>
        </w:rPr>
        <w:t xml:space="preserve"> </w:t>
      </w:r>
      <w:r w:rsidRPr="00DC7C85">
        <w:rPr>
          <w:rFonts w:ascii="Garamond" w:hAnsi="Garamond"/>
          <w:spacing w:val="-4"/>
          <w:sz w:val="24"/>
          <w:szCs w:val="24"/>
          <w:lang w:val="sq-AL"/>
        </w:rPr>
        <w:t>Për kategorinë e punonjësve, sipas pikës 1, të nenit 19, të këtij ligji, procedurat e punësimit, të lëvizjes paralele e të ngritjes në detyrë të tyre kryhen në përputhje me dispozitat</w:t>
      </w:r>
      <w:r>
        <w:rPr>
          <w:rFonts w:ascii="Garamond" w:hAnsi="Garamond"/>
          <w:spacing w:val="-4"/>
          <w:sz w:val="24"/>
          <w:szCs w:val="24"/>
          <w:lang w:val="sq-AL"/>
        </w:rPr>
        <w:t xml:space="preserve"> e ligjit për nëpunësin civil.</w:t>
      </w:r>
    </w:p>
    <w:p w:rsidR="004B0F47" w:rsidRPr="00DC7C85" w:rsidRDefault="004B0F47" w:rsidP="004B0F47">
      <w:pPr>
        <w:widowControl w:val="0"/>
        <w:autoSpaceDE w:val="0"/>
        <w:autoSpaceDN w:val="0"/>
        <w:adjustRightInd w:val="0"/>
        <w:spacing w:after="0" w:line="240" w:lineRule="auto"/>
        <w:rPr>
          <w:rFonts w:ascii="Garamond" w:hAnsi="Garamond"/>
          <w:b/>
          <w:spacing w:val="-4"/>
          <w:sz w:val="24"/>
          <w:szCs w:val="24"/>
          <w:lang w:val="sq-AL"/>
        </w:rPr>
      </w:pPr>
      <w:r w:rsidRPr="00DC7C85">
        <w:rPr>
          <w:rFonts w:ascii="Garamond" w:hAnsi="Garamond"/>
          <w:spacing w:val="-4"/>
          <w:sz w:val="24"/>
          <w:szCs w:val="24"/>
          <w:lang w:val="sq-AL"/>
        </w:rPr>
        <w:tab/>
        <w:t>3.</w:t>
      </w:r>
      <w:r w:rsidRPr="00DC7C85">
        <w:rPr>
          <w:rFonts w:ascii="Garamond" w:hAnsi="Garamond"/>
          <w:spacing w:val="-4"/>
          <w:sz w:val="24"/>
          <w:szCs w:val="24"/>
          <w:lang w:val="sq-AL"/>
        </w:rPr>
        <w:tab/>
      </w:r>
      <w:r>
        <w:rPr>
          <w:rFonts w:ascii="Garamond" w:hAnsi="Garamond"/>
          <w:spacing w:val="-4"/>
          <w:sz w:val="24"/>
          <w:szCs w:val="24"/>
          <w:lang w:val="sq-AL"/>
        </w:rPr>
        <w:t xml:space="preserve"> </w:t>
      </w:r>
      <w:r w:rsidRPr="00DC7C85">
        <w:rPr>
          <w:rFonts w:ascii="Garamond" w:hAnsi="Garamond"/>
          <w:spacing w:val="-4"/>
          <w:sz w:val="24"/>
          <w:szCs w:val="24"/>
          <w:lang w:val="sq-AL"/>
        </w:rPr>
        <w:t xml:space="preserve">Nivelet e pagave për çdo kategori miratohen sipas legjislacionit të fushës në fuqi.”.  </w:t>
      </w:r>
    </w:p>
    <w:p w:rsidR="004B0F47" w:rsidRPr="006C41D4" w:rsidRDefault="004B0F47" w:rsidP="004B0F47">
      <w:pPr>
        <w:pStyle w:val="Hapesira7"/>
        <w:rPr>
          <w:sz w:val="8"/>
          <w:lang w:val="sq-AL"/>
        </w:rPr>
      </w:pPr>
    </w:p>
    <w:p w:rsidR="004B0F47" w:rsidRPr="00DC7C85" w:rsidRDefault="004B0F47" w:rsidP="004B0F47">
      <w:pPr>
        <w:pStyle w:val="NeniNr"/>
        <w:keepNext w:val="0"/>
      </w:pPr>
      <w:r w:rsidRPr="00DC7C85">
        <w:t>Neni 9</w:t>
      </w:r>
    </w:p>
    <w:p w:rsidR="004B0F47" w:rsidRPr="006C41D4" w:rsidRDefault="004B0F47" w:rsidP="004B0F47">
      <w:pPr>
        <w:pStyle w:val="Hapesira7"/>
        <w:rPr>
          <w:sz w:val="10"/>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Neni 22 ndryshohet si më poshtë:</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22</w:t>
      </w:r>
    </w:p>
    <w:p w:rsidR="004B0F47" w:rsidRPr="00DC7C85" w:rsidRDefault="004B0F47" w:rsidP="004B0F47">
      <w:pPr>
        <w:widowControl w:val="0"/>
        <w:autoSpaceDE w:val="0"/>
        <w:autoSpaceDN w:val="0"/>
        <w:adjustRightInd w:val="0"/>
        <w:spacing w:after="0" w:line="240" w:lineRule="auto"/>
        <w:jc w:val="center"/>
        <w:rPr>
          <w:rFonts w:ascii="Garamond" w:hAnsi="Garamond"/>
          <w:b/>
          <w:bCs/>
          <w:spacing w:val="-4"/>
          <w:sz w:val="24"/>
          <w:szCs w:val="24"/>
          <w:lang w:val="sq-AL"/>
        </w:rPr>
      </w:pPr>
      <w:r w:rsidRPr="00DC7C85">
        <w:rPr>
          <w:rFonts w:ascii="Garamond" w:hAnsi="Garamond"/>
          <w:b/>
          <w:bCs/>
          <w:spacing w:val="-4"/>
          <w:sz w:val="24"/>
          <w:szCs w:val="24"/>
          <w:lang w:val="sq-AL"/>
        </w:rPr>
        <w:t xml:space="preserve">Procedura disiplinore </w:t>
      </w:r>
    </w:p>
    <w:p w:rsidR="004B0F47" w:rsidRPr="006C41D4" w:rsidRDefault="004B0F47" w:rsidP="004B0F47">
      <w:pPr>
        <w:pStyle w:val="Hapesira7"/>
        <w:rPr>
          <w:sz w:val="10"/>
          <w:lang w:val="sq-AL"/>
        </w:rPr>
      </w:pP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bCs/>
          <w:spacing w:val="-4"/>
          <w:sz w:val="24"/>
          <w:szCs w:val="24"/>
          <w:lang w:val="sq-AL"/>
        </w:rPr>
        <w:tab/>
        <w:t>1.</w:t>
      </w:r>
      <w:r w:rsidRPr="00DC7C85">
        <w:rPr>
          <w:rFonts w:ascii="Garamond" w:hAnsi="Garamond"/>
          <w:b/>
          <w:bCs/>
          <w:spacing w:val="-4"/>
          <w:sz w:val="24"/>
          <w:szCs w:val="24"/>
          <w:lang w:val="sq-AL"/>
        </w:rPr>
        <w:tab/>
      </w:r>
      <w:r w:rsidRPr="00DC7C85">
        <w:rPr>
          <w:rFonts w:ascii="Garamond" w:hAnsi="Garamond"/>
          <w:spacing w:val="-4"/>
          <w:sz w:val="24"/>
          <w:szCs w:val="24"/>
          <w:lang w:val="sq-AL"/>
        </w:rPr>
        <w:t xml:space="preserve">Procedurat për shkeljet dhe masat disiplinore të nëpunësve të administratës tatimore qendrore, që janë nëpunës civilë, bëhen në përputhje me ligjin për nëpunësin civil. </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2. Për punonjësit e tjerë të administratës tatimore qendrore zbatohen  dispozitat e Kodit të Punës. </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bCs/>
          <w:spacing w:val="-4"/>
          <w:sz w:val="24"/>
          <w:szCs w:val="24"/>
          <w:lang w:val="sq-AL"/>
        </w:rPr>
        <w:tab/>
        <w:t xml:space="preserve">3. </w:t>
      </w:r>
      <w:r w:rsidRPr="00DC7C85">
        <w:rPr>
          <w:rFonts w:ascii="Garamond" w:hAnsi="Garamond"/>
          <w:bCs/>
          <w:spacing w:val="-4"/>
          <w:sz w:val="24"/>
          <w:szCs w:val="24"/>
          <w:lang w:val="sq-AL"/>
        </w:rPr>
        <w:tab/>
        <w:t>Për zbatimin e pikës 2, të këtij neni,</w:t>
      </w:r>
      <w:r w:rsidRPr="00DC7C85">
        <w:rPr>
          <w:rFonts w:ascii="Garamond" w:hAnsi="Garamond"/>
          <w:b/>
          <w:bCs/>
          <w:spacing w:val="-4"/>
          <w:sz w:val="24"/>
          <w:szCs w:val="24"/>
          <w:lang w:val="sq-AL"/>
        </w:rPr>
        <w:t xml:space="preserve"> </w:t>
      </w:r>
      <w:r w:rsidRPr="00DC7C85">
        <w:rPr>
          <w:rFonts w:ascii="Garamond" w:hAnsi="Garamond"/>
          <w:spacing w:val="-4"/>
          <w:sz w:val="24"/>
          <w:szCs w:val="24"/>
          <w:lang w:val="sq-AL"/>
        </w:rPr>
        <w:t>Drejtori i Përgjithshëm i Tatimeve miraton një rregullore të brendshme të institucionit, në të cilën detajohen rastet e shkeljeve disiplinore, në përputhje me legjislacionin në fuqi.”.</w:t>
      </w:r>
    </w:p>
    <w:p w:rsidR="004B0F47" w:rsidRPr="00DC7C85" w:rsidRDefault="004B0F47" w:rsidP="004B0F47">
      <w:pPr>
        <w:pStyle w:val="NeniNr"/>
        <w:keepNext w:val="0"/>
      </w:pPr>
      <w:r w:rsidRPr="00DC7C85">
        <w:t>Neni 10</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23 bëhen ndryshimet dhe shtesa e mëposhtme:</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 Në pikën 2, lidhëza “ose”, që lidh shkronjën “a” me shkronjën “b”, zëvendësohet me lidhëzën “dhe”.</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2. Në fjalinë e parë, të pikës 3, lidhëza “apo” zëvendësohet me lidhëzën “dhe”.</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3. Pas pikës 3 shtohet pika 3/1 me këtë përmbajtje:</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“3/1. Për qëllime të përcaktimit të fillimit të afatit për marrjen e akteve tatimore, sipas këtij ligji, në llogaritjen e afateve në përputhje me Kodin e Procedurave Administrative nuk përfshihet dita në të cilën del akti. Llogaritja e afatit fillon nga e nesërmja e ditës kur akti është marrë ose konsiderohet të jetë </w:t>
      </w:r>
      <w:r w:rsidRPr="00DC7C85">
        <w:rPr>
          <w:rFonts w:ascii="Garamond" w:hAnsi="Garamond"/>
          <w:spacing w:val="-4"/>
          <w:sz w:val="24"/>
          <w:szCs w:val="24"/>
          <w:lang w:val="sq-AL"/>
        </w:rPr>
        <w:lastRenderedPageBreak/>
        <w:t xml:space="preserve">marrë nga tatimpaguesi.”. </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11</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bCs/>
          <w:spacing w:val="-4"/>
          <w:sz w:val="24"/>
          <w:szCs w:val="24"/>
          <w:lang w:val="sq-AL"/>
        </w:rPr>
      </w:pPr>
      <w:r w:rsidRPr="00DC7C85">
        <w:rPr>
          <w:rFonts w:ascii="Garamond" w:hAnsi="Garamond"/>
          <w:bCs/>
          <w:spacing w:val="-4"/>
          <w:sz w:val="24"/>
          <w:szCs w:val="24"/>
          <w:lang w:val="sq-AL"/>
        </w:rPr>
        <w:tab/>
        <w:t>Në nenin 28 bëhen këto shtesa dhe ndryshime:</w:t>
      </w:r>
    </w:p>
    <w:p w:rsidR="004B0F47" w:rsidRPr="00DC7C85" w:rsidRDefault="004B0F47" w:rsidP="004B0F47">
      <w:pPr>
        <w:pStyle w:val="ListParagraph"/>
        <w:widowControl w:val="0"/>
        <w:autoSpaceDE w:val="0"/>
        <w:autoSpaceDN w:val="0"/>
        <w:adjustRightInd w:val="0"/>
        <w:spacing w:after="0" w:line="240" w:lineRule="auto"/>
        <w:ind w:left="0" w:firstLine="284"/>
        <w:jc w:val="both"/>
        <w:rPr>
          <w:rFonts w:ascii="Garamond" w:hAnsi="Garamond"/>
          <w:bCs/>
          <w:spacing w:val="-4"/>
          <w:sz w:val="24"/>
          <w:szCs w:val="24"/>
          <w:lang w:val="sq-AL"/>
        </w:rPr>
      </w:pPr>
      <w:r w:rsidRPr="00DC7C85">
        <w:rPr>
          <w:rFonts w:ascii="Garamond" w:hAnsi="Garamond"/>
          <w:bCs/>
          <w:spacing w:val="-4"/>
          <w:sz w:val="24"/>
          <w:szCs w:val="24"/>
          <w:lang w:val="sq-AL"/>
        </w:rPr>
        <w:tab/>
        <w:t>1. Në fund të pikës 1 shtohet paragrafi me këtë përmbajtje:</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“Drejtoria e Përgjithshme e Tatimeve, duke ruajtur të dhënat konfidenciale të tatimpaguesit, për qëllime të informimit, publikon në faqen e saj zyrtare të internetit opinionet e nxjerra prej saj, që japin qëndrime për zbatimin e legjislacionit tatimor.”.</w:t>
      </w:r>
    </w:p>
    <w:p w:rsidR="004B0F47" w:rsidRPr="00DC7C85" w:rsidRDefault="004B0F47" w:rsidP="004B0F47">
      <w:pPr>
        <w:pStyle w:val="ListParagraph"/>
        <w:widowControl w:val="0"/>
        <w:autoSpaceDE w:val="0"/>
        <w:autoSpaceDN w:val="0"/>
        <w:adjustRightInd w:val="0"/>
        <w:spacing w:after="0" w:line="240" w:lineRule="auto"/>
        <w:ind w:left="0" w:firstLine="284"/>
        <w:jc w:val="both"/>
        <w:rPr>
          <w:rFonts w:ascii="Garamond" w:hAnsi="Garamond"/>
          <w:bCs/>
          <w:spacing w:val="-4"/>
          <w:sz w:val="24"/>
          <w:szCs w:val="24"/>
          <w:lang w:val="sq-AL"/>
        </w:rPr>
      </w:pPr>
      <w:r w:rsidRPr="00DC7C85">
        <w:rPr>
          <w:rFonts w:ascii="Garamond" w:hAnsi="Garamond"/>
          <w:bCs/>
          <w:spacing w:val="-4"/>
          <w:sz w:val="24"/>
          <w:szCs w:val="24"/>
          <w:lang w:val="sq-AL"/>
        </w:rPr>
        <w:tab/>
        <w:t>2. Në fund të pikës 2 shtohet paragrafi me këtë përmbajtje:</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bCs/>
          <w:spacing w:val="-4"/>
          <w:sz w:val="24"/>
          <w:szCs w:val="24"/>
          <w:lang w:val="sq-AL"/>
        </w:rPr>
        <w:tab/>
        <w:t>“</w:t>
      </w:r>
      <w:r w:rsidRPr="00DC7C85">
        <w:rPr>
          <w:rFonts w:ascii="Garamond" w:hAnsi="Garamond"/>
          <w:spacing w:val="-4"/>
          <w:sz w:val="24"/>
          <w:szCs w:val="24"/>
          <w:lang w:val="sq-AL"/>
        </w:rPr>
        <w:t>Administrata tatimore publikon dhe mban të përditësuara aktet ligjore dhe nënligjore tatimore, sipas përcaktimit të bërë në udhëzimin e Ministrit të Financave.”.</w:t>
      </w:r>
    </w:p>
    <w:p w:rsidR="004B0F47" w:rsidRPr="00DC7C85" w:rsidRDefault="004B0F47" w:rsidP="004B0F47">
      <w:pPr>
        <w:widowControl w:val="0"/>
        <w:spacing w:after="0" w:line="240" w:lineRule="auto"/>
        <w:rPr>
          <w:rFonts w:ascii="Garamond" w:hAnsi="Garamond"/>
          <w:bCs/>
          <w:spacing w:val="-4"/>
          <w:sz w:val="24"/>
          <w:szCs w:val="24"/>
          <w:lang w:val="sq-AL"/>
        </w:rPr>
      </w:pPr>
      <w:r w:rsidRPr="00DC7C85">
        <w:rPr>
          <w:rFonts w:ascii="Garamond" w:hAnsi="Garamond"/>
          <w:bCs/>
          <w:spacing w:val="-4"/>
          <w:sz w:val="24"/>
          <w:szCs w:val="24"/>
          <w:lang w:val="sq-AL"/>
        </w:rPr>
        <w:tab/>
        <w:t>3. Pika 3 ndryshohet si më poshtë:</w:t>
      </w:r>
    </w:p>
    <w:p w:rsidR="004B0F47" w:rsidRPr="00DC7C85" w:rsidRDefault="004B0F47" w:rsidP="004B0F47">
      <w:pPr>
        <w:widowControl w:val="0"/>
        <w:autoSpaceDE w:val="0"/>
        <w:autoSpaceDN w:val="0"/>
        <w:adjustRightInd w:val="0"/>
        <w:spacing w:after="0" w:line="240" w:lineRule="auto"/>
        <w:rPr>
          <w:rFonts w:ascii="Garamond" w:hAnsi="Garamond"/>
          <w:b/>
          <w:bCs/>
          <w:spacing w:val="-4"/>
          <w:sz w:val="24"/>
          <w:szCs w:val="24"/>
          <w:lang w:val="sq-AL"/>
        </w:rPr>
      </w:pPr>
      <w:r w:rsidRPr="00DC7C85">
        <w:rPr>
          <w:rFonts w:ascii="Garamond" w:hAnsi="Garamond"/>
          <w:bCs/>
          <w:spacing w:val="-4"/>
          <w:sz w:val="24"/>
          <w:szCs w:val="24"/>
          <w:lang w:val="sq-AL"/>
        </w:rPr>
        <w:tab/>
        <w:t>“</w:t>
      </w:r>
      <w:r w:rsidRPr="00DC7C85">
        <w:rPr>
          <w:rFonts w:ascii="Garamond" w:hAnsi="Garamond"/>
          <w:spacing w:val="-4"/>
          <w:sz w:val="24"/>
          <w:szCs w:val="24"/>
          <w:lang w:val="sq-AL"/>
        </w:rPr>
        <w:t>3. Drejtoria e Përgjithshme e Tatimeve publikon në faqen e saj të internetit çdo gjashtë muaj një buletin informues mbi vendimet e formës së prerë të Gjykatës Administrative të Apelit, të Gjykatës së Lartë dhe të Gjykatës Kushtetuese për çështjet tatimore, me qëllim informimin e tatimpaguesve dhe në bazë të të cilave, për raste të unifikuara, reflekton rast pas rasti vendimet teknike, të cilat zbatohen për raste të tjera të ngjashme.”.</w:t>
      </w:r>
    </w:p>
    <w:p w:rsidR="004B0F47" w:rsidRPr="008F6B8E" w:rsidRDefault="004B0F47" w:rsidP="004B0F47">
      <w:pPr>
        <w:pStyle w:val="NeniNr"/>
        <w:keepNext w:val="0"/>
        <w:rPr>
          <w:sz w:val="14"/>
        </w:rPr>
      </w:pPr>
    </w:p>
    <w:p w:rsidR="004B0F47" w:rsidRPr="00DC7C85" w:rsidRDefault="004B0F47" w:rsidP="004B0F47">
      <w:pPr>
        <w:pStyle w:val="NeniNr"/>
        <w:keepNext w:val="0"/>
      </w:pPr>
      <w:r w:rsidRPr="00DC7C85">
        <w:t>Neni 12</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Neni 38 ndryshohet si më poshtë:</w:t>
      </w:r>
    </w:p>
    <w:p w:rsidR="004B0F47" w:rsidRPr="00DC7C85" w:rsidRDefault="004B0F47" w:rsidP="004B0F47">
      <w:pPr>
        <w:pStyle w:val="Hapesira7"/>
        <w:rPr>
          <w:lang w:val="sq-AL"/>
        </w:rPr>
      </w:pPr>
    </w:p>
    <w:p w:rsidR="004B0F47" w:rsidRDefault="004B0F47" w:rsidP="004B0F47">
      <w:pPr>
        <w:pStyle w:val="NeniNr"/>
        <w:keepNext w:val="0"/>
      </w:pPr>
    </w:p>
    <w:p w:rsidR="004B0F47" w:rsidRPr="00DC7C85" w:rsidRDefault="004B0F47" w:rsidP="004B0F47">
      <w:pPr>
        <w:pStyle w:val="NeniNr"/>
        <w:keepNext w:val="0"/>
      </w:pPr>
      <w:r w:rsidRPr="00DC7C85">
        <w:t>“Neni 38</w:t>
      </w:r>
    </w:p>
    <w:p w:rsidR="004B0F47" w:rsidRPr="00DC7C85" w:rsidRDefault="004B0F47" w:rsidP="004B0F47">
      <w:pPr>
        <w:widowControl w:val="0"/>
        <w:autoSpaceDE w:val="0"/>
        <w:autoSpaceDN w:val="0"/>
        <w:adjustRightInd w:val="0"/>
        <w:spacing w:after="0" w:line="240" w:lineRule="auto"/>
        <w:jc w:val="center"/>
        <w:rPr>
          <w:rFonts w:ascii="Garamond" w:hAnsi="Garamond"/>
          <w:b/>
          <w:spacing w:val="-4"/>
          <w:sz w:val="24"/>
          <w:szCs w:val="24"/>
          <w:lang w:val="sq-AL"/>
        </w:rPr>
      </w:pPr>
      <w:r w:rsidRPr="00DC7C85">
        <w:rPr>
          <w:rFonts w:ascii="Garamond" w:hAnsi="Garamond"/>
          <w:b/>
          <w:spacing w:val="-4"/>
          <w:sz w:val="24"/>
          <w:szCs w:val="24"/>
          <w:lang w:val="sq-AL"/>
        </w:rPr>
        <w:t>E drejta e ankimit</w:t>
      </w:r>
    </w:p>
    <w:p w:rsidR="004B0F47" w:rsidRPr="008F6B8E" w:rsidRDefault="004B0F47" w:rsidP="004B0F47">
      <w:pPr>
        <w:pStyle w:val="Hapesira7"/>
        <w:rPr>
          <w:sz w:val="8"/>
          <w:lang w:val="sq-AL"/>
        </w:rPr>
      </w:pPr>
      <w:r w:rsidRPr="008F6B8E">
        <w:rPr>
          <w:sz w:val="8"/>
          <w:lang w:val="sq-AL"/>
        </w:rPr>
        <w:t xml:space="preserve">  </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 Tatimpaguesi gëzon të drejtën të ankohet dhe të sigurohet për një shqyrtim të pavarur administrativ të çështjeve të lidhura me të, në përputhje me kreun XIII, të këtij ligji.</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2. Tatimpaguesi gëzon të drejtën gjithashtu të ankohet në rrugë administrative, në përputhje me Kodin e Procedurave Administrative, në Drejtorinë Rajonale Tatimore ose në Drejtorinë e Përgjithshme të Tatimeve, për çdo veprim apo mosveprim të punonjësve të administratës tatimore qendrore që shkelin të drejtat e tatimpaguesit.”.    </w:t>
      </w:r>
    </w:p>
    <w:p w:rsidR="004B0F47" w:rsidRPr="008F6B8E" w:rsidRDefault="004B0F47" w:rsidP="004B0F47">
      <w:pPr>
        <w:pStyle w:val="Hapesira7"/>
        <w:rPr>
          <w:sz w:val="10"/>
          <w:lang w:val="sq-AL"/>
        </w:rPr>
      </w:pPr>
    </w:p>
    <w:p w:rsidR="004B0F47" w:rsidRPr="00DC7C85" w:rsidRDefault="004B0F47" w:rsidP="004B0F47">
      <w:pPr>
        <w:pStyle w:val="NeniNr"/>
        <w:keepNext w:val="0"/>
      </w:pPr>
      <w:r w:rsidRPr="00DC7C85">
        <w:t>Neni 13</w:t>
      </w:r>
    </w:p>
    <w:p w:rsidR="004B0F47" w:rsidRPr="008F6B8E" w:rsidRDefault="004B0F47" w:rsidP="004B0F47">
      <w:pPr>
        <w:pStyle w:val="Hapesira7"/>
        <w:rPr>
          <w:sz w:val="12"/>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40 bëhen këto ndryshime:</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 Pika 2.2 ndryshohet si më poshtë:</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“2.2. Ministri i Financave nxjerr aktet nënligjore në zbatim të pikës 2.1, të këtij neni.”.</w:t>
      </w:r>
    </w:p>
    <w:p w:rsidR="004B0F47" w:rsidRPr="00DC7C85" w:rsidRDefault="004B0F47" w:rsidP="004B0F47">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2. Në pikën 4.1, shkronja “ç” ndryshohet si më poshtë:</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“ç) të vetëpunësuarit në veprimtari, si shitës ambulant, sipas përkufizimit të dhënë në shkronjën “j”, të nenit 5, të këtij ligji.”.</w:t>
      </w:r>
    </w:p>
    <w:p w:rsidR="004B0F47" w:rsidRPr="008F6B8E" w:rsidRDefault="004B0F47" w:rsidP="004B0F47">
      <w:pPr>
        <w:pStyle w:val="Hapesira7"/>
        <w:rPr>
          <w:sz w:val="12"/>
          <w:lang w:val="sq-AL"/>
        </w:rPr>
      </w:pPr>
    </w:p>
    <w:p w:rsidR="004B0F47" w:rsidRPr="00DC7C85" w:rsidRDefault="004B0F47" w:rsidP="004B0F47">
      <w:pPr>
        <w:pStyle w:val="NeniNr"/>
        <w:keepNext w:val="0"/>
      </w:pPr>
      <w:r w:rsidRPr="00DC7C85">
        <w:t>Neni 14</w:t>
      </w:r>
    </w:p>
    <w:p w:rsidR="004B0F47" w:rsidRPr="008F6B8E" w:rsidRDefault="004B0F47" w:rsidP="004B0F47">
      <w:pPr>
        <w:pStyle w:val="Hapesira7"/>
        <w:rPr>
          <w:sz w:val="12"/>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Neni 41 ndryshohet si më poshtë:</w:t>
      </w:r>
    </w:p>
    <w:p w:rsidR="004B0F47" w:rsidRPr="008F6B8E" w:rsidRDefault="004B0F47" w:rsidP="004B0F47">
      <w:pPr>
        <w:pStyle w:val="Hapesira7"/>
        <w:rPr>
          <w:sz w:val="12"/>
          <w:lang w:val="sq-AL"/>
        </w:rPr>
      </w:pPr>
    </w:p>
    <w:p w:rsidR="004B0F47" w:rsidRPr="00DC7C85" w:rsidRDefault="004B0F47" w:rsidP="004B0F47">
      <w:pPr>
        <w:widowControl w:val="0"/>
        <w:autoSpaceDE w:val="0"/>
        <w:autoSpaceDN w:val="0"/>
        <w:adjustRightInd w:val="0"/>
        <w:spacing w:after="0" w:line="240" w:lineRule="auto"/>
        <w:jc w:val="center"/>
        <w:rPr>
          <w:rFonts w:ascii="Garamond" w:hAnsi="Garamond"/>
          <w:spacing w:val="-4"/>
          <w:sz w:val="24"/>
          <w:szCs w:val="24"/>
          <w:lang w:val="sq-AL"/>
        </w:rPr>
      </w:pPr>
      <w:r w:rsidRPr="00DC7C85">
        <w:rPr>
          <w:rFonts w:ascii="Garamond" w:hAnsi="Garamond"/>
          <w:spacing w:val="-4"/>
          <w:sz w:val="24"/>
          <w:szCs w:val="24"/>
          <w:lang w:val="sq-AL"/>
        </w:rPr>
        <w:t>“Neni 41</w:t>
      </w:r>
    </w:p>
    <w:p w:rsidR="004B0F47" w:rsidRPr="00DC7C85" w:rsidRDefault="004B0F47" w:rsidP="004B0F47">
      <w:pPr>
        <w:widowControl w:val="0"/>
        <w:autoSpaceDE w:val="0"/>
        <w:autoSpaceDN w:val="0"/>
        <w:adjustRightInd w:val="0"/>
        <w:spacing w:after="0" w:line="240" w:lineRule="auto"/>
        <w:jc w:val="center"/>
        <w:rPr>
          <w:rFonts w:ascii="Garamond" w:hAnsi="Garamond"/>
          <w:b/>
          <w:spacing w:val="-4"/>
          <w:sz w:val="24"/>
          <w:szCs w:val="24"/>
          <w:lang w:val="sq-AL"/>
        </w:rPr>
      </w:pPr>
      <w:r w:rsidRPr="00DC7C85">
        <w:rPr>
          <w:rFonts w:ascii="Garamond" w:hAnsi="Garamond"/>
          <w:b/>
          <w:bCs/>
          <w:spacing w:val="-4"/>
          <w:sz w:val="24"/>
          <w:szCs w:val="24"/>
          <w:lang w:val="sq-AL"/>
        </w:rPr>
        <w:t>Identifikimi i personave, që ushtrojnë veprimtari tregtare pa u regjistruar</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1. Kur administrata tatimore identifikon persona, të cilët ushtrojnë veprimtari ekonomiko-tregtare pa u regjistruar në Qendrën Kombëtare të Biznesit, vendos masën e bllokimit të mallrave dhe detyron personin të regjistrohet menjëherë në Qendrën Kombëtare të Biznesit, si tatimpagues i tatimit </w:t>
      </w:r>
      <w:r w:rsidRPr="00DC7C85">
        <w:rPr>
          <w:rFonts w:ascii="Garamond" w:hAnsi="Garamond"/>
          <w:spacing w:val="-4"/>
          <w:sz w:val="24"/>
          <w:szCs w:val="24"/>
          <w:lang w:val="sq-AL"/>
        </w:rPr>
        <w:lastRenderedPageBreak/>
        <w:t xml:space="preserve">mbi vlerën e shtuar. Masa e bllokimit hiqet pas kryerjes së regjistrimit për veprimtarinë ekonomike, duke aplikuar masat dhe dënimin, sipas shkronjës “b”, të pikës 1, të nenit 121, të këtij ligji. </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2. Në rast se një person ushtron veprimtari në fushën e shërbimeve, i pajisur me leje</w:t>
      </w:r>
      <w:r>
        <w:rPr>
          <w:rFonts w:ascii="Garamond" w:hAnsi="Garamond"/>
          <w:spacing w:val="-4"/>
          <w:sz w:val="24"/>
          <w:szCs w:val="24"/>
          <w:lang w:val="sq-AL"/>
        </w:rPr>
        <w:t xml:space="preserve"> </w:t>
      </w:r>
      <w:r w:rsidRPr="00DC7C85">
        <w:rPr>
          <w:rFonts w:ascii="Garamond" w:hAnsi="Garamond"/>
          <w:spacing w:val="-4"/>
          <w:sz w:val="24"/>
          <w:szCs w:val="24"/>
          <w:lang w:val="sq-AL"/>
        </w:rPr>
        <w:t>/licencë/autorizim profesional, por nuk e ka regjistruar veprimtarinë në QKB, përveç sa është parashikuar në pikën 1, të këtij neni, për mallrat që disponon, administrata tatimore u propozon strukturave kompetente pezullimin e lejes</w:t>
      </w:r>
      <w:r>
        <w:rPr>
          <w:rFonts w:ascii="Garamond" w:hAnsi="Garamond"/>
          <w:spacing w:val="-4"/>
          <w:sz w:val="24"/>
          <w:szCs w:val="24"/>
          <w:lang w:val="sq-AL"/>
        </w:rPr>
        <w:t xml:space="preserve"> </w:t>
      </w:r>
      <w:r w:rsidRPr="00DC7C85">
        <w:rPr>
          <w:rFonts w:ascii="Garamond" w:hAnsi="Garamond"/>
          <w:spacing w:val="-4"/>
          <w:sz w:val="24"/>
          <w:szCs w:val="24"/>
          <w:lang w:val="sq-AL"/>
        </w:rPr>
        <w:t xml:space="preserve">/licencës/autorizimit për ushtrim veprimtarie për një periudhë gjashtëmujore.”. </w:t>
      </w:r>
    </w:p>
    <w:p w:rsidR="004B0F47" w:rsidRPr="00DC7C85" w:rsidRDefault="004B0F47" w:rsidP="004B0F47">
      <w:pPr>
        <w:pStyle w:val="NeniNr"/>
        <w:keepNext w:val="0"/>
      </w:pPr>
      <w:r w:rsidRPr="00DC7C85">
        <w:t>Neni 15</w:t>
      </w:r>
    </w:p>
    <w:p w:rsidR="004B0F47" w:rsidRPr="00DC7C85" w:rsidRDefault="004B0F47" w:rsidP="004B0F47">
      <w:pPr>
        <w:pStyle w:val="Hapesira7"/>
        <w:rPr>
          <w:lang w:val="sq-AL"/>
        </w:rPr>
      </w:pP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Në nenin 43, pas pikës 1 shtohet pika 1/1 me këtë përmbajtje: </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“1/1. Në përputhje me ligjin për regjistrimin e biznesit, aplikimi për ndryshimin e selisë dhe hapja e vendeve të tjera të ushtrimit të veprimtarisë, të ndryshme nga selia, në çdo rast bëhen përpara nisjes efektive të veprimtarisë në atë vend. Për hapjen e vendeve të tjera të ushtrimit të veprimtarisë, të ndryshme nga selia, tatimpaguesi pajiset me një certifikatë, me numër unik identifikimi të njëjtë me atë të regjistrimit, por me numër serial të ndryshëm. Kjo certifikatë lëshohet për të identifikuar vendndodhjen e ushtrimit të veprimtarisë, kur është e ndryshme nga selia.”. </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16</w:t>
      </w:r>
    </w:p>
    <w:p w:rsidR="004B0F47" w:rsidRPr="00DC7C85" w:rsidRDefault="004B0F47" w:rsidP="004B0F47">
      <w:pPr>
        <w:pStyle w:val="Hapesira7"/>
        <w:rPr>
          <w:lang w:val="sq-AL"/>
        </w:rPr>
      </w:pPr>
    </w:p>
    <w:p w:rsidR="004B0F47" w:rsidRPr="00DC7C85" w:rsidRDefault="004B0F47" w:rsidP="004B0F47">
      <w:pPr>
        <w:widowControl w:val="0"/>
        <w:spacing w:after="0" w:line="240" w:lineRule="auto"/>
        <w:rPr>
          <w:rFonts w:ascii="Garamond" w:hAnsi="Garamond"/>
          <w:bCs/>
          <w:spacing w:val="-4"/>
          <w:sz w:val="24"/>
          <w:szCs w:val="24"/>
          <w:lang w:val="sq-AL"/>
        </w:rPr>
      </w:pPr>
      <w:r w:rsidRPr="00DC7C85">
        <w:rPr>
          <w:rFonts w:ascii="Garamond" w:hAnsi="Garamond"/>
          <w:spacing w:val="-4"/>
          <w:sz w:val="24"/>
          <w:szCs w:val="24"/>
          <w:lang w:val="sq-AL"/>
        </w:rPr>
        <w:tab/>
        <w:t>Në nenin 44</w:t>
      </w:r>
      <w:r w:rsidRPr="00DC7C85">
        <w:rPr>
          <w:rFonts w:ascii="Garamond" w:hAnsi="Garamond"/>
          <w:bCs/>
          <w:spacing w:val="-4"/>
          <w:sz w:val="24"/>
          <w:szCs w:val="24"/>
          <w:lang w:val="sq-AL"/>
        </w:rPr>
        <w:t xml:space="preserve"> bëhen ndryshimet e mëposhtme:</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 Pika 2 ndryshohet si më poshtë:</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“2. Për periudhën e qëndrimit në regjistrin pasiv, tatimpaguesi nuk paraqet deklarata periodike tatimore dhe ndaj tij nuk llogariten gjoba për mosdeklarim tatimor.”.  </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2. Pika  5 ndryshohet si më poshtë: </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“5. Kur tatimpaguesi rifillon veprimtarinë, administrata tatimore automatikisht transferon regjistrimin nga regjistri pasiv në regjistrin aktiv.”.</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17</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45 bëhen shtesat dhe ndryshimet e mëposhtme:</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w:t>
      </w:r>
      <w:r w:rsidRPr="00DC7C85">
        <w:rPr>
          <w:rFonts w:ascii="Garamond" w:hAnsi="Garamond"/>
          <w:b/>
          <w:spacing w:val="-4"/>
          <w:sz w:val="24"/>
          <w:szCs w:val="24"/>
          <w:lang w:val="sq-AL"/>
        </w:rPr>
        <w:tab/>
      </w:r>
      <w:r w:rsidRPr="00DC7C85">
        <w:rPr>
          <w:rFonts w:ascii="Garamond" w:hAnsi="Garamond"/>
          <w:spacing w:val="-4"/>
          <w:sz w:val="24"/>
          <w:szCs w:val="24"/>
          <w:lang w:val="sq-AL"/>
        </w:rPr>
        <w:t>Në pikën</w:t>
      </w:r>
      <w:r w:rsidRPr="00DC7C85">
        <w:rPr>
          <w:rFonts w:ascii="Garamond" w:hAnsi="Garamond"/>
          <w:b/>
          <w:spacing w:val="-4"/>
          <w:sz w:val="24"/>
          <w:szCs w:val="24"/>
          <w:lang w:val="sq-AL"/>
        </w:rPr>
        <w:t xml:space="preserve"> </w:t>
      </w:r>
      <w:r w:rsidRPr="00DC7C85">
        <w:rPr>
          <w:rFonts w:ascii="Garamond" w:hAnsi="Garamond"/>
          <w:spacing w:val="-4"/>
          <w:sz w:val="24"/>
          <w:szCs w:val="24"/>
          <w:lang w:val="sq-AL"/>
        </w:rPr>
        <w:t>1,</w:t>
      </w:r>
      <w:r w:rsidRPr="00DC7C85">
        <w:rPr>
          <w:rFonts w:ascii="Garamond" w:hAnsi="Garamond"/>
          <w:b/>
          <w:spacing w:val="-4"/>
          <w:sz w:val="24"/>
          <w:szCs w:val="24"/>
          <w:lang w:val="sq-AL"/>
        </w:rPr>
        <w:t xml:space="preserve"> </w:t>
      </w:r>
      <w:r w:rsidRPr="00DC7C85">
        <w:rPr>
          <w:rFonts w:ascii="Garamond" w:hAnsi="Garamond"/>
          <w:spacing w:val="-4"/>
          <w:sz w:val="24"/>
          <w:szCs w:val="24"/>
          <w:lang w:val="sq-AL"/>
        </w:rPr>
        <w:t>pas shkronjës “c”, shtohen shkronjat “ç” dhe “d” me këtë përmbajtje:</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“ç) personat të cilët, sipas ligjit për falimentimin, janë shpallur të falimentuar me vendim gjykate të formës së prerë.</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d) personat juridike publikë, në përputhje me legjislacionin e fushës që përcakton veprimtarinë e tyre.”.</w:t>
      </w:r>
    </w:p>
    <w:p w:rsidR="004B0F47" w:rsidRPr="00DC7C85" w:rsidRDefault="004B0F47" w:rsidP="004B0F47">
      <w:pPr>
        <w:widowControl w:val="0"/>
        <w:autoSpaceDE w:val="0"/>
        <w:autoSpaceDN w:val="0"/>
        <w:adjustRightInd w:val="0"/>
        <w:spacing w:after="0" w:line="240" w:lineRule="auto"/>
        <w:rPr>
          <w:rFonts w:ascii="Garamond" w:hAnsi="Garamond"/>
          <w:b/>
          <w:spacing w:val="-4"/>
          <w:sz w:val="24"/>
          <w:szCs w:val="24"/>
          <w:lang w:val="sq-AL"/>
        </w:rPr>
      </w:pPr>
      <w:r w:rsidRPr="00DC7C85">
        <w:rPr>
          <w:rFonts w:ascii="Garamond" w:hAnsi="Garamond"/>
          <w:spacing w:val="-4"/>
          <w:sz w:val="24"/>
          <w:szCs w:val="24"/>
          <w:lang w:val="sq-AL"/>
        </w:rPr>
        <w:tab/>
        <w:t xml:space="preserve">2. </w:t>
      </w:r>
      <w:r w:rsidRPr="00DC7C85">
        <w:rPr>
          <w:rFonts w:ascii="Garamond" w:hAnsi="Garamond"/>
          <w:b/>
          <w:spacing w:val="-4"/>
          <w:sz w:val="24"/>
          <w:szCs w:val="24"/>
          <w:lang w:val="sq-AL"/>
        </w:rPr>
        <w:t xml:space="preserve"> </w:t>
      </w:r>
      <w:r w:rsidRPr="00DC7C85">
        <w:rPr>
          <w:rFonts w:ascii="Garamond" w:hAnsi="Garamond"/>
          <w:spacing w:val="-4"/>
          <w:sz w:val="24"/>
          <w:szCs w:val="24"/>
          <w:lang w:val="sq-AL"/>
        </w:rPr>
        <w:t>Pikat 3, 4, 5, 6, 7, 8, 9 e 10 ndryshohen si më poshtë:</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“3. Qendra Kombëtare e Biznesit ose gjykata, menjëherë me marrjen e kërkesës për çregjistrim prej tatimpaguesit, njofton organin tatimor kompetent për regjistrimin e hapjes së procedurave të likuidimit ose për kërkesën për çregjistrim të personit fizik apo për aplikimin për çregjistrim të personit juridik edhe kur kemi të bëjmë me aplikimin për çregjistrim pa kryerjen e likuidimit.  </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4. </w:t>
      </w:r>
      <w:r w:rsidRPr="00DC7C85">
        <w:rPr>
          <w:rFonts w:ascii="Garamond" w:hAnsi="Garamond"/>
          <w:spacing w:val="-4"/>
          <w:sz w:val="24"/>
          <w:szCs w:val="24"/>
          <w:lang w:val="sq-AL"/>
        </w:rPr>
        <w:tab/>
        <w:t xml:space="preserve">Organi tatimor kompetent, brenda 10 ditëve pune nga data e paraqitjes së kërkesës për çregjistrim, sipas pikës 3, të këtij neni, është i detyruar të verifikojë situatën tatimore të subjekteve dhe njofton njëkohësisht QKB-në ose gjykatën dhe subjektin. Kur organi tatimor, sipas analizës së riskut, gjykon se është e nevojshme të ushtrojë kontroll në mjedisin ku ushtron veprimtarinë subjekti, atëherë ky afat nuk mund të jetë më shumë se 30 ditë pune, përfshirë kryerjen e kontrollit.  </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5. </w:t>
      </w:r>
      <w:r w:rsidRPr="00DC7C85">
        <w:rPr>
          <w:rFonts w:ascii="Garamond" w:hAnsi="Garamond"/>
          <w:spacing w:val="-4"/>
          <w:sz w:val="24"/>
          <w:szCs w:val="24"/>
          <w:lang w:val="sq-AL"/>
        </w:rPr>
        <w:tab/>
        <w:t xml:space="preserve">Qendra Kombëtare e Biznesit ose gjykata nuk mund të kryejë çregjistrimin, në qoftë se brenda afatit 30-ditor, të përmendur në pikën 4, të këtij neni, administrata tatimore e kundërshton me shkrim çregjistrimin. Kundërshtimi i çregjistrimit të tatimpaguesit nga administrata tatimore tregon shumën e detyrimeve tatimore të papaguara të tatimpaguesit dhe, në rastin e personit juridik, faktin se ai nuk ka paraqitur pasqyrat financiare të mbylljes së aktivitetit deri në momentin e likuidimit, ose nuk ka </w:t>
      </w:r>
      <w:r w:rsidRPr="00DC7C85">
        <w:rPr>
          <w:rFonts w:ascii="Garamond" w:hAnsi="Garamond"/>
          <w:spacing w:val="-4"/>
          <w:sz w:val="24"/>
          <w:szCs w:val="24"/>
          <w:lang w:val="sq-AL"/>
        </w:rPr>
        <w:lastRenderedPageBreak/>
        <w:t>dorëzuar deklaratat tatimore.</w:t>
      </w:r>
    </w:p>
    <w:p w:rsidR="004B0F47" w:rsidRPr="00DC7C85" w:rsidRDefault="004B0F47" w:rsidP="004B0F47">
      <w:pPr>
        <w:pStyle w:val="ListParagraph"/>
        <w:widowControl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6. Nëse organi tatimor nuk i përgjigjet QKB-së ose gjykatës brenda afatit, QKB-ja ose gjykata çregjistron automatikisht subjektin dhe njofton në të njëjtën ditë organin tatimor dhe tatimpaguesin.</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 xml:space="preserve">Në rastin kur subjektet e regjistruara pranë Qendrës Kombëtare të Biznesit ose gjykatës rezultojnë me detyrime tatimore, ato çregjistrohen automatikisht pasi të kenë paguar të gjitha detyrimet tatimore, përfshirë detyrimet që lindin në rastin kur çregjistrimi kryhet me likuidim. Në momentin kur subjekti paguan detyrimet tatimore, organi tatimor menjëherë njofton QKB-në ose gjykatën dhe subjektin, që subjekti nuk ka detyrime tatimore të papaguara. </w:t>
      </w:r>
    </w:p>
    <w:p w:rsidR="004B0F47" w:rsidRDefault="004B0F47" w:rsidP="004B0F47">
      <w:pPr>
        <w:pStyle w:val="ListParagraph"/>
        <w:widowControl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7. Në rastin kur kundërshtimi për çregjistrim nga organet tatimore është bërë si pasojë e mosdorëzimit të pasqyrave financiare ose deklaratave tatimore, atëherë, me paraqitjen e tyre, organi tatimor kompetent detyrohet të tërheqë menjëherë kundërshtimin për çregjistrim dhe Qendra Kombëtare e Biznesit kryen menjëherë çregjistrimin e tatimpaguesit.</w:t>
      </w:r>
    </w:p>
    <w:p w:rsidR="004B0F47" w:rsidRPr="00DC7C85" w:rsidRDefault="004B0F47" w:rsidP="004B0F47">
      <w:pPr>
        <w:pStyle w:val="ListParagraph"/>
        <w:widowControl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8. Nëse, pavarësisht nga shlyerja e detyrimit, për të cilin është kundërshtuar çregjistrimi, organi tatimor kompetent nuk ka tërhequr kundërshtimin, atëherë subjekti paraqet pranë Qendrës Kombëtare të Biznesit dokumentin që vërteton shlyerjen e këtyre detyrimeve tatimore. Në këtë rast, Qendra Kombëtare e Biznesit kryen menjëherë çregjistrimin e subjektit dhe njofton menjëherë organin tatimor kompetent dhe tatimpaguesin.</w:t>
      </w:r>
    </w:p>
    <w:p w:rsidR="004B0F47" w:rsidRPr="00DC7C85" w:rsidRDefault="004B0F47" w:rsidP="004B0F47">
      <w:pPr>
        <w:pStyle w:val="ListParagraph"/>
        <w:widowControl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9. Çregjistrimi tatimor nuk eliminon detyrimet ekzistuese tatimore dhe nuk parandalon administratën tatimore të vlerësojë ose të mbledhë detyrimet tatimore.</w:t>
      </w:r>
    </w:p>
    <w:p w:rsidR="004B0F47" w:rsidRPr="00DC7C85" w:rsidRDefault="004B0F47" w:rsidP="004B0F47">
      <w:pPr>
        <w:pStyle w:val="ListParagraph"/>
        <w:widowControl w:val="0"/>
        <w:spacing w:after="0" w:line="240" w:lineRule="auto"/>
        <w:ind w:left="0" w:firstLine="284"/>
        <w:jc w:val="both"/>
        <w:rPr>
          <w:rFonts w:ascii="Garamond" w:hAnsi="Garamond"/>
          <w:spacing w:val="-4"/>
          <w:sz w:val="24"/>
          <w:szCs w:val="24"/>
          <w:lang w:val="sq-AL"/>
        </w:rPr>
      </w:pPr>
      <w:r w:rsidRPr="00DC7C85">
        <w:rPr>
          <w:rFonts w:ascii="Garamond" w:hAnsi="Garamond"/>
          <w:spacing w:val="-4"/>
          <w:sz w:val="24"/>
          <w:szCs w:val="24"/>
          <w:lang w:val="sq-AL"/>
        </w:rPr>
        <w:tab/>
        <w:t>10. Për çdo procedurë që organi tatimor dhe QKB-ja kryejnë, sipas këtij neni, që kur fillon procedura e çregjistrimit dhe deri në çregjistrimin përfundimtar, njoftohen në të njëjtën kohë edhe tatimpaguesit.”.</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18</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50, pika 1, fjalët “në përputhje me ligjin nr. 7928, datë 27.4.1995, “Për TVSH-në”, zëvendësohen me fjalët “në përputhje me ligjin nr. 92/2014, “Për tatimin mbi vlerën e shtuar”, të ndryshuar”.</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19</w:t>
      </w:r>
    </w:p>
    <w:p w:rsidR="004B0F47" w:rsidRPr="00DC7C85" w:rsidRDefault="004B0F47" w:rsidP="004B0F47">
      <w:pPr>
        <w:pStyle w:val="Hapesira7"/>
        <w:rPr>
          <w:lang w:val="sq-AL"/>
        </w:rPr>
      </w:pPr>
    </w:p>
    <w:p w:rsidR="004B0F47" w:rsidRPr="00DC7C85" w:rsidRDefault="004B0F47" w:rsidP="004B0F47">
      <w:pPr>
        <w:pStyle w:val="Default"/>
        <w:widowControl w:val="0"/>
        <w:ind w:firstLine="284"/>
        <w:jc w:val="both"/>
        <w:rPr>
          <w:rFonts w:ascii="Garamond" w:hAnsi="Garamond"/>
          <w:color w:val="auto"/>
          <w:spacing w:val="-4"/>
          <w:lang w:val="sq-AL"/>
        </w:rPr>
      </w:pPr>
      <w:r w:rsidRPr="00DC7C85">
        <w:rPr>
          <w:rFonts w:ascii="Garamond" w:hAnsi="Garamond"/>
          <w:color w:val="auto"/>
          <w:spacing w:val="-4"/>
          <w:lang w:val="sq-AL"/>
        </w:rPr>
        <w:tab/>
        <w:t>Në nenin 52, pas pikës 3 shtohet pika 4 me këtë përmbajtje:</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“4. Drejtori i Përgjithshëm i Tatimeve, me kërkesë të tatimpaguesit, pavarësisht nga numri i transaksioneve të kryera, lejon mospërdorimin e faturave tatimore, sipas pikës 1, të këtij neni, kur tatimpaguesi është i aftë të lëshojë fatura tatimore kompjuterike, me numër serial unik dhe të papërsëritshëm, të printuara nga sistemi i tij i regjistrimeve. </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Ministri i Financave përcakton me udhëzim procedurën për zbatimin e kësaj pike.”.</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20</w:t>
      </w:r>
    </w:p>
    <w:p w:rsidR="004B0F47" w:rsidRPr="00DC7C85" w:rsidRDefault="004B0F47" w:rsidP="004B0F47">
      <w:pPr>
        <w:pStyle w:val="Hapesira7"/>
        <w:rPr>
          <w:lang w:val="sq-AL"/>
        </w:rPr>
      </w:pP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Në nenin 55, pika 1, pas fjalëve “për të cilat pagesat nuk kryhen nëpërmjet bankës” shtohen fjalët “ose institucioneve financiare të parasë elektronike, të licencuara nga Banka e Shqipërisë,”. </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21</w:t>
      </w:r>
    </w:p>
    <w:p w:rsidR="004B0F47" w:rsidRPr="00DC7C85" w:rsidRDefault="004B0F47" w:rsidP="004B0F47">
      <w:pPr>
        <w:pStyle w:val="Hapesira7"/>
        <w:rPr>
          <w:lang w:val="sq-AL"/>
        </w:rPr>
      </w:pPr>
    </w:p>
    <w:p w:rsidR="004B0F47"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59, pas pikës 1 shtohet pika 1/1 me këtë përmbajtje:</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“1/1. Për qëllime të kësaj dispozite, nuk konsiderohet si transaksion i kryer me para në dorë pagesa për transaksionet, e cila kryhet nëpërmjet institucioneve financiare të parasë elektronike, të licencuara nga Banka e Shqipërisë, ose pagesat e kryera me kartë krediti.”.</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22</w:t>
      </w:r>
    </w:p>
    <w:p w:rsidR="004B0F47" w:rsidRPr="00DC7C85" w:rsidRDefault="004B0F47" w:rsidP="004B0F47">
      <w:pPr>
        <w:pStyle w:val="Hapesira7"/>
        <w:rPr>
          <w:lang w:val="sq-AL"/>
        </w:rPr>
      </w:pP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lastRenderedPageBreak/>
        <w:tab/>
        <w:t xml:space="preserve">Në nenin 65, pika 7 ndryshohet si më poshtë: </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“7. Për tatimpaguesit, persona fizikë, që kërkojnë të çregjistrohen, detyrimi për të deklaruar ndërpritet në momentin e aplikimit të tyre për çregjistrim në Qendrën Kombëtare të Biznesit, ndërsa për tatimpaguesit, persona juridikë, detyrimi për të deklaruar ndërpritet në momentin e dorëzimit të raportit përfundimtar të likuidimit</w:t>
      </w:r>
      <w:r>
        <w:rPr>
          <w:rFonts w:ascii="Garamond" w:hAnsi="Garamond"/>
          <w:spacing w:val="-4"/>
          <w:sz w:val="24"/>
          <w:szCs w:val="24"/>
          <w:lang w:val="sq-AL"/>
        </w:rPr>
        <w:t xml:space="preserve"> </w:t>
      </w:r>
      <w:r w:rsidRPr="00DC7C85">
        <w:rPr>
          <w:rFonts w:ascii="Garamond" w:hAnsi="Garamond"/>
          <w:spacing w:val="-4"/>
          <w:sz w:val="24"/>
          <w:szCs w:val="24"/>
          <w:lang w:val="sq-AL"/>
        </w:rPr>
        <w:t xml:space="preserve">/bashkimit/ndarjes në Qendrën Kombëtare të Biznesit ose gjykatë.”. </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23</w:t>
      </w:r>
    </w:p>
    <w:p w:rsidR="004B0F47" w:rsidRPr="00DC7C85" w:rsidRDefault="004B0F47" w:rsidP="004B0F47">
      <w:pPr>
        <w:pStyle w:val="Hapesira7"/>
        <w:rPr>
          <w:lang w:val="sq-AL"/>
        </w:rPr>
      </w:pP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Në nenin 67, pika 2 ndryshohet si më poshtë: </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“2. Deklarata e ndryshuar prej tatimpaguesit mund të dorëzohet brenda 36 muajve nga afati i dorëzimit të deklaratës fillestare, me kushtin që kjo deklaratë të mos jetë kontrolluar më parë nga administrata tatimore.</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bCs/>
          <w:spacing w:val="-4"/>
          <w:sz w:val="24"/>
          <w:szCs w:val="24"/>
          <w:lang w:val="sq-AL"/>
        </w:rPr>
        <w:tab/>
        <w:t xml:space="preserve">Përjashtimisht përcaktimit të paragrafit të parë të kësaj pike, </w:t>
      </w:r>
      <w:r w:rsidRPr="00DC7C85">
        <w:rPr>
          <w:rFonts w:ascii="Garamond" w:hAnsi="Garamond"/>
          <w:spacing w:val="-4"/>
          <w:sz w:val="24"/>
          <w:szCs w:val="24"/>
          <w:lang w:val="sq-AL"/>
        </w:rPr>
        <w:t>një deklaratë e kontrolluar mund të ndryshohet nga tatimpaguesi në çdo rast kur ai ka për të deklaruar një detyrim tatimor më të madh se detyrimi që ka rezultuar nga kontrolli.”. </w:t>
      </w:r>
    </w:p>
    <w:p w:rsidR="004B0F47" w:rsidRPr="00DC7C85" w:rsidRDefault="004B0F47" w:rsidP="004B0F47">
      <w:pPr>
        <w:pStyle w:val="Hapesira7"/>
        <w:rPr>
          <w:lang w:val="sq-AL"/>
        </w:rPr>
      </w:pPr>
      <w:r w:rsidRPr="00DC7C85">
        <w:rPr>
          <w:lang w:val="sq-AL"/>
        </w:rPr>
        <w:t xml:space="preserve"> </w:t>
      </w:r>
    </w:p>
    <w:p w:rsidR="004B0F47" w:rsidRPr="00DC7C85" w:rsidRDefault="004B0F47" w:rsidP="004B0F47">
      <w:pPr>
        <w:pStyle w:val="NeniNr"/>
        <w:keepNext w:val="0"/>
      </w:pPr>
      <w:r w:rsidRPr="00DC7C85">
        <w:t>Neni 24</w:t>
      </w:r>
    </w:p>
    <w:p w:rsidR="004B0F47" w:rsidRPr="00DC7C85" w:rsidRDefault="004B0F47" w:rsidP="004B0F47">
      <w:pPr>
        <w:pStyle w:val="Hapesira7"/>
        <w:rPr>
          <w:lang w:val="sq-AL"/>
        </w:rPr>
      </w:pPr>
      <w:r w:rsidRPr="00DC7C85">
        <w:rPr>
          <w:lang w:val="sq-AL"/>
        </w:rPr>
        <w:t xml:space="preserve"> </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68, pika 4, fjala “vëren” zëvendësohet me fjalën “konstaton”.</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25</w:t>
      </w:r>
    </w:p>
    <w:p w:rsidR="004B0F47" w:rsidRPr="00DC7C85" w:rsidRDefault="004B0F47" w:rsidP="004B0F47">
      <w:pPr>
        <w:pStyle w:val="Hapesira7"/>
        <w:rPr>
          <w:lang w:val="sq-AL"/>
        </w:rPr>
      </w:pPr>
    </w:p>
    <w:p w:rsidR="004B0F47" w:rsidRPr="00DC7C85" w:rsidRDefault="004B0F47" w:rsidP="004B0F47">
      <w:pPr>
        <w:pStyle w:val="Default"/>
        <w:widowControl w:val="0"/>
        <w:ind w:firstLine="284"/>
        <w:jc w:val="both"/>
        <w:rPr>
          <w:rFonts w:ascii="Garamond" w:hAnsi="Garamond"/>
          <w:color w:val="auto"/>
          <w:spacing w:val="-4"/>
          <w:lang w:val="sq-AL"/>
        </w:rPr>
      </w:pPr>
      <w:r w:rsidRPr="00DC7C85">
        <w:rPr>
          <w:rFonts w:ascii="Garamond" w:hAnsi="Garamond"/>
          <w:color w:val="auto"/>
          <w:spacing w:val="-4"/>
          <w:lang w:val="sq-AL"/>
        </w:rPr>
        <w:tab/>
        <w:t>Në nenin 69 bëhen ndryshimet dhe shtesat e mëposhtme:</w:t>
      </w:r>
    </w:p>
    <w:p w:rsidR="004B0F47" w:rsidRPr="00DC7C85" w:rsidRDefault="004B0F47" w:rsidP="004B0F47">
      <w:pPr>
        <w:pStyle w:val="Default"/>
        <w:widowControl w:val="0"/>
        <w:ind w:firstLine="284"/>
        <w:jc w:val="both"/>
        <w:rPr>
          <w:rFonts w:ascii="Garamond" w:hAnsi="Garamond"/>
          <w:color w:val="auto"/>
          <w:spacing w:val="-4"/>
          <w:lang w:val="sq-AL"/>
        </w:rPr>
      </w:pPr>
      <w:r w:rsidRPr="00DC7C85">
        <w:rPr>
          <w:rFonts w:ascii="Garamond" w:hAnsi="Garamond"/>
          <w:color w:val="auto"/>
          <w:spacing w:val="-4"/>
          <w:lang w:val="sq-AL"/>
        </w:rPr>
        <w:tab/>
        <w:t>1. Në pikën 1, lidhëza “ose”, që lidh shkronjën “a” me shkronjën “b”, zëvendësohet me lidhëzën “dhe”.</w:t>
      </w:r>
    </w:p>
    <w:p w:rsidR="004B0F47" w:rsidRPr="00DC7C85" w:rsidRDefault="004B0F47" w:rsidP="004B0F47">
      <w:pPr>
        <w:pStyle w:val="Default"/>
        <w:widowControl w:val="0"/>
        <w:ind w:firstLine="284"/>
        <w:jc w:val="both"/>
        <w:rPr>
          <w:rFonts w:ascii="Garamond" w:hAnsi="Garamond"/>
          <w:color w:val="auto"/>
          <w:spacing w:val="-4"/>
          <w:lang w:val="sq-AL"/>
        </w:rPr>
      </w:pPr>
      <w:r w:rsidRPr="00DC7C85">
        <w:rPr>
          <w:rFonts w:ascii="Garamond" w:hAnsi="Garamond"/>
          <w:color w:val="auto"/>
          <w:spacing w:val="-4"/>
          <w:lang w:val="sq-AL"/>
        </w:rPr>
        <w:tab/>
        <w:t xml:space="preserve">2. Në pikën 2, shkronja “d” ndryshohet si më poshtë: </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“d) shumën e tatimit të vlerësuar apo, sipas rastit, edhe uljen e humbjes tatimore, uljen e kredisë tatimore, kamatëvonesën, gjobat.”.</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26</w:t>
      </w:r>
    </w:p>
    <w:p w:rsidR="004B0F47" w:rsidRPr="00DC7C85" w:rsidRDefault="004B0F47" w:rsidP="004B0F47">
      <w:pPr>
        <w:pStyle w:val="Hapesira7"/>
        <w:rPr>
          <w:lang w:val="sq-AL"/>
        </w:rPr>
      </w:pP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73, pikat 1 dhe 4, pas fjalëve “deklaratës tatimore” shtohen fjalët  “fillestare ose të ndryshuar”.</w:t>
      </w:r>
    </w:p>
    <w:p w:rsidR="004B0F47" w:rsidRPr="00DC7C85" w:rsidRDefault="004B0F47" w:rsidP="004B0F47">
      <w:pPr>
        <w:pStyle w:val="NeniNr"/>
        <w:keepNext w:val="0"/>
      </w:pPr>
      <w:r w:rsidRPr="00DC7C85">
        <w:t>Neni 27</w:t>
      </w:r>
    </w:p>
    <w:p w:rsidR="004B0F47" w:rsidRPr="00DC7C85" w:rsidRDefault="004B0F47" w:rsidP="004B0F47">
      <w:pPr>
        <w:pStyle w:val="Hapesira7"/>
        <w:rPr>
          <w:lang w:val="sq-AL"/>
        </w:rPr>
      </w:pP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74, pika 3 ndryshohet si më poshtë:</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“3. Tatimpaguesi mund t’i paguajë detyrimet tatimore në mënyrë elektronike, nëpërmjet bankave, institucioneve të tjera financiare ose të autorizuara, që kanë lidhur marrëveshje me administratën tatimore, për të pranuar këto pagesa.”.</w:t>
      </w:r>
    </w:p>
    <w:p w:rsidR="004B0F47" w:rsidRPr="00DC7C85" w:rsidRDefault="004B0F47" w:rsidP="004B0F47">
      <w:pPr>
        <w:pStyle w:val="NeniNr"/>
        <w:keepNext w:val="0"/>
      </w:pPr>
      <w:r w:rsidRPr="00DC7C85">
        <w:t>Neni 28</w:t>
      </w:r>
    </w:p>
    <w:p w:rsidR="004B0F47" w:rsidRPr="00DC7C85" w:rsidRDefault="004B0F47" w:rsidP="004B0F47">
      <w:pPr>
        <w:pStyle w:val="Hapesira7"/>
        <w:rPr>
          <w:lang w:val="sq-AL"/>
        </w:rPr>
      </w:pP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75/1, pas pikës 1 shtohet pika 1.1 me këtë përmbajtje:</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“1.1. Në rastin kur tatimpaguesi, i cili ka kërkuar rimbursim, i nënshtrohet kontrollit, sipas analizës së riskut, me qëllim respektimin e afatit të rimbursimit, sipas këtij neni, afatet e përcaktuara nga nenet 83 dhe 84 nuk do të zbatohen dhe çdo afat do të jetë 5 ditë kalendarike.”.</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29</w:t>
      </w:r>
    </w:p>
    <w:p w:rsidR="004B0F47" w:rsidRPr="00DC7C85" w:rsidRDefault="004B0F47" w:rsidP="004B0F47">
      <w:pPr>
        <w:pStyle w:val="Hapesira7"/>
        <w:rPr>
          <w:lang w:val="sq-AL"/>
        </w:rPr>
      </w:pP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76 bëhen këto shtesa:</w:t>
      </w:r>
    </w:p>
    <w:p w:rsidR="004B0F47" w:rsidRPr="00DC7C85" w:rsidRDefault="004B0F47" w:rsidP="004B0F47">
      <w:pPr>
        <w:pStyle w:val="ListParagraph"/>
        <w:widowControl w:val="0"/>
        <w:spacing w:after="0" w:line="240" w:lineRule="auto"/>
        <w:ind w:left="0" w:firstLine="284"/>
        <w:rPr>
          <w:rFonts w:ascii="Garamond" w:eastAsia="Calibri" w:hAnsi="Garamond"/>
          <w:spacing w:val="-4"/>
          <w:sz w:val="24"/>
          <w:szCs w:val="24"/>
          <w:lang w:val="sq-AL"/>
        </w:rPr>
      </w:pPr>
      <w:r w:rsidRPr="00DC7C85">
        <w:rPr>
          <w:rFonts w:ascii="Garamond" w:eastAsia="Calibri" w:hAnsi="Garamond"/>
          <w:spacing w:val="-4"/>
          <w:sz w:val="24"/>
          <w:szCs w:val="24"/>
          <w:lang w:val="sq-AL"/>
        </w:rPr>
        <w:tab/>
        <w:t xml:space="preserve">1. Në pikën 2, pas fjalëve “nenit 75” shtohen fjalët “dhe nenit 75/1”. </w:t>
      </w:r>
    </w:p>
    <w:p w:rsidR="004B0F47" w:rsidRPr="00DC7C85" w:rsidRDefault="004B0F47" w:rsidP="004B0F47">
      <w:pPr>
        <w:pStyle w:val="ListParagraph"/>
        <w:widowControl w:val="0"/>
        <w:spacing w:after="0" w:line="240" w:lineRule="auto"/>
        <w:ind w:left="0" w:firstLine="284"/>
        <w:jc w:val="both"/>
        <w:rPr>
          <w:rFonts w:ascii="Garamond" w:eastAsia="Calibri" w:hAnsi="Garamond"/>
          <w:spacing w:val="-4"/>
          <w:sz w:val="24"/>
          <w:szCs w:val="24"/>
          <w:lang w:val="sq-AL"/>
        </w:rPr>
      </w:pPr>
      <w:r w:rsidRPr="00DC7C85">
        <w:rPr>
          <w:rFonts w:ascii="Garamond" w:hAnsi="Garamond"/>
          <w:spacing w:val="-4"/>
          <w:sz w:val="24"/>
          <w:szCs w:val="24"/>
          <w:lang w:val="sq-AL"/>
        </w:rPr>
        <w:tab/>
        <w:t>2. Në fund të pikës 3 shtohet fjalia me këtë përmbajtje:</w:t>
      </w:r>
    </w:p>
    <w:p w:rsidR="004B0F47" w:rsidRPr="00DC7C85" w:rsidRDefault="004B0F47" w:rsidP="004B0F47">
      <w:pPr>
        <w:pStyle w:val="ListParagraph"/>
        <w:widowControl w:val="0"/>
        <w:spacing w:after="0" w:line="240" w:lineRule="auto"/>
        <w:ind w:left="0" w:firstLine="284"/>
        <w:jc w:val="both"/>
        <w:rPr>
          <w:rFonts w:ascii="Garamond" w:eastAsia="Calibri" w:hAnsi="Garamond"/>
          <w:spacing w:val="-4"/>
          <w:sz w:val="24"/>
          <w:szCs w:val="24"/>
          <w:lang w:val="sq-AL"/>
        </w:rPr>
      </w:pPr>
      <w:r w:rsidRPr="00DC7C85">
        <w:rPr>
          <w:rFonts w:ascii="Garamond" w:hAnsi="Garamond"/>
          <w:spacing w:val="-4"/>
          <w:sz w:val="24"/>
          <w:szCs w:val="24"/>
          <w:lang w:val="sq-AL"/>
        </w:rPr>
        <w:t xml:space="preserve"> “Drejtoria e Përgjithshme e Tatimeve publikon dhe përditëson në faqen zyrtare të internetit normën e interesit që aplikon për llogaritjen e kamatëvonesës.”.</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30</w:t>
      </w:r>
    </w:p>
    <w:p w:rsidR="004B0F47" w:rsidRPr="00DC7C85" w:rsidRDefault="004B0F47" w:rsidP="004B0F47">
      <w:pPr>
        <w:pStyle w:val="Hapesira7"/>
        <w:rPr>
          <w:lang w:val="sq-AL"/>
        </w:rPr>
      </w:pPr>
    </w:p>
    <w:p w:rsidR="004B0F47" w:rsidRPr="00DC7C85" w:rsidRDefault="004B0F47" w:rsidP="004B0F47">
      <w:pPr>
        <w:pStyle w:val="Heading1"/>
        <w:keepNext w:val="0"/>
        <w:widowControl w:val="0"/>
        <w:spacing w:before="0" w:after="0"/>
        <w:ind w:left="0" w:firstLine="284"/>
        <w:rPr>
          <w:rFonts w:ascii="Garamond" w:hAnsi="Garamond"/>
          <w:b w:val="0"/>
          <w:spacing w:val="-4"/>
          <w:sz w:val="24"/>
          <w:szCs w:val="24"/>
          <w:lang w:val="sq-AL"/>
        </w:rPr>
      </w:pPr>
      <w:r w:rsidRPr="00DC7C85">
        <w:rPr>
          <w:rFonts w:ascii="Garamond" w:eastAsia="Calibri" w:hAnsi="Garamond"/>
          <w:b w:val="0"/>
          <w:spacing w:val="-4"/>
          <w:sz w:val="24"/>
          <w:szCs w:val="24"/>
          <w:lang w:val="sq-AL"/>
        </w:rPr>
        <w:t>Në nenin 77</w:t>
      </w:r>
      <w:r w:rsidRPr="00DC7C85">
        <w:rPr>
          <w:rFonts w:ascii="Garamond" w:hAnsi="Garamond"/>
          <w:b w:val="0"/>
          <w:spacing w:val="-4"/>
          <w:sz w:val="24"/>
          <w:szCs w:val="24"/>
          <w:lang w:val="sq-AL"/>
        </w:rPr>
        <w:t xml:space="preserve"> bëhen këto ndryshime dhe shtesa:</w:t>
      </w:r>
    </w:p>
    <w:p w:rsidR="004B0F47" w:rsidRDefault="004B0F47" w:rsidP="004B0F47">
      <w:pPr>
        <w:pStyle w:val="Heading1"/>
        <w:keepNext w:val="0"/>
        <w:widowControl w:val="0"/>
        <w:spacing w:before="0" w:after="0"/>
        <w:ind w:left="0" w:firstLine="284"/>
        <w:rPr>
          <w:rFonts w:ascii="Garamond" w:eastAsia="Calibri" w:hAnsi="Garamond"/>
          <w:b w:val="0"/>
          <w:spacing w:val="-4"/>
          <w:sz w:val="24"/>
          <w:szCs w:val="24"/>
          <w:lang w:val="sq-AL"/>
        </w:rPr>
      </w:pPr>
      <w:r w:rsidRPr="00DC7C85">
        <w:rPr>
          <w:rFonts w:ascii="Garamond" w:eastAsia="Calibri" w:hAnsi="Garamond"/>
          <w:b w:val="0"/>
          <w:spacing w:val="-4"/>
          <w:sz w:val="24"/>
          <w:szCs w:val="24"/>
          <w:lang w:val="sq-AL"/>
        </w:rPr>
        <w:t>1. Pika 1 ndryshohet si më poshtë:</w:t>
      </w:r>
    </w:p>
    <w:p w:rsidR="004B0F47" w:rsidRPr="008700B3" w:rsidRDefault="004B0F47" w:rsidP="004B0F47">
      <w:pPr>
        <w:pStyle w:val="Heading1"/>
        <w:keepNext w:val="0"/>
        <w:widowControl w:val="0"/>
        <w:spacing w:before="0" w:after="0"/>
        <w:ind w:left="0" w:firstLine="284"/>
        <w:rPr>
          <w:rFonts w:ascii="Garamond" w:eastAsia="Calibri" w:hAnsi="Garamond"/>
          <w:b w:val="0"/>
          <w:spacing w:val="-4"/>
          <w:sz w:val="24"/>
          <w:szCs w:val="24"/>
          <w:lang w:val="sq-AL"/>
        </w:rPr>
      </w:pPr>
      <w:r w:rsidRPr="008700B3">
        <w:rPr>
          <w:rFonts w:ascii="Garamond" w:hAnsi="Garamond"/>
          <w:b w:val="0"/>
          <w:spacing w:val="-4"/>
          <w:sz w:val="24"/>
          <w:szCs w:val="24"/>
          <w:lang w:val="sq-AL"/>
        </w:rPr>
        <w:t>“1. Kur një rrethanë financiare pengon tatimpaguesin për të paguar nëafat detyrimet tatimore, ai mund të lejohet të lidhë në çdo kohë marrëveshje pagese me këste. Në të njëjtën kohë tatimpaguesi duhet të vërtetojë që është në kushtet e pamundësisë financiare për të paguar të plotë detyrimin tatimor, si dhe të tregojë që pavarësisht nga rrethana financiare, ai është në gjendje të përmbushë marrëveshjen.”.</w:t>
      </w:r>
    </w:p>
    <w:p w:rsidR="004B0F47" w:rsidRDefault="004B0F47" w:rsidP="004B0F47">
      <w:pPr>
        <w:pStyle w:val="BodyText"/>
        <w:widowControl w:val="0"/>
        <w:numPr>
          <w:ilvl w:val="0"/>
          <w:numId w:val="0"/>
        </w:numPr>
        <w:ind w:left="284"/>
        <w:rPr>
          <w:rFonts w:ascii="Garamond" w:hAnsi="Garamond"/>
          <w:spacing w:val="-4"/>
          <w:lang w:val="sq-AL"/>
        </w:rPr>
      </w:pPr>
      <w:r>
        <w:rPr>
          <w:rFonts w:ascii="Garamond" w:hAnsi="Garamond"/>
          <w:spacing w:val="-4"/>
          <w:lang w:val="sq-AL"/>
        </w:rPr>
        <w:t>2.</w:t>
      </w:r>
      <w:r w:rsidRPr="00DC7C85">
        <w:rPr>
          <w:rFonts w:ascii="Garamond" w:hAnsi="Garamond"/>
          <w:spacing w:val="-4"/>
          <w:lang w:val="sq-AL"/>
        </w:rPr>
        <w:t xml:space="preserve"> Pika 3 ndryshohet si më poshtë:</w:t>
      </w:r>
    </w:p>
    <w:p w:rsidR="004B0F47" w:rsidRDefault="004B0F47" w:rsidP="004B0F47">
      <w:pPr>
        <w:pStyle w:val="BodyText"/>
        <w:widowControl w:val="0"/>
        <w:numPr>
          <w:ilvl w:val="0"/>
          <w:numId w:val="0"/>
        </w:numPr>
        <w:ind w:firstLine="284"/>
        <w:rPr>
          <w:rFonts w:ascii="Garamond" w:hAnsi="Garamond"/>
          <w:spacing w:val="-4"/>
          <w:lang w:val="sq-AL"/>
        </w:rPr>
      </w:pPr>
      <w:r>
        <w:rPr>
          <w:rFonts w:ascii="Garamond" w:hAnsi="Garamond"/>
          <w:spacing w:val="-4"/>
          <w:lang w:val="sq-AL"/>
        </w:rPr>
        <w:t>“3</w:t>
      </w:r>
      <w:r w:rsidRPr="00DC7C85">
        <w:rPr>
          <w:rFonts w:ascii="Garamond" w:hAnsi="Garamond"/>
          <w:spacing w:val="-4"/>
          <w:lang w:val="sq-AL"/>
        </w:rPr>
        <w:t xml:space="preserve"> Marrëveshja e pagesës me këste bëhet me shkrim, brenda 10 ditëve kalendarike nga data e paraqitjes së kërkesës dhe nënshkruhet nga tatimpaguesi dhe drejtori i drejtorisë rajonale apo drejtuesi i njësisë së ngjashme me të. Për të nënshkruar një marrëveshje të pagesës me këste, tatimpaguesi detyrohet të paguajë menjëherë të paktën njëzet për qind të vlerës së detyrimit, për të cilin lidhet marrëveshja.”.</w:t>
      </w:r>
    </w:p>
    <w:p w:rsidR="004B0F47" w:rsidRPr="00DC7C85" w:rsidRDefault="004B0F47" w:rsidP="004B0F47">
      <w:pPr>
        <w:pStyle w:val="BodyText"/>
        <w:widowControl w:val="0"/>
        <w:numPr>
          <w:ilvl w:val="0"/>
          <w:numId w:val="0"/>
        </w:numPr>
        <w:ind w:firstLine="284"/>
        <w:rPr>
          <w:rFonts w:ascii="Garamond" w:hAnsi="Garamond"/>
          <w:spacing w:val="-4"/>
          <w:lang w:val="sq-AL"/>
        </w:rPr>
      </w:pPr>
      <w:r w:rsidRPr="00DC7C85">
        <w:rPr>
          <w:rFonts w:ascii="Garamond" w:hAnsi="Garamond"/>
          <w:spacing w:val="-4"/>
          <w:lang w:val="sq-AL"/>
        </w:rPr>
        <w:t xml:space="preserve">     </w:t>
      </w:r>
    </w:p>
    <w:p w:rsidR="004B0F47" w:rsidRPr="00DC7C85" w:rsidRDefault="004B0F47" w:rsidP="004B0F47">
      <w:pPr>
        <w:pStyle w:val="BodyText"/>
        <w:widowControl w:val="0"/>
        <w:numPr>
          <w:ilvl w:val="0"/>
          <w:numId w:val="0"/>
        </w:numPr>
        <w:ind w:firstLine="284"/>
        <w:rPr>
          <w:rFonts w:ascii="Garamond" w:hAnsi="Garamond"/>
          <w:spacing w:val="-4"/>
          <w:lang w:val="sq-AL"/>
        </w:rPr>
      </w:pPr>
      <w:r>
        <w:rPr>
          <w:rFonts w:ascii="Garamond" w:hAnsi="Garamond"/>
          <w:spacing w:val="-4"/>
          <w:lang w:val="sq-AL"/>
        </w:rPr>
        <w:t xml:space="preserve">3. </w:t>
      </w:r>
      <w:r w:rsidRPr="00DC7C85">
        <w:rPr>
          <w:rFonts w:ascii="Garamond" w:hAnsi="Garamond"/>
          <w:spacing w:val="-4"/>
          <w:lang w:val="sq-AL"/>
        </w:rPr>
        <w:t>Në fund të pikës 6 shtohet fjalia me këtë përmbajtje:</w:t>
      </w:r>
    </w:p>
    <w:p w:rsidR="004B0F47" w:rsidRPr="00DC7C85" w:rsidRDefault="004B0F47" w:rsidP="004B0F47">
      <w:pPr>
        <w:pStyle w:val="BodyText"/>
        <w:widowControl w:val="0"/>
        <w:numPr>
          <w:ilvl w:val="0"/>
          <w:numId w:val="0"/>
        </w:numPr>
        <w:ind w:firstLine="284"/>
        <w:rPr>
          <w:rFonts w:ascii="Garamond" w:hAnsi="Garamond"/>
          <w:spacing w:val="-4"/>
          <w:lang w:val="sq-AL"/>
        </w:rPr>
      </w:pPr>
      <w:r w:rsidRPr="00DC7C85">
        <w:rPr>
          <w:rFonts w:ascii="Garamond" w:hAnsi="Garamond"/>
          <w:spacing w:val="-4"/>
          <w:lang w:val="sq-AL"/>
        </w:rPr>
        <w:t xml:space="preserve">“Në rastin kur tatimpaguesi hyn në një marrëveshje të pagesës me këste me administratën tatimore, duke filluar nga muaji që pason muajin në të cilin marrëveshja është vendosur deri në përfundimin e afatit të marrëveshjes, me kushtin që marrëveshja të jetë përmbushur tërësisht, tatimpaguesi paguan kamatëvonesë për detyrimin tatimor, pagesa e të cilit shtyhet, por nuk llogaritet gjobë për pagesë të vonuar sipas nenit 114 të këtij ligji.”.  </w:t>
      </w:r>
    </w:p>
    <w:p w:rsidR="004B0F47" w:rsidRPr="00DC7C85" w:rsidRDefault="004B0F47" w:rsidP="004B0F47">
      <w:pPr>
        <w:pStyle w:val="BodyText"/>
        <w:widowControl w:val="0"/>
        <w:numPr>
          <w:ilvl w:val="0"/>
          <w:numId w:val="0"/>
        </w:numPr>
        <w:ind w:firstLine="284"/>
        <w:rPr>
          <w:rFonts w:ascii="Garamond" w:hAnsi="Garamond"/>
          <w:spacing w:val="-4"/>
          <w:lang w:val="sq-AL"/>
        </w:rPr>
      </w:pPr>
      <w:r>
        <w:rPr>
          <w:rFonts w:ascii="Garamond" w:hAnsi="Garamond"/>
          <w:spacing w:val="-4"/>
          <w:lang w:val="sq-AL"/>
        </w:rPr>
        <w:t xml:space="preserve">4. </w:t>
      </w:r>
      <w:r w:rsidRPr="00DC7C85">
        <w:rPr>
          <w:rFonts w:ascii="Garamond" w:hAnsi="Garamond"/>
          <w:spacing w:val="-4"/>
          <w:lang w:val="sq-AL"/>
        </w:rPr>
        <w:t>Pas pikës 6 shtohen pikat 7 dhe 8 me këtë përmbajtje:</w:t>
      </w:r>
    </w:p>
    <w:p w:rsidR="004B0F47" w:rsidRPr="00DC7C85" w:rsidRDefault="004B0F47" w:rsidP="004B0F47">
      <w:pPr>
        <w:pStyle w:val="BodyText"/>
        <w:widowControl w:val="0"/>
        <w:numPr>
          <w:ilvl w:val="0"/>
          <w:numId w:val="0"/>
        </w:numPr>
        <w:ind w:firstLine="284"/>
        <w:rPr>
          <w:rFonts w:ascii="Garamond" w:hAnsi="Garamond"/>
          <w:spacing w:val="-4"/>
          <w:lang w:val="sq-AL"/>
        </w:rPr>
      </w:pPr>
      <w:r w:rsidRPr="00DC7C85">
        <w:rPr>
          <w:rFonts w:ascii="Garamond" w:hAnsi="Garamond"/>
          <w:spacing w:val="-4"/>
          <w:lang w:val="sq-AL"/>
        </w:rPr>
        <w:t>“7.</w:t>
      </w:r>
      <w:r w:rsidRPr="00DC7C85">
        <w:rPr>
          <w:rFonts w:ascii="Garamond" w:hAnsi="Garamond"/>
          <w:spacing w:val="-4"/>
          <w:lang w:val="sq-AL"/>
        </w:rPr>
        <w:tab/>
        <w:t xml:space="preserve"> Marrëveshja për pagesë me këste mund të lidhet për detyrime tatimore të vendosura nga administrata tatimore për një vlerësim tatimor të kryer, sipas nenit 68, të këtij ligji, si dhe për detyrime tatimore të vetëdeklaruara nga tatimpaguesi. </w:t>
      </w:r>
    </w:p>
    <w:p w:rsidR="004B0F47" w:rsidRPr="00DC7C85" w:rsidRDefault="004B0F47" w:rsidP="004B0F47">
      <w:pPr>
        <w:pStyle w:val="BodyText"/>
        <w:widowControl w:val="0"/>
        <w:numPr>
          <w:ilvl w:val="0"/>
          <w:numId w:val="0"/>
        </w:numPr>
        <w:tabs>
          <w:tab w:val="left" w:pos="0"/>
        </w:tabs>
        <w:ind w:firstLine="284"/>
        <w:rPr>
          <w:rFonts w:ascii="Garamond" w:hAnsi="Garamond"/>
          <w:spacing w:val="-4"/>
          <w:lang w:val="sq-AL"/>
        </w:rPr>
      </w:pPr>
      <w:r w:rsidRPr="00DC7C85">
        <w:rPr>
          <w:rFonts w:ascii="Garamond" w:hAnsi="Garamond"/>
          <w:spacing w:val="-4"/>
          <w:lang w:val="sq-AL"/>
        </w:rPr>
        <w:t xml:space="preserve">Përjashtimisht, administrata tatimore nuk hyn në një marrëveshje të pagesës me këste për detyrim tatimor të vetëdeklaruar nga tatimpaguesi, i cili është llogaritur, ose mbledhur, ose mbajtur prej tij, përfshirë kontributet e sigurimeve shoqërore dhe shëndetësore. </w:t>
      </w:r>
    </w:p>
    <w:p w:rsidR="004B0F47" w:rsidRPr="00DC7C85" w:rsidRDefault="004B0F47" w:rsidP="004B0F47">
      <w:pPr>
        <w:pStyle w:val="ListParagraph"/>
        <w:widowControl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 xml:space="preserve">8. </w:t>
      </w:r>
      <w:r w:rsidRPr="00DC7C85">
        <w:rPr>
          <w:rFonts w:ascii="Garamond" w:eastAsia="Calibri" w:hAnsi="Garamond"/>
          <w:spacing w:val="-4"/>
          <w:sz w:val="24"/>
          <w:szCs w:val="24"/>
          <w:lang w:val="sq-AL"/>
        </w:rPr>
        <w:tab/>
        <w:t xml:space="preserve">Në rastin kur për tatimpaguesin ka filluar mbledhja me forcë e detyrimeve tatimore, hiqet urdhërbllokimi i llogarive bankare të tatimpaguesit, i vendosur në përputhje me nenin 90 të këtij ligji. </w:t>
      </w:r>
    </w:p>
    <w:p w:rsidR="004B0F47" w:rsidRPr="00DC7C85" w:rsidRDefault="004B0F47" w:rsidP="004B0F47">
      <w:pPr>
        <w:pStyle w:val="ListParagraph"/>
        <w:widowControl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Në rastin kur për tatimpaguesin ka filluar mbledhja me forcë e detyrimeve tatimore, në përputhje me nenin 91, të këtij ligji, pavarësisht nga lidhja e marrëveshjes së pagesës me këste, administrata tatimore, për të siguruar pagesën e detyrimit tatimor nuk heq dorë nga kjo masë.</w:t>
      </w:r>
    </w:p>
    <w:p w:rsidR="004B0F47" w:rsidRDefault="004B0F47" w:rsidP="004B0F47">
      <w:pPr>
        <w:pStyle w:val="ListParagraph"/>
        <w:widowControl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Administrata tatimore nuk mund të lidhë një marrëveshje të pagesës me këste nëse ka filluar procedurat e shitjes në ankand të pasurive të konfiskuara për efekt të atij detyrimi tatimor të pashlyer, në përputhje me nenin 96 të këtij ligji.”.</w:t>
      </w:r>
    </w:p>
    <w:p w:rsidR="004B0F47" w:rsidRPr="008700B3" w:rsidRDefault="004B0F47" w:rsidP="004B0F47">
      <w:pPr>
        <w:pStyle w:val="NeniNr"/>
        <w:keepNext w:val="0"/>
        <w:rPr>
          <w:sz w:val="14"/>
        </w:rPr>
      </w:pPr>
    </w:p>
    <w:p w:rsidR="004B0F47" w:rsidRPr="00DC7C85" w:rsidRDefault="004B0F47" w:rsidP="004B0F47">
      <w:pPr>
        <w:pStyle w:val="NeniNr"/>
        <w:keepNext w:val="0"/>
      </w:pPr>
      <w:r w:rsidRPr="00DC7C85">
        <w:t>Neni 31</w:t>
      </w:r>
    </w:p>
    <w:p w:rsidR="004B0F47" w:rsidRPr="00DC7C85" w:rsidRDefault="004B0F47" w:rsidP="004B0F47">
      <w:pPr>
        <w:pStyle w:val="Hapesira7"/>
        <w:rPr>
          <w:lang w:val="sq-AL"/>
        </w:rPr>
      </w:pP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80, pika 4, paragrafi i dytë, bëhen ndryshimet e mëposhtme:</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 Në fjalinë e parë, shprehja “pasqyrat financiare dhe” hiqet.</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2. Në fjalinë e parë dhe të dytë, pas fjalës “audituese” shtohen fjalët “ose kompani të klasifikuara si të tilla me ligj të veçantë”.</w:t>
      </w:r>
    </w:p>
    <w:p w:rsidR="004B0F47" w:rsidRPr="00DC7C85" w:rsidRDefault="004B0F47" w:rsidP="004B0F47">
      <w:pPr>
        <w:pStyle w:val="NeniNr"/>
        <w:keepNext w:val="0"/>
      </w:pPr>
      <w:r w:rsidRPr="00DC7C85">
        <w:t>Neni 32</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81 bëhen këto shtesa dhe ndryshime:</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 Pas pikës 1 shtohet pika 1/1 me këtë përmbajtje:</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“1/1. Njoftimi i kontrollit tatimor i dërgohet tatimpaguesit të paktën 30 ditë kalendarike përpara datës së fillimit të kontrollit tatimor të shkruar në njoftim, përveç kur kontrolli kryhet si rezultat i kërkesës së tatimpaguesit për rimbursim tatimor.</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lastRenderedPageBreak/>
        <w:tab/>
        <w:t>Në rastin e kryerjes së vizitave fiskale, të cilat janë kontrolle të shkurtra të kryera gjatë një periudhe të shkurtër kohore për të verifikuar saktësinë e deklaratave e të pagesave, si rregull vetëm për një periudhë të caktuar tatimore dhe vetëm për një lloj tatimi, njoftimi i vizitës fiskale i dërgohet tatimpaguesit të paktën 10 ditë kalendarike përpara datës së fillimit të vizitës fiskale.”.</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2. Në pikën 2, shkronja “f” ndryshohet si më poshtë:</w:t>
      </w:r>
    </w:p>
    <w:p w:rsidR="004B0F47" w:rsidRPr="00DC7C85" w:rsidRDefault="004B0F47" w:rsidP="004B0F47">
      <w:pPr>
        <w:pStyle w:val="BodyText"/>
        <w:widowControl w:val="0"/>
        <w:numPr>
          <w:ilvl w:val="0"/>
          <w:numId w:val="0"/>
        </w:numPr>
        <w:ind w:firstLine="284"/>
        <w:rPr>
          <w:rFonts w:ascii="Garamond" w:hAnsi="Garamond"/>
          <w:spacing w:val="-4"/>
          <w:lang w:val="sq-AL"/>
        </w:rPr>
      </w:pPr>
      <w:r>
        <w:rPr>
          <w:rFonts w:ascii="Garamond" w:eastAsia="Calibri" w:hAnsi="Garamond"/>
          <w:spacing w:val="-4"/>
          <w:lang w:val="sq-AL"/>
        </w:rPr>
        <w:t xml:space="preserve">“f) </w:t>
      </w:r>
      <w:r w:rsidRPr="00DC7C85">
        <w:rPr>
          <w:rFonts w:ascii="Garamond" w:hAnsi="Garamond"/>
          <w:spacing w:val="-4"/>
          <w:lang w:val="sq-AL"/>
        </w:rPr>
        <w:t>datën dhe orën kur fillon dhe kur përfundon kontrolli tatimor. Kohëzgjatja  e nevojshme e kontrollit përcaktohet nga të dhënat e analizës së riskut.”.</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3. Në fund të pikës 2 shtohet paragrafi me këtë përmbajtje:</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“Afati për kryerjen e kontrollit, i përcaktuar në përputhje me shkronjën “f”, mund të zgjatet pas miratimit nga Drejtori i Përgjithshëm i Tatimeve, por jo më shumë se 15 ditë pune.”.</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4. Pas pikës 2 shtohen pikat 3, 4, 5 dhe 6 me këtë përmbajtje: </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“3. Me njoftimin e kontrollit tatimor, tatimpaguesit i jepet mundësia të deklarojë çdo të dhënë për transaksione të padeklaruara, për të cilat nuk është paguar tatim. Ky deklarim kryhet në Drejtorinë Rajonale Tatimore, nëpërmjet një formulari-pyetësor që i vihet në dispozicion së bashku me njoftimin për kontroll, brenda 30 ditëve kalendarike, por përpara fillimit të kontrollit tatimor.</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4. </w:t>
      </w:r>
      <w:r w:rsidRPr="00DC7C85">
        <w:rPr>
          <w:rFonts w:ascii="Garamond" w:hAnsi="Garamond"/>
          <w:spacing w:val="-4"/>
          <w:sz w:val="24"/>
          <w:szCs w:val="24"/>
          <w:lang w:val="sq-AL"/>
        </w:rPr>
        <w:tab/>
        <w:t>Tatimpaguesi deklaron dhe paguan menjëherë tatimin ose kontributin përkatës së bashku me kamatëvonesën, të llogaritur në përputhje me nenin 76 të këtij ligji.</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5. Për detyrimin tatimor të deklaruar përpara fillimit të kontrollit tatimor sipas pikës 3, të këtij neni, aplikohet dënim administrativ në masën 50 për qind të tatimit ose kontributit.</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Nëse dënimi i aplikuar sipas kësaj dispozite është më i madh se dënimi që aplikohet për shkeljen sipas dispozitës përkatëse të kreut XIV, të ligjit, atëherë aplikohet dënimi më i ulët.</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6. Nëse tatimpaguesi nuk deklaron sipas pikës 3, të këtij neni, përpara fillimit të kontrollit prezumohet që nuk ka për të deklaruar dhe për çdo detyrim tatimor apo shkelje të konstatuar gjatë kontrollit aplikohen dënimet administrative sipas këtij ligji.”.</w:t>
      </w:r>
    </w:p>
    <w:p w:rsidR="004B0F47" w:rsidRPr="00DC7C85" w:rsidRDefault="004B0F47" w:rsidP="004B0F47">
      <w:pPr>
        <w:pStyle w:val="NeniNr"/>
        <w:keepNext w:val="0"/>
      </w:pPr>
      <w:r w:rsidRPr="00DC7C85">
        <w:t>Neni 33</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83, pika 3 ndryshohet si më poshtë:</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“3. Raporti i kontrollit miratohet nga struktura përkatëse e Drejtorisë Rajonale Tatimore, përfshirë përgjegjësin e sektorit, drejtorin e kontrollit, si dhe drejtorin e drejtorisë rajonale. Një kopje e raportit të kontrollit i dërgohet me postë tatimpaguesit.”.</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34</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Në nenin 85, pas pikës 2 shtohet pika 3 me këtë përmbajtje: </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“3. Vendimi i miratimit të rikontrollit nga Drejtori i Përgjithshëm i Tatimeve, në të cilin janë shprehur qartë arsyet e rikontrollit, i vihet në dispozicion tatimpaguesit së bashku me njoftimin e kontrollit tatimor.”.</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35</w:t>
      </w:r>
    </w:p>
    <w:p w:rsidR="004B0F47" w:rsidRPr="00DC7C85" w:rsidRDefault="004B0F47" w:rsidP="004B0F47">
      <w:pPr>
        <w:pStyle w:val="Hapesira7"/>
        <w:rPr>
          <w:lang w:val="sq-AL"/>
        </w:rPr>
      </w:pP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88, pas pikës 3 shohet pika 4 me këtë përmbajtje:</w:t>
      </w:r>
    </w:p>
    <w:p w:rsidR="004B0F47" w:rsidRPr="00DC7C85" w:rsidRDefault="004B0F47" w:rsidP="004B0F47">
      <w:pPr>
        <w:pStyle w:val="Default"/>
        <w:widowControl w:val="0"/>
        <w:ind w:firstLine="284"/>
        <w:jc w:val="both"/>
        <w:rPr>
          <w:rFonts w:ascii="Garamond" w:hAnsi="Garamond"/>
          <w:color w:val="auto"/>
          <w:spacing w:val="-4"/>
          <w:lang w:val="sq-AL"/>
        </w:rPr>
      </w:pPr>
      <w:r w:rsidRPr="00DC7C85">
        <w:rPr>
          <w:rFonts w:ascii="Garamond" w:hAnsi="Garamond"/>
          <w:color w:val="auto"/>
          <w:spacing w:val="-4"/>
          <w:lang w:val="sq-AL"/>
        </w:rPr>
        <w:tab/>
        <w:t>“4. Administrata tatimore, pasi ka ezauruar procedurat e mbledhjes me forcë të detyrimit tatimor të papaguar, sipas këtij kreu, mund të mbledhë detyrimin tatimor të mbetur të papaguar edhe nëpërmjet një personi juridik publik, i cili  përfiton komision mbi shumën e mbledhur, në masën e përcaktuar me vendim të Këshillit të Ministrave.”.</w:t>
      </w:r>
    </w:p>
    <w:p w:rsidR="004B0F47" w:rsidRPr="00DC7C85" w:rsidRDefault="004B0F47" w:rsidP="004B0F47">
      <w:pPr>
        <w:pStyle w:val="NeniNr"/>
        <w:keepNext w:val="0"/>
      </w:pPr>
      <w:r w:rsidRPr="00DC7C85">
        <w:t>Neni 36</w:t>
      </w:r>
    </w:p>
    <w:p w:rsidR="004B0F47" w:rsidRPr="00DC7C85" w:rsidRDefault="004B0F47" w:rsidP="004B0F47">
      <w:pPr>
        <w:pStyle w:val="Hapesira7"/>
        <w:rPr>
          <w:lang w:val="sq-AL"/>
        </w:rPr>
      </w:pP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Neni 104 ndryshohet si më poshtë:</w:t>
      </w:r>
    </w:p>
    <w:p w:rsidR="004B0F47" w:rsidRPr="00DC7C85" w:rsidRDefault="004B0F47" w:rsidP="004B0F47">
      <w:pPr>
        <w:pStyle w:val="Hapesira7"/>
        <w:rPr>
          <w:lang w:val="sq-AL"/>
        </w:rPr>
      </w:pPr>
    </w:p>
    <w:p w:rsidR="004B0F47" w:rsidRPr="001D7177" w:rsidRDefault="004B0F47" w:rsidP="004B0F47">
      <w:pPr>
        <w:pStyle w:val="NeniNr"/>
        <w:keepNext w:val="0"/>
      </w:pPr>
      <w:r w:rsidRPr="00DC7C85">
        <w:t>“Neni 104</w:t>
      </w:r>
    </w:p>
    <w:p w:rsidR="004B0F47" w:rsidRPr="00DC7C85" w:rsidRDefault="004B0F47" w:rsidP="004B0F47">
      <w:pPr>
        <w:widowControl w:val="0"/>
        <w:spacing w:after="0" w:line="240" w:lineRule="auto"/>
        <w:jc w:val="center"/>
        <w:rPr>
          <w:rFonts w:ascii="Garamond" w:hAnsi="Garamond"/>
          <w:b/>
          <w:spacing w:val="-4"/>
          <w:sz w:val="24"/>
          <w:szCs w:val="24"/>
          <w:lang w:val="sq-AL"/>
        </w:rPr>
      </w:pPr>
      <w:r w:rsidRPr="00DC7C85">
        <w:rPr>
          <w:rFonts w:ascii="Garamond" w:hAnsi="Garamond"/>
          <w:b/>
          <w:spacing w:val="-4"/>
          <w:sz w:val="24"/>
          <w:szCs w:val="24"/>
          <w:lang w:val="sq-AL"/>
        </w:rPr>
        <w:lastRenderedPageBreak/>
        <w:t>Fillimi i procedurës së falimentimit</w:t>
      </w:r>
    </w:p>
    <w:p w:rsidR="004B0F47" w:rsidRPr="00DC7C85" w:rsidRDefault="004B0F47" w:rsidP="004B0F47">
      <w:pPr>
        <w:pStyle w:val="Hapesira7"/>
        <w:rPr>
          <w:lang w:val="sq-AL"/>
        </w:rPr>
      </w:pP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Fillimi i procedurës së falimentimit në gjykatë nga administrata tatimore bëhet në përputhje me ligjin për falimentimin.”.</w:t>
      </w:r>
    </w:p>
    <w:p w:rsidR="004B0F47" w:rsidRPr="00DC7C85" w:rsidRDefault="004B0F47" w:rsidP="004B0F47">
      <w:pPr>
        <w:pStyle w:val="Hapesira7"/>
        <w:rPr>
          <w:lang w:val="sq-AL"/>
        </w:rPr>
      </w:pPr>
    </w:p>
    <w:p w:rsidR="004B0F47" w:rsidRDefault="004B0F47" w:rsidP="004B0F47">
      <w:pPr>
        <w:pStyle w:val="NeniNr"/>
        <w:keepNext w:val="0"/>
      </w:pPr>
    </w:p>
    <w:p w:rsidR="004B0F47" w:rsidRDefault="004B0F47" w:rsidP="004B0F47">
      <w:pPr>
        <w:pStyle w:val="NeniNr"/>
        <w:keepNext w:val="0"/>
      </w:pPr>
    </w:p>
    <w:p w:rsidR="004B0F47" w:rsidRPr="00DC7C85" w:rsidRDefault="004B0F47" w:rsidP="004B0F47">
      <w:pPr>
        <w:pStyle w:val="NeniNr"/>
        <w:keepNext w:val="0"/>
      </w:pPr>
      <w:r w:rsidRPr="00DC7C85">
        <w:t>Neni 37</w:t>
      </w:r>
    </w:p>
    <w:p w:rsidR="004B0F47" w:rsidRPr="00DC7C85" w:rsidRDefault="004B0F47" w:rsidP="004B0F47">
      <w:pPr>
        <w:pStyle w:val="Hapesira7"/>
        <w:rPr>
          <w:lang w:val="sq-AL"/>
        </w:rPr>
      </w:pP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105, pas pikës 5 shtohet pika 6 me këtë përmbajtje:</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“6. Drejtori i Drejtorisë së Hetimit Tatimor, në Drejtorinë e Përgjithshme të Tatimeve, dhe drejtorët e hetimit tatimor në drejtoritë rajonale tatimore emërohen nga Ministri i Financave.”.</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38</w:t>
      </w:r>
    </w:p>
    <w:p w:rsidR="004B0F47" w:rsidRPr="00DC7C85" w:rsidRDefault="004B0F47" w:rsidP="004B0F47">
      <w:pPr>
        <w:pStyle w:val="Hapesira7"/>
        <w:rPr>
          <w:lang w:val="sq-AL"/>
        </w:rPr>
      </w:pP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105/2 bëhen ndryshimet dhe shtesat e mëposhtme:</w:t>
      </w:r>
    </w:p>
    <w:p w:rsidR="004B0F47" w:rsidRPr="00DC7C85" w:rsidRDefault="004B0F47" w:rsidP="004B0F47">
      <w:pPr>
        <w:pStyle w:val="ListParagraph"/>
        <w:widowControl w:val="0"/>
        <w:spacing w:after="0" w:line="240" w:lineRule="auto"/>
        <w:ind w:left="0" w:firstLine="284"/>
        <w:jc w:val="both"/>
        <w:rPr>
          <w:rFonts w:ascii="Garamond" w:hAnsi="Garamond"/>
          <w:spacing w:val="-4"/>
          <w:sz w:val="24"/>
          <w:szCs w:val="24"/>
          <w:lang w:val="sq-AL"/>
        </w:rPr>
      </w:pPr>
      <w:r w:rsidRPr="00DC7C85">
        <w:rPr>
          <w:rFonts w:ascii="Garamond" w:hAnsi="Garamond"/>
          <w:spacing w:val="-4"/>
          <w:sz w:val="24"/>
          <w:szCs w:val="24"/>
          <w:lang w:val="sq-AL"/>
        </w:rPr>
        <w:tab/>
        <w:t xml:space="preserve">1. Titulli i nenit ndryshohet si më poshtë: </w:t>
      </w:r>
    </w:p>
    <w:p w:rsidR="004B0F47" w:rsidRPr="00DC7C85" w:rsidRDefault="004B0F47" w:rsidP="004B0F47">
      <w:pPr>
        <w:pStyle w:val="ListParagraph"/>
        <w:widowControl w:val="0"/>
        <w:spacing w:after="0" w:line="240" w:lineRule="auto"/>
        <w:ind w:left="0" w:firstLine="284"/>
        <w:jc w:val="both"/>
        <w:rPr>
          <w:rFonts w:ascii="Garamond" w:hAnsi="Garamond"/>
          <w:spacing w:val="-4"/>
          <w:sz w:val="24"/>
          <w:szCs w:val="24"/>
          <w:lang w:val="sq-AL"/>
        </w:rPr>
      </w:pPr>
      <w:r w:rsidRPr="00DC7C85">
        <w:rPr>
          <w:rFonts w:ascii="Garamond" w:hAnsi="Garamond"/>
          <w:spacing w:val="-4"/>
          <w:sz w:val="24"/>
          <w:szCs w:val="24"/>
          <w:lang w:val="sq-AL"/>
        </w:rPr>
        <w:tab/>
        <w:t xml:space="preserve">“Struktura, kompetencat dhe funksionet e Avokatit të Tatimpaguesve” </w:t>
      </w:r>
    </w:p>
    <w:p w:rsidR="004B0F47" w:rsidRPr="00DC7C85" w:rsidRDefault="004B0F47" w:rsidP="004B0F47">
      <w:pPr>
        <w:pStyle w:val="ListParagraph"/>
        <w:widowControl w:val="0"/>
        <w:spacing w:after="0" w:line="240" w:lineRule="auto"/>
        <w:ind w:left="0" w:firstLine="284"/>
        <w:jc w:val="both"/>
        <w:rPr>
          <w:rFonts w:ascii="Garamond" w:hAnsi="Garamond"/>
          <w:spacing w:val="-4"/>
          <w:sz w:val="24"/>
          <w:szCs w:val="24"/>
          <w:lang w:val="sq-AL"/>
        </w:rPr>
      </w:pPr>
      <w:r w:rsidRPr="00DC7C85">
        <w:rPr>
          <w:rFonts w:ascii="Garamond" w:hAnsi="Garamond"/>
          <w:spacing w:val="-4"/>
          <w:sz w:val="24"/>
          <w:szCs w:val="24"/>
          <w:lang w:val="sq-AL"/>
        </w:rPr>
        <w:tab/>
        <w:t>2. Në pikën 2, pas shkronjës “ë” shtohen shkronjat “f” dhe “g” me këtë përmbajtje:</w:t>
      </w:r>
    </w:p>
    <w:p w:rsidR="004B0F47" w:rsidRPr="00DC7C85" w:rsidRDefault="004B0F47" w:rsidP="004B0F47">
      <w:pPr>
        <w:widowControl w:val="0"/>
        <w:spacing w:after="0" w:line="240" w:lineRule="auto"/>
        <w:rPr>
          <w:rFonts w:ascii="Garamond" w:hAnsi="Garamond"/>
          <w:b/>
          <w:spacing w:val="-4"/>
          <w:sz w:val="24"/>
          <w:szCs w:val="24"/>
          <w:lang w:val="sq-AL"/>
        </w:rPr>
      </w:pPr>
      <w:r w:rsidRPr="00DC7C85">
        <w:rPr>
          <w:rFonts w:ascii="Garamond" w:hAnsi="Garamond"/>
          <w:spacing w:val="-4"/>
          <w:sz w:val="24"/>
          <w:szCs w:val="24"/>
          <w:lang w:val="sq-AL"/>
        </w:rPr>
        <w:tab/>
        <w:t xml:space="preserve">“f) nxjerr rekomandime me karakter të përgjithshëm në lidhje me çështjet e identifikuara gjatë ushtrimit të funksioneve të tij dhe i përdor ato si bazë për të bërë propozime për ndryshimin e legjislacionit përkatës; </w:t>
      </w:r>
    </w:p>
    <w:p w:rsidR="004B0F47" w:rsidRPr="00DC7C85" w:rsidRDefault="004B0F47" w:rsidP="004B0F47">
      <w:pPr>
        <w:widowControl w:val="0"/>
        <w:spacing w:after="0" w:line="240" w:lineRule="auto"/>
        <w:rPr>
          <w:rFonts w:ascii="Garamond" w:hAnsi="Garamond"/>
          <w:b/>
          <w:spacing w:val="-4"/>
          <w:sz w:val="24"/>
          <w:szCs w:val="24"/>
          <w:lang w:val="sq-AL"/>
        </w:rPr>
      </w:pPr>
      <w:r w:rsidRPr="00DC7C85">
        <w:rPr>
          <w:rFonts w:ascii="Garamond" w:hAnsi="Garamond"/>
          <w:spacing w:val="-4"/>
          <w:sz w:val="24"/>
          <w:szCs w:val="24"/>
          <w:lang w:val="sq-AL"/>
        </w:rPr>
        <w:tab/>
        <w:t>g) nxjerr rekomandime me shkrim drejtuar Drejtorisë së Apelimit Tatimor ose Komisionit për Shqyrtimin e Apelimeve Tatimore dhe/ose i paraqet këto rekomandime në seancat dëgjimore administrative të mbajtura nga Drejtoria e Apelimit Tatimor ose Komisioni për Shqyrtimin e Apelimeve Tatimore.”.</w:t>
      </w:r>
    </w:p>
    <w:p w:rsidR="004B0F47" w:rsidRPr="00DC7C85" w:rsidRDefault="004B0F47" w:rsidP="004B0F47">
      <w:pPr>
        <w:pStyle w:val="ListParagraph"/>
        <w:widowControl w:val="0"/>
        <w:spacing w:after="0" w:line="240" w:lineRule="auto"/>
        <w:ind w:left="0" w:firstLine="284"/>
        <w:jc w:val="both"/>
        <w:rPr>
          <w:rFonts w:ascii="Garamond" w:hAnsi="Garamond"/>
          <w:spacing w:val="-4"/>
          <w:sz w:val="24"/>
          <w:szCs w:val="24"/>
          <w:lang w:val="sq-AL"/>
        </w:rPr>
      </w:pPr>
      <w:r w:rsidRPr="00DC7C85">
        <w:rPr>
          <w:rFonts w:ascii="Garamond" w:hAnsi="Garamond"/>
          <w:spacing w:val="-4"/>
          <w:sz w:val="24"/>
          <w:szCs w:val="24"/>
          <w:lang w:val="sq-AL"/>
        </w:rPr>
        <w:tab/>
        <w:t>3. Pas pikës 3 shtohen pikat 3/1 dhe 3/2 me këtë përmbajtje:</w:t>
      </w:r>
    </w:p>
    <w:p w:rsidR="004B0F47" w:rsidRPr="00DC7C85" w:rsidRDefault="004B0F47" w:rsidP="004B0F47">
      <w:pPr>
        <w:widowControl w:val="0"/>
        <w:spacing w:after="0" w:line="240" w:lineRule="auto"/>
        <w:rPr>
          <w:rFonts w:ascii="Garamond" w:hAnsi="Garamond"/>
          <w:b/>
          <w:spacing w:val="-4"/>
          <w:sz w:val="24"/>
          <w:szCs w:val="24"/>
          <w:lang w:val="sq-AL"/>
        </w:rPr>
      </w:pPr>
      <w:r w:rsidRPr="00DC7C85">
        <w:rPr>
          <w:rFonts w:ascii="Garamond" w:hAnsi="Garamond"/>
          <w:spacing w:val="-4"/>
          <w:sz w:val="24"/>
          <w:szCs w:val="24"/>
          <w:lang w:val="sq-AL"/>
        </w:rPr>
        <w:tab/>
        <w:t xml:space="preserve">“3/1. Avokati i Tatimpaguesve gëzon të drejtën e njohjes dhe marrjes me shkrim nga strukturat e administratës tatimore të çdo informacioni të përgjithshëm apo të veçantë për një tatimpagues apo një grup tatimpaguesish, në çdo fazë të procesit administrativ. Ai mund të kërkojë informacion pranë çdo strukture të administratës tatimore, përfshirë Drejtorinë e Hetimit Tatimor, për aq sa nuk cenohen interesat e hetimit tatimor, siç përcaktohet në dispozitat ligjore në fuqi për këtë qëllim. Avokati i Tatimpaguesve gëzon të drejtën e njohjes dhe marrjes se informacionit edhe nga strukturat përkatëse të shqyrtimit administrativ tatimor në Ministrinë e Financave.  </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3/2. Avokati i Tatimpaguesve, në bazë të kërkesës se tatimpaguesit, ka të drejtë t’i rekomandojë Drejtorit të Përgjithshëm të Tatimeve nxjerrjen e vendimeve teknike, në përputhje me përcaktimet e nenit 10 të këtij ligji. Drejtori i Përgjithshëm i Tatimeve në çdo rast i kthen përgjigje të arsyetuar Avokatit të Tatimpaguesve, për marrjen parasysh ose jo të rekomandimit brenda një afati 30-ditor.”.   </w:t>
      </w:r>
    </w:p>
    <w:p w:rsidR="004B0F47" w:rsidRPr="00DC7C85" w:rsidRDefault="004B0F47" w:rsidP="004B0F47">
      <w:pPr>
        <w:pStyle w:val="ListParagraph"/>
        <w:widowControl w:val="0"/>
        <w:spacing w:after="0" w:line="240" w:lineRule="auto"/>
        <w:ind w:left="0" w:firstLine="284"/>
        <w:jc w:val="both"/>
        <w:rPr>
          <w:rFonts w:ascii="Garamond" w:hAnsi="Garamond"/>
          <w:spacing w:val="-4"/>
          <w:sz w:val="24"/>
          <w:szCs w:val="24"/>
          <w:lang w:val="sq-AL"/>
        </w:rPr>
      </w:pPr>
      <w:r w:rsidRPr="00DC7C85">
        <w:rPr>
          <w:rFonts w:ascii="Garamond" w:hAnsi="Garamond"/>
          <w:spacing w:val="-4"/>
          <w:sz w:val="24"/>
          <w:szCs w:val="24"/>
          <w:lang w:val="sq-AL"/>
        </w:rPr>
        <w:tab/>
        <w:t>4. Pikat 5, 6 dhe 8 ndryshohen si më poshtë: </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“5. Avokati i Tatimpaguesit emërohet sipas dispozitave të legjislacionit për nëpunësin civil dhe është strukturë e pavarur në vendimmarrje, në përbërje të Ministrisë së Financave.</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6. Kompetencat, detyrat funksionale dhe mënyra e bashkëpunimit të Avokatit të Tatimpaguesve me Drejtorinë e Përgjithshme të Tatimeve dhe me palët e treta përcaktohen me vendim të Këshillit të Ministrave.</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8. Manuali i Avokatit të Tatimpaguesve, i cili përmban procedura të hollësishme për mbledhjen e informacionit, evidentimin dhe shqyrtimin e ankesave të tatimpaguesve, zgjedhjen dhe trajtimin e ankesave e të shqetësimeve të tatimpaguesve dhe procedurat e raportimit, si dhe rregullat për përgjithësimin e gjetjeve individuale, mbylljen e shqyrtimeve, kohën brenda të cilës do të shqyrtohen ankesat, si dhe treguesit e matjes së performancës miratohet nëpërmjet një udhëzimi të Ministrit të Financave.”.</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39</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106, në fund të pikës 1, shtohen fjalët “në përputhje me Kodin e Procedurave Administrative, përveçse kur në këtë ligj përcaktohet ndryshe”.</w:t>
      </w:r>
    </w:p>
    <w:p w:rsidR="004B0F47" w:rsidRPr="00DC7C85" w:rsidRDefault="004B0F47" w:rsidP="004B0F47">
      <w:pPr>
        <w:pStyle w:val="Hapesira7"/>
        <w:rPr>
          <w:lang w:val="sq-AL"/>
        </w:rPr>
      </w:pPr>
      <w:r w:rsidRPr="00DC7C85">
        <w:rPr>
          <w:lang w:val="sq-AL"/>
        </w:rPr>
        <w:tab/>
      </w:r>
      <w:r w:rsidRPr="00DC7C85">
        <w:rPr>
          <w:lang w:val="sq-AL"/>
        </w:rPr>
        <w:tab/>
      </w:r>
      <w:r w:rsidRPr="00DC7C85">
        <w:rPr>
          <w:lang w:val="sq-AL"/>
        </w:rPr>
        <w:tab/>
      </w:r>
      <w:r w:rsidRPr="00DC7C85">
        <w:rPr>
          <w:lang w:val="sq-AL"/>
        </w:rPr>
        <w:tab/>
      </w:r>
      <w:r w:rsidRPr="00DC7C85">
        <w:rPr>
          <w:lang w:val="sq-AL"/>
        </w:rPr>
        <w:tab/>
        <w:t xml:space="preserve"> </w:t>
      </w:r>
    </w:p>
    <w:p w:rsidR="004B0F47" w:rsidRPr="00DC7C85" w:rsidRDefault="004B0F47" w:rsidP="004B0F47">
      <w:pPr>
        <w:pStyle w:val="NeniNr"/>
        <w:keepNext w:val="0"/>
      </w:pPr>
      <w:r w:rsidRPr="00DC7C85">
        <w:t>Neni 40</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108 bëhen ndryshimet dhe shtesa e mëposhtme:</w:t>
      </w:r>
    </w:p>
    <w:p w:rsidR="004B0F47" w:rsidRPr="00DC7C85" w:rsidRDefault="004B0F47" w:rsidP="004B0F47">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1. Kudo në këtë nen, pas emërtimit “Drejtoria e Apelimit Tatimor” shtohet  “ose Komisioni për Shqyrtimin e Apelimeve Tatimore”.</w:t>
      </w:r>
    </w:p>
    <w:p w:rsidR="004B0F47" w:rsidRPr="00DC7C85" w:rsidRDefault="004B0F47" w:rsidP="004B0F47">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2. Pika 5 ndryshohet si më poshtë:</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“5. Barra e provës për të vërtetuar se një vlerësim tatimor ose vendim është i pasaktë ushtrohet në përputhje me Kodin e Procedurave Administrative.”. </w:t>
      </w:r>
    </w:p>
    <w:p w:rsidR="004B0F47" w:rsidRPr="00DC7C85" w:rsidRDefault="004B0F47" w:rsidP="004B0F47">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3.</w:t>
      </w:r>
      <w:r w:rsidRPr="00DC7C85">
        <w:rPr>
          <w:rFonts w:ascii="Garamond" w:eastAsia="Calibri" w:hAnsi="Garamond"/>
          <w:spacing w:val="-4"/>
          <w:sz w:val="24"/>
          <w:szCs w:val="24"/>
          <w:lang w:val="sq-AL"/>
        </w:rPr>
        <w:tab/>
      </w:r>
      <w:r>
        <w:rPr>
          <w:rFonts w:ascii="Garamond" w:eastAsia="Calibri" w:hAnsi="Garamond"/>
          <w:spacing w:val="-4"/>
          <w:sz w:val="24"/>
          <w:szCs w:val="24"/>
          <w:lang w:val="sq-AL"/>
        </w:rPr>
        <w:t xml:space="preserve"> </w:t>
      </w:r>
      <w:r w:rsidRPr="00DC7C85">
        <w:rPr>
          <w:rFonts w:ascii="Garamond" w:eastAsia="Calibri" w:hAnsi="Garamond"/>
          <w:spacing w:val="-4"/>
          <w:sz w:val="24"/>
          <w:szCs w:val="24"/>
          <w:lang w:val="sq-AL"/>
        </w:rPr>
        <w:t>Në pikën 6, fjalët “në përputhje me nenin 108, të Kodit të Procedurave Administrative” zëvendësohen me fjalët “në përputhje me nenin 100 të Kodit të Procedurave Administrative”.</w:t>
      </w:r>
    </w:p>
    <w:p w:rsidR="004B0F47" w:rsidRDefault="004B0F47" w:rsidP="004B0F47">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4. Pas pikës 6 shtohet pika 7 me këtë përmbajtje:</w:t>
      </w:r>
    </w:p>
    <w:p w:rsidR="004B0F47" w:rsidRPr="00DC7C85" w:rsidRDefault="004B0F47" w:rsidP="004B0F47">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p>
    <w:p w:rsidR="004B0F47" w:rsidRPr="00DC7C85" w:rsidRDefault="004B0F47" w:rsidP="004B0F47">
      <w:pPr>
        <w:widowControl w:val="0"/>
        <w:autoSpaceDE w:val="0"/>
        <w:autoSpaceDN w:val="0"/>
        <w:adjustRightInd w:val="0"/>
        <w:spacing w:after="0" w:line="240" w:lineRule="auto"/>
        <w:contextualSpacing/>
        <w:rPr>
          <w:rFonts w:ascii="Garamond" w:hAnsi="Garamond"/>
          <w:spacing w:val="-4"/>
          <w:sz w:val="24"/>
          <w:szCs w:val="24"/>
          <w:lang w:val="sq-AL"/>
        </w:rPr>
      </w:pPr>
      <w:r w:rsidRPr="00DC7C85">
        <w:rPr>
          <w:rFonts w:ascii="Garamond" w:hAnsi="Garamond"/>
          <w:spacing w:val="-4"/>
          <w:sz w:val="24"/>
          <w:szCs w:val="24"/>
          <w:lang w:val="sq-AL"/>
        </w:rPr>
        <w:tab/>
        <w:t>“7. Komisioni për Shqyrtimin e Apelimeve Tatimore ka për kompetencë të shqyrtojë dhe të marrë vendim për ankimin tatimor që ka për objekt detyrimin tatimor, sipas vlerës së përcaktuar me vendim të Këshillit të Ministrave.”.</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41</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109 bëhen këto ndryshime:</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w:t>
      </w:r>
      <w:r w:rsidRPr="00DC7C85">
        <w:rPr>
          <w:rFonts w:ascii="Garamond" w:hAnsi="Garamond"/>
          <w:spacing w:val="-4"/>
          <w:sz w:val="24"/>
          <w:szCs w:val="24"/>
          <w:lang w:val="sq-AL"/>
        </w:rPr>
        <w:tab/>
        <w:t>Titulli i nenit ndryshohet nga “Vendimi i drejtorisë” në “Vendimi për ankimin administrativ tatimor dhe e drejta e ankimit”.</w:t>
      </w:r>
    </w:p>
    <w:p w:rsidR="004B0F47" w:rsidRPr="00DC7C85" w:rsidRDefault="004B0F47" w:rsidP="004B0F47">
      <w:pPr>
        <w:pStyle w:val="ListParagraph"/>
        <w:widowControl w:val="0"/>
        <w:autoSpaceDE w:val="0"/>
        <w:autoSpaceDN w:val="0"/>
        <w:adjustRightInd w:val="0"/>
        <w:spacing w:after="0" w:line="240" w:lineRule="auto"/>
        <w:ind w:left="0" w:firstLine="284"/>
        <w:rPr>
          <w:rFonts w:ascii="Garamond" w:eastAsia="Calibri" w:hAnsi="Garamond"/>
          <w:spacing w:val="-4"/>
          <w:sz w:val="24"/>
          <w:szCs w:val="24"/>
          <w:lang w:val="sq-AL"/>
        </w:rPr>
      </w:pPr>
      <w:r w:rsidRPr="00DC7C85">
        <w:rPr>
          <w:rFonts w:ascii="Garamond" w:eastAsia="Calibri" w:hAnsi="Garamond"/>
          <w:spacing w:val="-4"/>
          <w:sz w:val="24"/>
          <w:szCs w:val="24"/>
          <w:lang w:val="sq-AL"/>
        </w:rPr>
        <w:tab/>
        <w:t>2. Kudo në nen, pas emërtimit “Drejtoria e Apelimit Tatimor” shtohen fjalët “ose Komisioni për Shqyrtimin e Apelimeve Tatimore”.</w:t>
      </w:r>
    </w:p>
    <w:p w:rsidR="004B0F47" w:rsidRPr="00DC7C85" w:rsidRDefault="004B0F47" w:rsidP="004B0F47">
      <w:pPr>
        <w:pStyle w:val="ListParagraph"/>
        <w:widowControl w:val="0"/>
        <w:autoSpaceDE w:val="0"/>
        <w:autoSpaceDN w:val="0"/>
        <w:adjustRightInd w:val="0"/>
        <w:spacing w:after="0" w:line="240" w:lineRule="auto"/>
        <w:ind w:left="0" w:firstLine="284"/>
        <w:rPr>
          <w:rFonts w:ascii="Garamond" w:eastAsia="Calibri" w:hAnsi="Garamond"/>
          <w:spacing w:val="-4"/>
          <w:sz w:val="24"/>
          <w:szCs w:val="24"/>
          <w:lang w:val="sq-AL"/>
        </w:rPr>
      </w:pPr>
      <w:r w:rsidRPr="00DC7C85">
        <w:rPr>
          <w:rFonts w:ascii="Garamond" w:eastAsia="Calibri" w:hAnsi="Garamond"/>
          <w:spacing w:val="-4"/>
          <w:sz w:val="24"/>
          <w:szCs w:val="24"/>
          <w:lang w:val="sq-AL"/>
        </w:rPr>
        <w:tab/>
        <w:t xml:space="preserve">3. Pika 3 ndryshohet si më poshtë: </w:t>
      </w:r>
    </w:p>
    <w:p w:rsidR="004B0F47" w:rsidRPr="00DC7C85" w:rsidRDefault="004B0F47" w:rsidP="004B0F47">
      <w:pPr>
        <w:pStyle w:val="BodyText"/>
        <w:widowControl w:val="0"/>
        <w:numPr>
          <w:ilvl w:val="0"/>
          <w:numId w:val="0"/>
        </w:numPr>
        <w:ind w:firstLine="284"/>
        <w:rPr>
          <w:rFonts w:ascii="Garamond" w:hAnsi="Garamond"/>
          <w:spacing w:val="-4"/>
          <w:lang w:val="sq-AL"/>
        </w:rPr>
      </w:pPr>
      <w:r w:rsidRPr="00DC7C85">
        <w:rPr>
          <w:rFonts w:ascii="Garamond" w:hAnsi="Garamond"/>
          <w:spacing w:val="-4"/>
          <w:lang w:val="sq-AL"/>
        </w:rPr>
        <w:t>“3. Vendimi i Drejtorisë së Apelimit Tatimor ose i Komisionit</w:t>
      </w:r>
      <w:r w:rsidRPr="00DC7C85">
        <w:rPr>
          <w:rFonts w:ascii="Garamond" w:eastAsia="Calibri" w:hAnsi="Garamond"/>
          <w:spacing w:val="-4"/>
          <w:lang w:val="sq-AL"/>
        </w:rPr>
        <w:t xml:space="preserve"> për Shqyrtimin e Apelimeve Tatimore</w:t>
      </w:r>
      <w:r w:rsidRPr="00DC7C85">
        <w:rPr>
          <w:rFonts w:ascii="Garamond" w:hAnsi="Garamond"/>
          <w:spacing w:val="-4"/>
          <w:lang w:val="sq-AL"/>
        </w:rPr>
        <w:t xml:space="preserve"> është i detyrueshëm për zbatim nga organi i administratës tatimore që ka bërë vlerësimin tatimor dhe nuk apelohet prej tij.”.</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4. Në pikën 4, fjalia e dytë ndryshohet si më poshtë: </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“Drejtoria e Apelimit Tatimor merr masa për publikimin në </w:t>
      </w:r>
      <w:r w:rsidRPr="00DC7C85">
        <w:rPr>
          <w:rFonts w:ascii="Garamond" w:hAnsi="Garamond"/>
          <w:i/>
          <w:spacing w:val="-4"/>
          <w:sz w:val="24"/>
          <w:szCs w:val="24"/>
          <w:lang w:val="sq-AL"/>
        </w:rPr>
        <w:t>website</w:t>
      </w:r>
      <w:r w:rsidRPr="00DC7C85">
        <w:rPr>
          <w:rFonts w:ascii="Garamond" w:hAnsi="Garamond"/>
          <w:spacing w:val="-4"/>
          <w:sz w:val="24"/>
          <w:szCs w:val="24"/>
          <w:lang w:val="sq-AL"/>
        </w:rPr>
        <w:t xml:space="preserve"> të qëndrimeve të mbajtura në vendimet e marra prej saj.”.</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42</w:t>
      </w:r>
    </w:p>
    <w:p w:rsidR="004B0F47" w:rsidRPr="00DC7C85" w:rsidRDefault="004B0F47" w:rsidP="004B0F47">
      <w:pPr>
        <w:pStyle w:val="Hapesira7"/>
        <w:rPr>
          <w:lang w:val="sq-AL"/>
        </w:rPr>
      </w:pPr>
    </w:p>
    <w:p w:rsidR="004B0F47" w:rsidRPr="00DC7C85" w:rsidRDefault="004B0F47" w:rsidP="004B0F47">
      <w:pPr>
        <w:pStyle w:val="Default"/>
        <w:widowControl w:val="0"/>
        <w:ind w:firstLine="284"/>
        <w:jc w:val="both"/>
        <w:rPr>
          <w:rFonts w:ascii="Garamond" w:hAnsi="Garamond"/>
          <w:color w:val="auto"/>
          <w:spacing w:val="-4"/>
          <w:lang w:val="sq-AL"/>
        </w:rPr>
      </w:pPr>
      <w:r w:rsidRPr="00DC7C85">
        <w:rPr>
          <w:rFonts w:ascii="Garamond" w:hAnsi="Garamond"/>
          <w:color w:val="auto"/>
          <w:spacing w:val="-4"/>
          <w:lang w:val="sq-AL"/>
        </w:rPr>
        <w:tab/>
        <w:t>Në nenin 110 bëhen këto ndryshime:</w:t>
      </w:r>
    </w:p>
    <w:p w:rsidR="004B0F47" w:rsidRPr="00DC7C85" w:rsidRDefault="004B0F47" w:rsidP="004B0F47">
      <w:pPr>
        <w:widowControl w:val="0"/>
        <w:autoSpaceDE w:val="0"/>
        <w:autoSpaceDN w:val="0"/>
        <w:adjustRightInd w:val="0"/>
        <w:spacing w:after="0" w:line="240" w:lineRule="auto"/>
        <w:contextualSpacing/>
        <w:rPr>
          <w:rFonts w:ascii="Garamond" w:hAnsi="Garamond"/>
          <w:spacing w:val="-4"/>
          <w:sz w:val="24"/>
          <w:szCs w:val="24"/>
          <w:lang w:val="sq-AL"/>
        </w:rPr>
      </w:pPr>
      <w:r w:rsidRPr="00DC7C85">
        <w:rPr>
          <w:rFonts w:ascii="Garamond" w:hAnsi="Garamond"/>
          <w:spacing w:val="-4"/>
          <w:sz w:val="24"/>
          <w:szCs w:val="24"/>
          <w:lang w:val="sq-AL"/>
        </w:rPr>
        <w:tab/>
        <w:t>1.</w:t>
      </w:r>
      <w:r w:rsidRPr="00DC7C85">
        <w:rPr>
          <w:rFonts w:ascii="Garamond" w:hAnsi="Garamond"/>
          <w:spacing w:val="-4"/>
          <w:sz w:val="24"/>
          <w:szCs w:val="24"/>
          <w:lang w:val="sq-AL"/>
        </w:rPr>
        <w:tab/>
      </w:r>
      <w:r>
        <w:rPr>
          <w:rFonts w:ascii="Garamond" w:hAnsi="Garamond"/>
          <w:spacing w:val="-4"/>
          <w:sz w:val="24"/>
          <w:szCs w:val="24"/>
          <w:lang w:val="sq-AL"/>
        </w:rPr>
        <w:t xml:space="preserve"> </w:t>
      </w:r>
      <w:r w:rsidRPr="00DC7C85">
        <w:rPr>
          <w:rFonts w:ascii="Garamond" w:hAnsi="Garamond"/>
          <w:spacing w:val="-4"/>
          <w:sz w:val="24"/>
          <w:szCs w:val="24"/>
          <w:lang w:val="sq-AL"/>
        </w:rPr>
        <w:t>Kudo në nen, pas emërtimit “Drejtoria/së e/së Apelimit Tatimor”  shtohen fjalët “ose Komisioni/t për Shqyrtimin e Apelimeve Tatimore”.</w:t>
      </w:r>
    </w:p>
    <w:p w:rsidR="004B0F47" w:rsidRPr="00DC7C85" w:rsidRDefault="004B0F47" w:rsidP="004B0F47">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 xml:space="preserve">2. Në pikën 1, fjalët “dhe administrata tatimore e pranon vendimin” shfuqizohen. </w:t>
      </w:r>
    </w:p>
    <w:p w:rsidR="004B0F47" w:rsidRPr="00DC7C85" w:rsidRDefault="004B0F47" w:rsidP="004B0F47">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3. Pika 2 ndryshohet si më poshtë:</w:t>
      </w:r>
    </w:p>
    <w:p w:rsidR="004B0F47" w:rsidRPr="00DC7C85" w:rsidRDefault="004B0F47" w:rsidP="004B0F47">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“2. Nëse Drejtoria e Apelimit Tatimor ose Komisioni për Shqyrtimin e Apelimeve Tatimore lë në fuqi vendimin e administratës tatimore dhe tatimpaguesi e pranon vendimin, çdo detyrim tatimor, që përfshin tatimin, në rastin kur nuk është paguar, por është vendosur garanci, kamatëvonesë dhe çdo gjobë e llogaritur, paguhen nga tatimpaguesi, brenda 30 ditëve kalendarike nga data kur vendimi për ankimin është marrë ose vlerësohet të jetë marrë.”.</w:t>
      </w:r>
    </w:p>
    <w:p w:rsidR="004B0F47" w:rsidRPr="00DC7C85" w:rsidRDefault="004B0F47" w:rsidP="004B0F47">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4. Pika 3 shfuqizohet.</w:t>
      </w:r>
    </w:p>
    <w:p w:rsidR="004B0F47" w:rsidRPr="00DC7C85" w:rsidRDefault="004B0F47" w:rsidP="004B0F47">
      <w:pPr>
        <w:pStyle w:val="Hapesira7"/>
        <w:rPr>
          <w:lang w:val="sq-AL"/>
        </w:rPr>
      </w:pPr>
    </w:p>
    <w:p w:rsidR="004B0F47" w:rsidRPr="00DC7C85" w:rsidRDefault="004B0F47" w:rsidP="004B0F47">
      <w:pPr>
        <w:pStyle w:val="NeniNr"/>
        <w:keepNext w:val="0"/>
      </w:pPr>
      <w:r w:rsidRPr="00DC7C85">
        <w:lastRenderedPageBreak/>
        <w:t>Neni 43</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Neni 113 ndryshohet si më poshtë:</w:t>
      </w:r>
    </w:p>
    <w:p w:rsidR="004B0F47" w:rsidRPr="00DC7C85" w:rsidRDefault="004B0F47" w:rsidP="004B0F47">
      <w:pPr>
        <w:pStyle w:val="Hapesira7"/>
        <w:rPr>
          <w:lang w:val="sq-AL"/>
        </w:rPr>
      </w:pPr>
    </w:p>
    <w:p w:rsidR="004B0F47" w:rsidRPr="001D7177" w:rsidRDefault="004B0F47" w:rsidP="004B0F47">
      <w:pPr>
        <w:pStyle w:val="NeniNr"/>
        <w:keepNext w:val="0"/>
      </w:pPr>
      <w:r w:rsidRPr="00DC7C85">
        <w:t>“Neni 113</w:t>
      </w:r>
    </w:p>
    <w:p w:rsidR="004B0F47" w:rsidRPr="00DC7C85" w:rsidRDefault="004B0F47" w:rsidP="004B0F47">
      <w:pPr>
        <w:widowControl w:val="0"/>
        <w:autoSpaceDE w:val="0"/>
        <w:autoSpaceDN w:val="0"/>
        <w:adjustRightInd w:val="0"/>
        <w:spacing w:after="0" w:line="240" w:lineRule="auto"/>
        <w:jc w:val="center"/>
        <w:rPr>
          <w:rFonts w:ascii="Garamond" w:hAnsi="Garamond"/>
          <w:b/>
          <w:spacing w:val="-4"/>
          <w:sz w:val="24"/>
          <w:szCs w:val="24"/>
          <w:lang w:val="sq-AL"/>
        </w:rPr>
      </w:pPr>
      <w:r w:rsidRPr="00DC7C85">
        <w:rPr>
          <w:rFonts w:ascii="Garamond" w:hAnsi="Garamond"/>
          <w:b/>
          <w:spacing w:val="-4"/>
          <w:sz w:val="24"/>
          <w:szCs w:val="24"/>
          <w:lang w:val="sq-AL"/>
        </w:rPr>
        <w:t>Mosdeklarimi në afat</w:t>
      </w:r>
    </w:p>
    <w:p w:rsidR="004B0F47" w:rsidRPr="00335496" w:rsidRDefault="004B0F47" w:rsidP="004B0F47">
      <w:pPr>
        <w:widowControl w:val="0"/>
        <w:autoSpaceDE w:val="0"/>
        <w:autoSpaceDN w:val="0"/>
        <w:adjustRightInd w:val="0"/>
        <w:spacing w:after="0" w:line="240" w:lineRule="auto"/>
        <w:jc w:val="center"/>
        <w:rPr>
          <w:rFonts w:ascii="Garamond" w:hAnsi="Garamond"/>
          <w:spacing w:val="-4"/>
          <w:sz w:val="14"/>
          <w:szCs w:val="24"/>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Tatimpaguesi, i cili nuk dorëzon në afatin e përcaktuar sipas ligjit përkatës deklaratën tatimore, për të cilën detyrohet sipas ligjit të deklarojë, dënohet me gjobë për çdo deklaratë tatimore të padorëzuar në afat, si më poshtë:</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a) 10 000 lekë për tatimpaguesit e tatimit mbi fitimin;</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b) 5 000 lekë për tatimpaguesit e tjerë.”.</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44</w:t>
      </w:r>
    </w:p>
    <w:p w:rsidR="004B0F47" w:rsidRPr="00DC7C85" w:rsidRDefault="004B0F47" w:rsidP="004B0F47">
      <w:pPr>
        <w:pStyle w:val="Hapesira7"/>
        <w:rPr>
          <w:lang w:val="sq-AL"/>
        </w:rPr>
      </w:pP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Në nenin 114, pika 2, fjalia e dytë ndryshohet si më poshtë: </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“Shumë e papaguar e detyrimit tatimor është diferenca ndërmjet shumës së saktë të rimbursueshme dhe shumës së rimbursimit të marrë në datën e caktuar.”.</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45</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Neni 114/1 ndryshohet si më poshtë: </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 xml:space="preserve"> “Neni 114/1</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Mospagimi në afat i kësteve paraprake të tatimit mbi fitimin ose kësteve paraprake të tatimit të thjeshtuar mbi fitimin, përkatësisht sipas nenit 30, të ligjit nr. 8438, datë 28.12.1998, “Për tatimin mbi të ardhurat”, të ndryshuar, dhe nenit 15, të ligjit nr. 9632, datë 30.10.2006, “Për sistemin e taksave vendore”, të ndryshuar, dënohet me gjobë, në masën 10 për qind të shumës së këstit për t’u paguar.”.</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46</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Në nenin 115, pika 2, fjalia e dytë shfuqizohet.  </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47</w:t>
      </w:r>
    </w:p>
    <w:p w:rsidR="004B0F47" w:rsidRPr="008D5326" w:rsidRDefault="004B0F47" w:rsidP="004B0F47">
      <w:pPr>
        <w:pStyle w:val="NeniNr"/>
        <w:keepNext w:val="0"/>
        <w:rPr>
          <w:sz w:val="14"/>
        </w:rPr>
      </w:pPr>
    </w:p>
    <w:p w:rsidR="004B0F47" w:rsidRPr="00DC7C85" w:rsidRDefault="004B0F47" w:rsidP="004B0F47">
      <w:pPr>
        <w:widowControl w:val="0"/>
        <w:autoSpaceDE w:val="0"/>
        <w:autoSpaceDN w:val="0"/>
        <w:adjustRightInd w:val="0"/>
        <w:spacing w:after="0" w:line="240" w:lineRule="auto"/>
        <w:rPr>
          <w:rFonts w:ascii="Garamond" w:hAnsi="Garamond"/>
          <w:bCs/>
          <w:spacing w:val="-4"/>
          <w:sz w:val="24"/>
          <w:szCs w:val="24"/>
          <w:lang w:val="sq-AL"/>
        </w:rPr>
      </w:pPr>
      <w:r w:rsidRPr="00DC7C85">
        <w:rPr>
          <w:rFonts w:ascii="Garamond" w:hAnsi="Garamond"/>
          <w:bCs/>
          <w:spacing w:val="-4"/>
          <w:sz w:val="24"/>
          <w:szCs w:val="24"/>
          <w:lang w:val="sq-AL"/>
        </w:rPr>
        <w:tab/>
        <w:t>Neni 117 ndryshohet si më poshtë:</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 xml:space="preserve"> “Neni 117</w:t>
      </w:r>
    </w:p>
    <w:p w:rsidR="004B0F47" w:rsidRDefault="004B0F47" w:rsidP="004B0F47">
      <w:pPr>
        <w:pStyle w:val="NeniTitull"/>
        <w:keepNext w:val="0"/>
      </w:pPr>
      <w:r w:rsidRPr="00DC7C85">
        <w:t xml:space="preserve">Dënimet për agjentët e mbajtjes së tatimit në burim, agjentët e taksave dhe agjentët </w:t>
      </w:r>
    </w:p>
    <w:p w:rsidR="004B0F47" w:rsidRPr="00335496" w:rsidRDefault="004B0F47" w:rsidP="004B0F47">
      <w:pPr>
        <w:pStyle w:val="NeniTitull"/>
        <w:keepNext w:val="0"/>
      </w:pPr>
      <w:r w:rsidRPr="00DC7C85">
        <w:t>e tarifave</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Agjenti i mbajtjes së tatimit, agjenti i taksave apo ai i tarifave detyrohen të paguajnë gjobë, në masën e mëposhtme:</w:t>
      </w:r>
    </w:p>
    <w:p w:rsidR="004B0F47" w:rsidRPr="00DC7C85" w:rsidRDefault="004B0F47" w:rsidP="004B0F47">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 xml:space="preserve">a) Gjobë në masën 0,06 për qind të shumës së plotë të tatimit, taksës apo tarifës, në rast se e ka mbajtur, llogaritur dhe deklaruar tatimin në burim apo tatimin, taksën ose tarifën, por nuk e ka transferuar atë në Buxhetin e Shtetit. Ky dënim aplikohet për çdo ditë, gjatë së cilës pagesa nuk është kryer, por jo për një periudhë më të gjatë se 365 ditë kalendarike.  </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b) Gjobë në masën 50 për qind të shumës së plotë të tatimit, taksës apo tarifës në rast se nuk mban tatimin në burim apo tatimin apo nuk mbledh taksën ose tarifën;</w:t>
      </w:r>
    </w:p>
    <w:p w:rsidR="004B0F47" w:rsidRPr="00DC7C85" w:rsidRDefault="004B0F47" w:rsidP="004B0F47">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c) Gjobë në masën 100 për qind të shumës së plotë të tatimit, taksës apo tarifës nëse mban dhe nuk deklaron e paguan tatimin në burim apo tatimin, taksën ose tarifën e mbledhur.”.</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48</w:t>
      </w:r>
    </w:p>
    <w:p w:rsidR="004B0F47" w:rsidRPr="00DC7C85" w:rsidRDefault="004B0F47" w:rsidP="004B0F47">
      <w:pPr>
        <w:pStyle w:val="Hapesira7"/>
        <w:rPr>
          <w:lang w:val="sq-AL"/>
        </w:rPr>
      </w:pPr>
    </w:p>
    <w:p w:rsidR="004B0F47" w:rsidRPr="00DC7C85" w:rsidRDefault="004B0F47" w:rsidP="004B0F47">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lang w:val="sq-AL"/>
        </w:rPr>
        <w:tab/>
        <w:t xml:space="preserve">Neni 119 </w:t>
      </w:r>
      <w:r w:rsidRPr="00DC7C85">
        <w:rPr>
          <w:rFonts w:ascii="Garamond" w:hAnsi="Garamond"/>
          <w:spacing w:val="-4"/>
          <w:sz w:val="24"/>
          <w:szCs w:val="24"/>
          <w:shd w:val="clear" w:color="auto" w:fill="FFFFFF"/>
          <w:lang w:val="sq-AL"/>
        </w:rPr>
        <w:t>ndryshohet si më poshtë:</w:t>
      </w:r>
    </w:p>
    <w:p w:rsidR="004B0F47" w:rsidRPr="00DC7C85" w:rsidRDefault="004B0F47" w:rsidP="004B0F47">
      <w:pPr>
        <w:pStyle w:val="Hapesira7"/>
        <w:rPr>
          <w:shd w:val="clear" w:color="auto" w:fill="FFFFFF"/>
          <w:lang w:val="sq-AL"/>
        </w:rPr>
      </w:pPr>
    </w:p>
    <w:p w:rsidR="004B0F47" w:rsidRPr="00DC7C85" w:rsidRDefault="004B0F47" w:rsidP="004B0F47">
      <w:pPr>
        <w:pStyle w:val="NeniNr"/>
        <w:keepNext w:val="0"/>
        <w:rPr>
          <w:shd w:val="clear" w:color="auto" w:fill="FFFFFF"/>
        </w:rPr>
      </w:pPr>
      <w:r w:rsidRPr="00DC7C85">
        <w:rPr>
          <w:shd w:val="clear" w:color="auto" w:fill="FFFFFF"/>
        </w:rPr>
        <w:t xml:space="preserve">“Neni 119 </w:t>
      </w:r>
    </w:p>
    <w:p w:rsidR="004B0F47" w:rsidRDefault="004B0F47" w:rsidP="004B0F47">
      <w:pPr>
        <w:pStyle w:val="NeniTitull"/>
        <w:keepNext w:val="0"/>
        <w:rPr>
          <w:shd w:val="clear" w:color="auto" w:fill="FFFFFF"/>
        </w:rPr>
      </w:pPr>
      <w:r w:rsidRPr="00DC7C85">
        <w:rPr>
          <w:shd w:val="clear" w:color="auto" w:fill="FFFFFF"/>
        </w:rPr>
        <w:t xml:space="preserve">Mosdeklarimi i punonjësve dhe fshehja </w:t>
      </w:r>
    </w:p>
    <w:p w:rsidR="004B0F47" w:rsidRPr="00DC7C85" w:rsidRDefault="004B0F47" w:rsidP="004B0F47">
      <w:pPr>
        <w:pStyle w:val="NeniTitull"/>
        <w:keepNext w:val="0"/>
        <w:rPr>
          <w:shd w:val="clear" w:color="auto" w:fill="FFFFFF"/>
        </w:rPr>
      </w:pPr>
      <w:r w:rsidRPr="00DC7C85">
        <w:rPr>
          <w:shd w:val="clear" w:color="auto" w:fill="FFFFFF"/>
        </w:rPr>
        <w:t>e pagës</w:t>
      </w:r>
    </w:p>
    <w:p w:rsidR="004B0F47" w:rsidRPr="00335496" w:rsidRDefault="004B0F47" w:rsidP="004B0F47">
      <w:pPr>
        <w:widowControl w:val="0"/>
        <w:shd w:val="clear" w:color="auto" w:fill="FFFFFF"/>
        <w:spacing w:after="0" w:line="240" w:lineRule="auto"/>
        <w:jc w:val="center"/>
        <w:rPr>
          <w:rFonts w:ascii="Garamond" w:hAnsi="Garamond"/>
          <w:spacing w:val="-4"/>
          <w:sz w:val="14"/>
          <w:szCs w:val="24"/>
          <w:shd w:val="clear" w:color="auto" w:fill="FFFFFF"/>
          <w:lang w:val="sq-AL"/>
        </w:rPr>
      </w:pPr>
    </w:p>
    <w:p w:rsidR="004B0F47" w:rsidRPr="00DC7C85" w:rsidRDefault="004B0F47" w:rsidP="004B0F47">
      <w:pPr>
        <w:pStyle w:val="ListParagraph"/>
        <w:widowControl w:val="0"/>
        <w:shd w:val="clear" w:color="auto" w:fill="FFFFFF"/>
        <w:spacing w:after="0" w:line="240" w:lineRule="auto"/>
        <w:ind w:left="0" w:firstLine="284"/>
        <w:jc w:val="both"/>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1. Nëse nga verifikimi dhe kontrolli në vendndodhjen e biznesit rezulton se tatimpaguesi nuk ka deklaruar në organin tatimor çdo të punësuar rishtazi, të paktën një ditë kalendarike përpara fillimit të punës, përveç detyrimit për pagimin e shumës së detyrimeve tatimore dhe kontributeve të sigurimeve shoqërore e shëndetësore, të llogaritura nga data e konstatimit, dënohet me gjobë për çdo punonjës të padeklaruar:</w:t>
      </w:r>
    </w:p>
    <w:p w:rsidR="004B0F47" w:rsidRPr="00DC7C85" w:rsidRDefault="004B0F47" w:rsidP="004B0F47">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a) tatimpaguesit e regjistruar si subjekte të tatimit mbi vlerën e shtuar dhe tatimit mbi fitimin, me gjobë prej 200 000 (dyqind mijë) lekësh;</w:t>
      </w:r>
    </w:p>
    <w:p w:rsidR="004B0F47" w:rsidRPr="00DC7C85" w:rsidRDefault="004B0F47" w:rsidP="004B0F47">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b)</w:t>
      </w:r>
      <w:r w:rsidRPr="00DC7C85">
        <w:rPr>
          <w:rFonts w:ascii="Garamond" w:hAnsi="Garamond"/>
          <w:spacing w:val="-4"/>
          <w:sz w:val="24"/>
          <w:szCs w:val="24"/>
          <w:shd w:val="clear" w:color="auto" w:fill="FFFFFF"/>
          <w:lang w:val="sq-AL"/>
        </w:rPr>
        <w:tab/>
        <w:t>tatimpaguesit e tjerë, me gjobë prej 50 000 (pesëdhjetë mijë) lekësh.</w:t>
      </w:r>
    </w:p>
    <w:p w:rsidR="004B0F47" w:rsidRPr="00DC7C85" w:rsidRDefault="004B0F47" w:rsidP="004B0F47">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lang w:val="sq-AL"/>
        </w:rPr>
        <w:tab/>
        <w:t xml:space="preserve">Kjo gjobë nuk aplikohet në rastin kur nga verifikimi dhe kontrolli në vendndodhjen e aktivitetit të personit fizik të vetëpunësuar, evidentohen persona mbi 16 vjeç, të cilët kategorizohen si persona të papaguar të familjes. Në këtë rast, pas konstatimit, tatimpaguesit përkatës i lihet kohë deri në 5 ditë kalendarike që të vërtetojë pranë organit tatimor se personi i evidentuar në vendin e aktivitetit është person i papaguar i familjes ose që bashkëjeton ligjërisht me të vetëpunësuarin, sipas kuptimit në Kodin Civil.  </w:t>
      </w:r>
    </w:p>
    <w:p w:rsidR="004B0F47" w:rsidRPr="00DC7C85" w:rsidRDefault="004B0F47" w:rsidP="004B0F47">
      <w:pPr>
        <w:pStyle w:val="ListParagraph"/>
        <w:widowControl w:val="0"/>
        <w:shd w:val="clear" w:color="auto" w:fill="FFFFFF"/>
        <w:spacing w:after="0" w:line="240" w:lineRule="auto"/>
        <w:ind w:left="0" w:firstLine="284"/>
        <w:jc w:val="both"/>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2. Nëse nga verifikimi dhe kontrolli rezulton se tatimpaguesi ka fshehur dhe nuk ka deklaruar pagën e saktë të përfituar nga punëmarrësi, si rezultat i marrëdhënies së punësimit, tatimpaguesi-punëdhënës, përveç detyrimit për pagimin e shumës së detyrimit tatimor dhe kontributit të sigurimeve shoqërore dhe shëndetësore, të llogaritur për gjithë periudhën që provohet se është kryer shkelja, dënohet me gjobë në masën 100 për qind të detyrimit dhe kontributit të llogaritur.”.</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49</w:t>
      </w:r>
    </w:p>
    <w:p w:rsidR="004B0F47" w:rsidRPr="00DC7C85" w:rsidRDefault="004B0F47" w:rsidP="004B0F47">
      <w:pPr>
        <w:pStyle w:val="Hapesira7"/>
        <w:rPr>
          <w:lang w:val="sq-AL"/>
        </w:rPr>
      </w:pPr>
    </w:p>
    <w:p w:rsidR="004B0F47" w:rsidRPr="00DC7C85" w:rsidRDefault="004B0F47" w:rsidP="004B0F47">
      <w:pPr>
        <w:widowControl w:val="0"/>
        <w:shd w:val="clear" w:color="auto" w:fill="FFFFFF"/>
        <w:spacing w:after="0" w:line="240" w:lineRule="auto"/>
        <w:rPr>
          <w:rFonts w:ascii="Garamond" w:hAnsi="Garamond"/>
          <w:spacing w:val="-4"/>
          <w:sz w:val="24"/>
          <w:szCs w:val="24"/>
          <w:lang w:val="sq-AL"/>
        </w:rPr>
      </w:pPr>
      <w:r w:rsidRPr="00DC7C85">
        <w:rPr>
          <w:rFonts w:ascii="Garamond" w:hAnsi="Garamond"/>
          <w:spacing w:val="-4"/>
          <w:sz w:val="24"/>
          <w:szCs w:val="24"/>
          <w:lang w:val="sq-AL"/>
        </w:rPr>
        <w:tab/>
        <w:t>Neni 120 ndryshohet si më poshtë:</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120</w:t>
      </w:r>
    </w:p>
    <w:p w:rsidR="004B0F47" w:rsidRDefault="004B0F47" w:rsidP="004B0F47">
      <w:pPr>
        <w:pStyle w:val="NeniTitull"/>
        <w:keepNext w:val="0"/>
      </w:pPr>
      <w:r w:rsidRPr="00DC7C85">
        <w:t xml:space="preserve">Pagesat ose arkëtimet me para në dorë </w:t>
      </w:r>
    </w:p>
    <w:p w:rsidR="004B0F47" w:rsidRPr="00DC7C85" w:rsidRDefault="004B0F47" w:rsidP="004B0F47">
      <w:pPr>
        <w:pStyle w:val="NeniTitull"/>
        <w:keepNext w:val="0"/>
      </w:pPr>
      <w:r w:rsidRPr="00DC7C85">
        <w:t>mbi 150 000 lekë</w:t>
      </w:r>
    </w:p>
    <w:p w:rsidR="004B0F47" w:rsidRPr="006C41D4" w:rsidRDefault="004B0F47" w:rsidP="004B0F47">
      <w:pPr>
        <w:pStyle w:val="NeniTitull"/>
        <w:keepNext w:val="0"/>
        <w:rPr>
          <w:sz w:val="14"/>
        </w:rPr>
      </w:pPr>
    </w:p>
    <w:p w:rsidR="004B0F47" w:rsidRPr="00DC7C85" w:rsidRDefault="004B0F47" w:rsidP="004B0F47">
      <w:pPr>
        <w:widowControl w:val="0"/>
        <w:shd w:val="clear" w:color="auto" w:fill="FFFFFF"/>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Tatimpaguesit, persona fizikë apo juridikë, tregtarë, që kryejnë ndërmjet tyre transaksione shitjeje apo blerjeje me para në dorë, jo në përputhje me përcaktimin e pikës 1, të nenit 59, të këtij ligji, dënohen me gjobë në masën 10 për qind të vlerës së secilit transaksion.”. </w:t>
      </w:r>
    </w:p>
    <w:p w:rsidR="004B0F47" w:rsidRPr="00DC7C85" w:rsidRDefault="004B0F47" w:rsidP="004B0F47">
      <w:pPr>
        <w:pStyle w:val="Hapesira7"/>
        <w:rPr>
          <w:shd w:val="clear" w:color="auto" w:fill="FFFFFF"/>
          <w:lang w:val="sq-AL"/>
        </w:rPr>
      </w:pPr>
    </w:p>
    <w:p w:rsidR="004B0F47" w:rsidRPr="00DC7C85" w:rsidRDefault="004B0F47" w:rsidP="004B0F47">
      <w:pPr>
        <w:pStyle w:val="NeniNr"/>
        <w:keepNext w:val="0"/>
        <w:rPr>
          <w:shd w:val="clear" w:color="auto" w:fill="FFFFFF"/>
        </w:rPr>
      </w:pPr>
      <w:r w:rsidRPr="00DC7C85">
        <w:rPr>
          <w:shd w:val="clear" w:color="auto" w:fill="FFFFFF"/>
        </w:rPr>
        <w:t>Neni 50</w:t>
      </w:r>
    </w:p>
    <w:p w:rsidR="004B0F47" w:rsidRPr="00DC7C85" w:rsidRDefault="004B0F47" w:rsidP="004B0F47">
      <w:pPr>
        <w:pStyle w:val="Hapesira7"/>
        <w:rPr>
          <w:shd w:val="clear" w:color="auto" w:fill="FFFFFF"/>
          <w:lang w:val="sq-AL"/>
        </w:rPr>
      </w:pPr>
    </w:p>
    <w:p w:rsidR="004B0F47" w:rsidRPr="00DC7C85" w:rsidRDefault="004B0F47" w:rsidP="004B0F47">
      <w:pPr>
        <w:widowControl w:val="0"/>
        <w:spacing w:after="0" w:line="240" w:lineRule="auto"/>
        <w:rPr>
          <w:rFonts w:ascii="Garamond" w:hAnsi="Garamond"/>
          <w:bCs/>
          <w:spacing w:val="-4"/>
          <w:sz w:val="24"/>
          <w:szCs w:val="24"/>
          <w:lang w:val="sq-AL"/>
        </w:rPr>
      </w:pPr>
      <w:r w:rsidRPr="00DC7C85">
        <w:rPr>
          <w:rFonts w:ascii="Garamond" w:hAnsi="Garamond"/>
          <w:spacing w:val="-4"/>
          <w:sz w:val="24"/>
          <w:szCs w:val="24"/>
          <w:shd w:val="clear" w:color="auto" w:fill="FFFFFF"/>
          <w:lang w:val="sq-AL"/>
        </w:rPr>
        <w:tab/>
        <w:t>Në nenin 121</w:t>
      </w:r>
      <w:r w:rsidRPr="00DC7C85">
        <w:rPr>
          <w:rFonts w:ascii="Garamond" w:hAnsi="Garamond"/>
          <w:b/>
          <w:bCs/>
          <w:spacing w:val="-4"/>
          <w:sz w:val="24"/>
          <w:szCs w:val="24"/>
          <w:lang w:val="sq-AL"/>
        </w:rPr>
        <w:t xml:space="preserve"> </w:t>
      </w:r>
      <w:r w:rsidRPr="00DC7C85">
        <w:rPr>
          <w:rFonts w:ascii="Garamond" w:hAnsi="Garamond"/>
          <w:bCs/>
          <w:spacing w:val="-4"/>
          <w:sz w:val="24"/>
          <w:szCs w:val="24"/>
          <w:lang w:val="sq-AL"/>
        </w:rPr>
        <w:t>bëhen ndryshimet e mëposhtme:</w:t>
      </w:r>
    </w:p>
    <w:p w:rsidR="004B0F47" w:rsidRPr="00DC7C85" w:rsidRDefault="004B0F47" w:rsidP="004B0F47">
      <w:pPr>
        <w:widowControl w:val="0"/>
        <w:spacing w:after="0" w:line="240" w:lineRule="auto"/>
        <w:rPr>
          <w:rFonts w:ascii="Garamond" w:hAnsi="Garamond"/>
          <w:spacing w:val="-4"/>
          <w:sz w:val="24"/>
          <w:szCs w:val="24"/>
          <w:shd w:val="clear" w:color="auto" w:fill="FFFFFF"/>
          <w:lang w:val="sq-AL"/>
        </w:rPr>
      </w:pPr>
      <w:r w:rsidRPr="00DC7C85">
        <w:rPr>
          <w:rFonts w:ascii="Garamond" w:hAnsi="Garamond"/>
          <w:bCs/>
          <w:spacing w:val="-4"/>
          <w:sz w:val="24"/>
          <w:szCs w:val="24"/>
          <w:lang w:val="sq-AL"/>
        </w:rPr>
        <w:tab/>
        <w:t xml:space="preserve">1. Pika 1 </w:t>
      </w:r>
      <w:r w:rsidRPr="00DC7C85">
        <w:rPr>
          <w:rFonts w:ascii="Garamond" w:hAnsi="Garamond"/>
          <w:spacing w:val="-4"/>
          <w:sz w:val="24"/>
          <w:szCs w:val="24"/>
          <w:shd w:val="clear" w:color="auto" w:fill="FFFFFF"/>
          <w:lang w:val="sq-AL"/>
        </w:rPr>
        <w:t>ndryshohet si më poshtë:</w:t>
      </w:r>
    </w:p>
    <w:p w:rsidR="004B0F47" w:rsidRPr="00DC7C85" w:rsidRDefault="004B0F47" w:rsidP="004B0F47">
      <w:pPr>
        <w:pStyle w:val="BodyText"/>
        <w:widowControl w:val="0"/>
        <w:numPr>
          <w:ilvl w:val="0"/>
          <w:numId w:val="0"/>
        </w:numPr>
        <w:ind w:firstLine="284"/>
        <w:rPr>
          <w:rFonts w:ascii="Garamond" w:hAnsi="Garamond"/>
          <w:spacing w:val="-4"/>
          <w:lang w:val="sq-AL"/>
        </w:rPr>
      </w:pPr>
      <w:r w:rsidRPr="00DC7C85">
        <w:rPr>
          <w:rFonts w:ascii="Garamond" w:hAnsi="Garamond"/>
          <w:spacing w:val="-4"/>
          <w:lang w:val="sq-AL"/>
        </w:rPr>
        <w:t>“1. Për tatimpaguesin që mban në ruajtje, përdor ose transporton mallra të pashoqëruara me dokumente tatimore, në përputhje me dispozitat e këtij ligji, aplikohen masat dhe dënimet si më poshtë:</w:t>
      </w:r>
    </w:p>
    <w:p w:rsidR="004B0F47" w:rsidRPr="00DC7C85" w:rsidRDefault="004B0F47" w:rsidP="004B0F47">
      <w:pPr>
        <w:pStyle w:val="BodyText"/>
        <w:widowControl w:val="0"/>
        <w:numPr>
          <w:ilvl w:val="0"/>
          <w:numId w:val="0"/>
        </w:numPr>
        <w:ind w:firstLine="284"/>
        <w:rPr>
          <w:rFonts w:ascii="Garamond" w:hAnsi="Garamond"/>
          <w:spacing w:val="-4"/>
          <w:lang w:val="sq-AL"/>
        </w:rPr>
      </w:pPr>
      <w:r w:rsidRPr="00DC7C85">
        <w:rPr>
          <w:rFonts w:ascii="Garamond" w:hAnsi="Garamond"/>
          <w:spacing w:val="-4"/>
          <w:lang w:val="sq-AL"/>
        </w:rPr>
        <w:t xml:space="preserve">a) Tatimpaguesit të tatimit të thjeshtuar të fitimit, që nuk është i regjistruar për TVSH-në, menjëherë në momentin e konstatimit i ndryshohet përgjegjësia tatimore duke kaluar si tatimpagues i TVSH-së. Për qëllim të konstatimit të mosdokumentimit të mallit detyrohet të lëshojë faturë, sipas nenit 53, të këtij ligji, me qëllim dokumentimin e mallit dhe aplikohet dënim, sipas pikës 1, të nenit 124, të këtij ligji. </w:t>
      </w:r>
    </w:p>
    <w:p w:rsidR="004B0F47" w:rsidRPr="00DC7C85" w:rsidRDefault="004B0F47" w:rsidP="004B0F47">
      <w:pPr>
        <w:pStyle w:val="BodyText"/>
        <w:widowControl w:val="0"/>
        <w:numPr>
          <w:ilvl w:val="0"/>
          <w:numId w:val="0"/>
        </w:numPr>
        <w:ind w:firstLine="284"/>
        <w:rPr>
          <w:rFonts w:ascii="Garamond" w:hAnsi="Garamond"/>
          <w:spacing w:val="-4"/>
          <w:lang w:val="sq-AL"/>
        </w:rPr>
      </w:pPr>
      <w:r w:rsidRPr="00DC7C85">
        <w:rPr>
          <w:rFonts w:ascii="Garamond" w:hAnsi="Garamond"/>
          <w:spacing w:val="-4"/>
          <w:lang w:val="sq-AL"/>
        </w:rPr>
        <w:t xml:space="preserve">b) Tatimpaguesi i regjistruar për TVSH-në detyrohet të dokumentojë mallin duke lëshuar faturë tatimore, sipas nenit 53, të këtij ligji. Për qëllim të konstatimit të mosdokumentimit të mallit i kryhet </w:t>
      </w:r>
      <w:r w:rsidRPr="00DC7C85">
        <w:rPr>
          <w:rFonts w:ascii="Garamond" w:hAnsi="Garamond"/>
          <w:spacing w:val="-4"/>
          <w:lang w:val="sq-AL"/>
        </w:rPr>
        <w:lastRenderedPageBreak/>
        <w:t xml:space="preserve">rivlerësim i shitjeve në të njëjtën vlerë me vlerën e tregut të mallit të padokumentuar dhe aplikohet dënim, sipas pikës 1, të nenit 124, të këtij ligji.”. </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2. Pika 2 shfuqizohet. </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3. Në pikën 3, fjalia e parë ndryshohet si më poshtë:</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“Personi i identifikuar i paregjistruar, në kuptim të nenit 41, të këtij ligji, për sasinë e mallit që mban në ruajtje, përdor ose transporton, dënohet sipas shkronjës “b”, të pikës 1, të këtij neni.”.</w:t>
      </w:r>
    </w:p>
    <w:p w:rsidR="004B0F47" w:rsidRPr="00335496" w:rsidRDefault="004B0F47" w:rsidP="004B0F47">
      <w:pPr>
        <w:widowControl w:val="0"/>
        <w:autoSpaceDE w:val="0"/>
        <w:autoSpaceDN w:val="0"/>
        <w:adjustRightInd w:val="0"/>
        <w:spacing w:after="0" w:line="240" w:lineRule="auto"/>
        <w:rPr>
          <w:rFonts w:ascii="Garamond" w:hAnsi="Garamond"/>
          <w:spacing w:val="-4"/>
          <w:sz w:val="14"/>
          <w:szCs w:val="24"/>
          <w:lang w:val="sq-AL"/>
        </w:rPr>
      </w:pPr>
    </w:p>
    <w:p w:rsidR="004B0F47" w:rsidRPr="00DC7C85" w:rsidRDefault="004B0F47" w:rsidP="004B0F47">
      <w:pPr>
        <w:pStyle w:val="NeniNr"/>
        <w:keepNext w:val="0"/>
        <w:ind w:firstLine="284"/>
        <w:rPr>
          <w:shd w:val="clear" w:color="auto" w:fill="FFFFFF"/>
        </w:rPr>
      </w:pPr>
      <w:r w:rsidRPr="00DC7C85">
        <w:rPr>
          <w:shd w:val="clear" w:color="auto" w:fill="FFFFFF"/>
        </w:rPr>
        <w:t>Neni 51</w:t>
      </w:r>
    </w:p>
    <w:p w:rsidR="004B0F47" w:rsidRPr="006C41D4" w:rsidRDefault="004B0F47" w:rsidP="004B0F47">
      <w:pPr>
        <w:widowControl w:val="0"/>
        <w:shd w:val="clear" w:color="auto" w:fill="FFFFFF"/>
        <w:spacing w:after="0" w:line="240" w:lineRule="auto"/>
        <w:jc w:val="center"/>
        <w:rPr>
          <w:rFonts w:ascii="Garamond" w:hAnsi="Garamond"/>
          <w:b/>
          <w:spacing w:val="-4"/>
          <w:sz w:val="14"/>
          <w:szCs w:val="24"/>
          <w:shd w:val="clear" w:color="auto" w:fill="FFFFFF"/>
          <w:lang w:val="sq-AL"/>
        </w:rPr>
      </w:pPr>
    </w:p>
    <w:p w:rsidR="004B0F47" w:rsidRPr="00DC7C85" w:rsidRDefault="004B0F47" w:rsidP="004B0F47">
      <w:pPr>
        <w:widowControl w:val="0"/>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Në nenin 122 bëhen ndryshimet e mëposhtme:</w:t>
      </w:r>
    </w:p>
    <w:p w:rsidR="004B0F47" w:rsidRPr="00DC7C85" w:rsidRDefault="004B0F47" w:rsidP="004B0F47">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 xml:space="preserve">1. Në pikën 1, fjalia e parë ndryshohet si më poshtë: </w:t>
      </w:r>
    </w:p>
    <w:p w:rsidR="004B0F47" w:rsidRPr="00DC7C85" w:rsidRDefault="004B0F47" w:rsidP="004B0F47">
      <w:pPr>
        <w:pStyle w:val="BodyText"/>
        <w:widowControl w:val="0"/>
        <w:numPr>
          <w:ilvl w:val="0"/>
          <w:numId w:val="0"/>
        </w:numPr>
        <w:ind w:firstLine="284"/>
        <w:rPr>
          <w:rFonts w:ascii="Garamond" w:hAnsi="Garamond"/>
          <w:spacing w:val="-4"/>
          <w:lang w:val="sq-AL"/>
        </w:rPr>
      </w:pPr>
      <w:r w:rsidRPr="00DC7C85">
        <w:rPr>
          <w:rFonts w:ascii="Garamond" w:hAnsi="Garamond"/>
          <w:spacing w:val="-4"/>
          <w:lang w:val="sq-AL"/>
        </w:rPr>
        <w:t>“1. Tatimpaguesi, person juridik ose fizik, tregtar, i cili detyrohet të përdorë pajisjen fiskale ose sistemet e monitorimit të qarkullimit, në përputhje me përcaktimet e këtij ligji, dënohet në rast se:”.</w:t>
      </w:r>
    </w:p>
    <w:p w:rsidR="004B0F47" w:rsidRPr="00DC7C85" w:rsidRDefault="004B0F47" w:rsidP="004B0F47">
      <w:pPr>
        <w:pStyle w:val="ListParagraph"/>
        <w:widowControl w:val="0"/>
        <w:shd w:val="clear" w:color="auto" w:fill="FFFFFF"/>
        <w:spacing w:after="0" w:line="240" w:lineRule="auto"/>
        <w:ind w:left="0" w:firstLine="284"/>
        <w:jc w:val="both"/>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 xml:space="preserve">2. Në pikën 1, shkronja “a”, nënndarja “ii” ndryshohet si më poshtë: </w:t>
      </w:r>
    </w:p>
    <w:p w:rsidR="004B0F47" w:rsidRPr="00DC7C85" w:rsidRDefault="004B0F47" w:rsidP="004B0F47">
      <w:pPr>
        <w:pStyle w:val="BodyText"/>
        <w:widowControl w:val="0"/>
        <w:numPr>
          <w:ilvl w:val="0"/>
          <w:numId w:val="0"/>
        </w:numPr>
        <w:ind w:firstLine="284"/>
        <w:rPr>
          <w:rFonts w:ascii="Garamond" w:hAnsi="Garamond"/>
          <w:spacing w:val="-4"/>
          <w:lang w:val="sq-AL"/>
        </w:rPr>
      </w:pPr>
      <w:r w:rsidRPr="00DC7C85">
        <w:rPr>
          <w:rFonts w:ascii="Garamond" w:hAnsi="Garamond"/>
          <w:spacing w:val="-4"/>
          <w:lang w:val="sq-AL"/>
        </w:rPr>
        <w:t xml:space="preserve">“ii) nëse pas verifikimit të parë, sipas nënndarjes “i”, të këtij neni, konstatohet se tatimpaguesi vazhdon të mos e instalojë pajisjen fiskale për regjistrimin e pagesave me para në dorë ose sistemin e monitorimit të qarkullimit, merret masa e bllokimit të veprimtarisë në vendin ku është konstatuar shkelja për 15 ditë kalendarike. Nëse tatimpaguesi, brenda këtij afati, nuk instalon pajisjen fiskale në vendin ku është konstatuar shkelja, masa e bllokimit shtyhet deri në instalimin e pajisjes fiskale. Në rastin kur situata nuk është rregulluar brenda 15 ditëve, tatimpaguesit i publikohen emri, NIPT-i dhe emri i përfaqësuesit të biznesit, në faqen zyrtare të internetit të Drejtorisë së Përgjithshme të Tatimeve.”. </w:t>
      </w:r>
    </w:p>
    <w:p w:rsidR="004B0F47" w:rsidRPr="00DC7C85" w:rsidRDefault="004B0F47" w:rsidP="004B0F47">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lang w:val="sq-AL"/>
        </w:rPr>
        <w:tab/>
        <w:t>3.</w:t>
      </w:r>
      <w:r w:rsidRPr="00DC7C85">
        <w:rPr>
          <w:rFonts w:ascii="Garamond" w:hAnsi="Garamond"/>
          <w:spacing w:val="-4"/>
          <w:sz w:val="24"/>
          <w:szCs w:val="24"/>
          <w:lang w:val="sq-AL"/>
        </w:rPr>
        <w:tab/>
        <w:t xml:space="preserve">Në pikën 1, shkronjat “b”, “c”, “ç” dhe “d” ndryshohen si më poshtë: </w:t>
      </w:r>
    </w:p>
    <w:p w:rsidR="004B0F47" w:rsidRPr="00DC7C85" w:rsidRDefault="004B0F47" w:rsidP="004B0F47">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“b) nuk lëshon kupon tatimor për të dokumentuar qarkullimin e realizuar të mallrave apo të shërbimeve për:</w:t>
      </w:r>
    </w:p>
    <w:p w:rsidR="004B0F47" w:rsidRPr="00DC7C85" w:rsidRDefault="004B0F47" w:rsidP="004B0F47">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 xml:space="preserve">i) konstatimin (verifikimin) e kryer, me gjobë në masën 50 000 (pesëdhjetë mijë) lekë dhe përveç masës së gjobës për tatimpaguesit e regjistruar për TVSH-në bëhet </w:t>
      </w:r>
      <w:r w:rsidRPr="00DC7C85">
        <w:rPr>
          <w:rFonts w:ascii="Garamond" w:hAnsi="Garamond"/>
          <w:spacing w:val="-4"/>
          <w:sz w:val="24"/>
          <w:szCs w:val="24"/>
          <w:lang w:val="sq-AL"/>
        </w:rPr>
        <w:t>vlerësim tatimor për tre muajt e fundit, duke përdorur metodat  alternative, të parashikuara në nenet 71 dhe 72 të këtij ligji;</w:t>
      </w:r>
    </w:p>
    <w:p w:rsidR="004B0F47" w:rsidRPr="00DC7C85" w:rsidRDefault="004B0F47" w:rsidP="004B0F47">
      <w:pPr>
        <w:pStyle w:val="BodyText"/>
        <w:widowControl w:val="0"/>
        <w:numPr>
          <w:ilvl w:val="0"/>
          <w:numId w:val="0"/>
        </w:numPr>
        <w:ind w:firstLine="284"/>
        <w:rPr>
          <w:rFonts w:ascii="Garamond" w:hAnsi="Garamond"/>
          <w:spacing w:val="-4"/>
          <w:lang w:val="sq-AL"/>
        </w:rPr>
      </w:pPr>
      <w:r w:rsidRPr="00DC7C85">
        <w:rPr>
          <w:rFonts w:ascii="Garamond" w:hAnsi="Garamond"/>
          <w:spacing w:val="-4"/>
          <w:lang w:val="sq-AL"/>
        </w:rPr>
        <w:t xml:space="preserve">ii) konstatimin (verifikimin) tjetër pas konstatimit të parë, sipas nënndarjes “i”, të kësaj shkronje, nëse tatimpaguesi vazhdon të mos e lëshojë kuponin tatimor për të dokumentuar qarkullimin e realizuar të mallrave apo të shërbimeve, përveç </w:t>
      </w:r>
      <w:r w:rsidRPr="00DC7C85">
        <w:rPr>
          <w:rFonts w:ascii="Garamond" w:hAnsi="Garamond"/>
          <w:spacing w:val="-4"/>
          <w:shd w:val="clear" w:color="auto" w:fill="FFFFFF"/>
          <w:lang w:val="sq-AL"/>
        </w:rPr>
        <w:t xml:space="preserve">aplikimit të dënimit si në nënndarjen “i”, dhe në këtë rast </w:t>
      </w:r>
      <w:r w:rsidRPr="00DC7C85">
        <w:rPr>
          <w:rFonts w:ascii="Garamond" w:hAnsi="Garamond"/>
          <w:spacing w:val="-4"/>
          <w:lang w:val="sq-AL"/>
        </w:rPr>
        <w:t>merret masa e bllokimit të veprimtarisë në vendin ku është konstatuar shkelja për 30 ditë kalendarike;</w:t>
      </w:r>
    </w:p>
    <w:p w:rsidR="004B0F47" w:rsidRPr="00DC7C85" w:rsidRDefault="004B0F47" w:rsidP="004B0F47">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iii) çdo konstatim të përsëritur të moslëshimit të kuponit tatimor, pas dy konstatimeve të sipërpërmendura, përveç aplikimit të dënimit, si në nënndarjen “i”, konsiderohet evazion tatimor sipas pikës 2, të nenit 116, të këtij ligji. Gjithashtu, publikohen emri i tatimpaguesit, NIPT-i dhe emri i përfaqësuesit të biznesit në faqen zyrtare të internetit të Drejtorisë së Përgjithshme të Tatimeve;</w:t>
      </w:r>
    </w:p>
    <w:p w:rsidR="004B0F47" w:rsidRPr="00DC7C85" w:rsidRDefault="004B0F47" w:rsidP="004B0F47">
      <w:pPr>
        <w:widowControl w:val="0"/>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c)</w:t>
      </w:r>
      <w:r>
        <w:rPr>
          <w:rFonts w:ascii="Garamond" w:hAnsi="Garamond"/>
          <w:spacing w:val="-4"/>
          <w:sz w:val="24"/>
          <w:szCs w:val="24"/>
          <w:shd w:val="clear" w:color="auto" w:fill="FFFFFF"/>
          <w:lang w:val="sq-AL"/>
        </w:rPr>
        <w:t xml:space="preserve"> </w:t>
      </w:r>
      <w:r w:rsidRPr="00DC7C85">
        <w:rPr>
          <w:rFonts w:ascii="Garamond" w:hAnsi="Garamond"/>
          <w:spacing w:val="-4"/>
          <w:sz w:val="24"/>
          <w:szCs w:val="24"/>
          <w:shd w:val="clear" w:color="auto" w:fill="FFFFFF"/>
          <w:lang w:val="sq-AL"/>
        </w:rPr>
        <w:tab/>
        <w:t>lëshon një kupon tatimor/dëftesë tatimore</w:t>
      </w:r>
      <w:r>
        <w:rPr>
          <w:rFonts w:ascii="Garamond" w:hAnsi="Garamond"/>
          <w:spacing w:val="-4"/>
          <w:sz w:val="24"/>
          <w:szCs w:val="24"/>
          <w:shd w:val="clear" w:color="auto" w:fill="FFFFFF"/>
          <w:lang w:val="sq-AL"/>
        </w:rPr>
        <w:t xml:space="preserve"> </w:t>
      </w:r>
      <w:r w:rsidRPr="00DC7C85">
        <w:rPr>
          <w:rFonts w:ascii="Garamond" w:hAnsi="Garamond"/>
          <w:spacing w:val="-4"/>
          <w:sz w:val="24"/>
          <w:szCs w:val="24"/>
          <w:shd w:val="clear" w:color="auto" w:fill="FFFFFF"/>
          <w:lang w:val="sq-AL"/>
        </w:rPr>
        <w:t xml:space="preserve">/biletë, me vlerë të parashtypur, që nuk përmban elementet e përcaktuara në këtë ligj dhe në aktet nënligjore, për kuponin tatimor/dëftesën tatimore/biletën me vlerë të parashtypur, me gjobë, në masën 50 000 (pesëdhjetë mijë) lekë; </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ç)</w:t>
      </w:r>
      <w:r>
        <w:rPr>
          <w:rFonts w:ascii="Garamond" w:hAnsi="Garamond"/>
          <w:spacing w:val="-4"/>
          <w:sz w:val="24"/>
          <w:szCs w:val="24"/>
          <w:lang w:val="sq-AL"/>
        </w:rPr>
        <w:t xml:space="preserve"> </w:t>
      </w:r>
      <w:r w:rsidRPr="00DC7C85">
        <w:rPr>
          <w:rFonts w:ascii="Garamond" w:hAnsi="Garamond"/>
          <w:spacing w:val="-4"/>
          <w:sz w:val="24"/>
          <w:szCs w:val="24"/>
          <w:lang w:val="sq-AL"/>
        </w:rPr>
        <w:tab/>
        <w:t xml:space="preserve">lëshon kupon tatimor/dëftesë tatimore, ku ka shënuar një vlerë të ndryshme nga vlera e furnizimit ose e çmimit të afishuar, me gjobë në masën 50 000 (pesëdhjetë mijë) lekë; </w:t>
      </w:r>
    </w:p>
    <w:p w:rsidR="004B0F47" w:rsidRPr="00DC7C85" w:rsidRDefault="004B0F47" w:rsidP="004B0F47">
      <w:pPr>
        <w:pStyle w:val="BodyText"/>
        <w:widowControl w:val="0"/>
        <w:numPr>
          <w:ilvl w:val="0"/>
          <w:numId w:val="0"/>
        </w:numPr>
        <w:ind w:firstLine="284"/>
        <w:rPr>
          <w:rFonts w:ascii="Garamond" w:hAnsi="Garamond"/>
          <w:spacing w:val="-4"/>
          <w:lang w:val="sq-AL"/>
        </w:rPr>
      </w:pPr>
      <w:r w:rsidRPr="00DC7C85">
        <w:rPr>
          <w:rFonts w:ascii="Garamond" w:hAnsi="Garamond"/>
          <w:spacing w:val="-4"/>
          <w:lang w:val="sq-AL"/>
        </w:rPr>
        <w:t>d) nuk afishon në një vend të dukshëm një poster që tregon detyrimin e blerësit të mallrave apo të përfituesit të shërbimit për të kërkuar kupon tatimor, si dhe të drejtën e blerësit për të mos paguar për mallrat dhe shërbimet e blera në zbatim të pikës 3, të nenit 46, të këtij ligji, me gjobë në masën 50000 (pesëdhjetë mijë) lekë, për secilën nga kërkesat në këtë paragraf;”.</w:t>
      </w:r>
    </w:p>
    <w:p w:rsidR="004B0F47" w:rsidRPr="00DC7C85" w:rsidRDefault="004B0F47" w:rsidP="004B0F47">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 xml:space="preserve">4. Në pikën 1, shkronja “e” shfuqizohet </w:t>
      </w:r>
    </w:p>
    <w:p w:rsidR="004B0F47" w:rsidRPr="00DC7C85" w:rsidRDefault="004B0F47" w:rsidP="004B0F47">
      <w:pPr>
        <w:pStyle w:val="Hapesira7"/>
        <w:rPr>
          <w:shd w:val="clear" w:color="auto" w:fill="FFFFFF"/>
          <w:lang w:val="sq-AL"/>
        </w:rPr>
      </w:pPr>
    </w:p>
    <w:p w:rsidR="004B0F47" w:rsidRPr="00DC7C85" w:rsidRDefault="004B0F47" w:rsidP="004B0F47">
      <w:pPr>
        <w:pStyle w:val="NeniNr"/>
        <w:keepNext w:val="0"/>
        <w:ind w:firstLine="284"/>
        <w:rPr>
          <w:shd w:val="clear" w:color="auto" w:fill="FFFFFF"/>
        </w:rPr>
      </w:pPr>
      <w:r w:rsidRPr="00DC7C85">
        <w:rPr>
          <w:shd w:val="clear" w:color="auto" w:fill="FFFFFF"/>
        </w:rPr>
        <w:t>Neni 52</w:t>
      </w:r>
    </w:p>
    <w:p w:rsidR="004B0F47" w:rsidRPr="00DC7C85" w:rsidRDefault="004B0F47" w:rsidP="004B0F47">
      <w:pPr>
        <w:pStyle w:val="Hapesira7"/>
        <w:rPr>
          <w:shd w:val="clear" w:color="auto" w:fill="FFFFFF"/>
          <w:lang w:val="sq-AL"/>
        </w:rPr>
      </w:pPr>
    </w:p>
    <w:p w:rsidR="004B0F47" w:rsidRPr="00DC7C85" w:rsidRDefault="004B0F47" w:rsidP="004B0F47">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Në nenin 124 bëhen ndryshimet e mëposhtme:</w:t>
      </w:r>
    </w:p>
    <w:p w:rsidR="004B0F47" w:rsidRPr="00DC7C85" w:rsidRDefault="004B0F47" w:rsidP="004B0F47">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lastRenderedPageBreak/>
        <w:tab/>
        <w:t>1. Pika 1 ndryshohet si më poshtë:</w:t>
      </w:r>
    </w:p>
    <w:p w:rsidR="004B0F47" w:rsidRPr="00DC7C85" w:rsidRDefault="004B0F47" w:rsidP="004B0F47">
      <w:pPr>
        <w:widowControl w:val="0"/>
        <w:shd w:val="clear" w:color="auto" w:fill="FFFFFF"/>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“1. Moslëshimi i faturës tatimore, dëftesës tatimore apo і faturës tatimore me TVSH dënohet me gjobë të barabartë me 100 për qind të tatimit të padeklaruar, si rezultat i moslëshimit të faturës, përveç tatimit dhe kamatëvonesave që llogariten dhe paguhen në përputhje me dispozitat e këtij ligji apo të ligjeve specifike tatimore.”. </w:t>
      </w:r>
    </w:p>
    <w:p w:rsidR="004B0F47" w:rsidRPr="00DC7C85" w:rsidRDefault="004B0F47" w:rsidP="004B0F47">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 xml:space="preserve">2. Pika 2 ndryshohet si më poshtë: </w:t>
      </w:r>
    </w:p>
    <w:p w:rsidR="004B0F47" w:rsidRPr="00DC7C85" w:rsidRDefault="004B0F47" w:rsidP="004B0F47">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 xml:space="preserve">“2. Për tatimpaguesit që kryejnë shkelje të përsëritur të moslëshimit të faturës, përveçse aplikohet dënimi me </w:t>
      </w:r>
      <w:r w:rsidRPr="00DC7C85">
        <w:rPr>
          <w:rFonts w:ascii="Garamond" w:hAnsi="Garamond"/>
          <w:spacing w:val="-4"/>
          <w:sz w:val="24"/>
          <w:szCs w:val="24"/>
          <w:lang w:val="sq-AL"/>
        </w:rPr>
        <w:t>gjobë të barabartë me 100 për qind të tatimit të padeklaruar</w:t>
      </w:r>
      <w:r w:rsidRPr="00DC7C85">
        <w:rPr>
          <w:rFonts w:ascii="Garamond" w:hAnsi="Garamond"/>
          <w:spacing w:val="-4"/>
          <w:sz w:val="24"/>
          <w:szCs w:val="24"/>
          <w:shd w:val="clear" w:color="auto" w:fill="FFFFFF"/>
          <w:lang w:val="sq-AL"/>
        </w:rPr>
        <w:t>, sipas pikës 1, të këtij neni, gjithashtu ndërmerren masat e mëposhtme:</w:t>
      </w:r>
    </w:p>
    <w:p w:rsidR="004B0F47" w:rsidRDefault="004B0F47" w:rsidP="004B0F47">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a) Tatimpaguesi, që nuk është i regjistruar për TVSH-në, në momentin kur konstatohet shkelja e përsëritur, sipas këtij neni, regjistrohet për TVSH-në.</w:t>
      </w:r>
    </w:p>
    <w:p w:rsidR="004B0F47" w:rsidRPr="00DC7C85" w:rsidRDefault="004B0F47" w:rsidP="004B0F47">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 xml:space="preserve">  </w:t>
      </w:r>
    </w:p>
    <w:p w:rsidR="004B0F47" w:rsidRPr="00DC7C85" w:rsidRDefault="004B0F47" w:rsidP="004B0F47">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 xml:space="preserve">b) Tatimpaguesi i regjistruar për TVSH-në dhe tatimin e thjeshtuar të fitimit, në momentin kur konstatohet shkelja e përsëritur, sipas këtij neni, regjistrohet për tatimin mbi fitimin.  </w:t>
      </w:r>
    </w:p>
    <w:p w:rsidR="004B0F47" w:rsidRPr="00DC7C85" w:rsidRDefault="004B0F47" w:rsidP="004B0F47">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c) Tatimpaguesi i tatimit mbi fitimin përfshihet menjëherë në listën e subjekteve me risk për efekt të analizës së riskut. Në rastet kur moslëshimi i faturës tatimore, dëftesës tatimore apo і faturës tatimore me TVSH është shkelje e përsëritur e më shumë se 2 herë, atëherë përveç sa përcaktohet në pikat 1 dhe 2, të këtij neni, zbatohen edhe dispozitat e neneve 116 dhe 131 të këtij ligji.”.</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53</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Neni 128/3 ndryshohet si më poshtë: </w:t>
      </w:r>
    </w:p>
    <w:p w:rsidR="004B0F47" w:rsidRPr="00DC7C85" w:rsidRDefault="004B0F47" w:rsidP="004B0F47">
      <w:pPr>
        <w:pStyle w:val="Hapesira7"/>
        <w:rPr>
          <w:lang w:val="sq-AL"/>
        </w:rPr>
      </w:pPr>
    </w:p>
    <w:p w:rsidR="004B0F47" w:rsidRPr="001D7177" w:rsidRDefault="004B0F47" w:rsidP="004B0F47">
      <w:pPr>
        <w:pStyle w:val="NeniNr"/>
        <w:keepNext w:val="0"/>
      </w:pPr>
      <w:r w:rsidRPr="00DC7C85">
        <w:t>“Neni 128/3</w:t>
      </w:r>
    </w:p>
    <w:p w:rsidR="004B0F47" w:rsidRPr="00DC7C85" w:rsidRDefault="004B0F47" w:rsidP="004B0F47">
      <w:pPr>
        <w:pStyle w:val="NeniTitull"/>
        <w:keepNext w:val="0"/>
      </w:pPr>
      <w:r w:rsidRPr="00DC7C85">
        <w:t>Dënimet për certifikimin e deklaratave tatimore  nga audituesit</w:t>
      </w:r>
    </w:p>
    <w:p w:rsidR="004B0F47" w:rsidRPr="00DC7C85" w:rsidRDefault="004B0F47" w:rsidP="004B0F47">
      <w:pPr>
        <w:widowControl w:val="0"/>
        <w:autoSpaceDE w:val="0"/>
        <w:autoSpaceDN w:val="0"/>
        <w:adjustRightInd w:val="0"/>
        <w:spacing w:after="0" w:line="240" w:lineRule="auto"/>
        <w:jc w:val="center"/>
        <w:rPr>
          <w:rFonts w:ascii="Garamond" w:hAnsi="Garamond"/>
          <w:spacing w:val="-4"/>
          <w:sz w:val="24"/>
          <w:szCs w:val="24"/>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rast se nga kontrolli i bërë nga administrata tatimore tek tatimpaguesit, deklaratat tatimore të të cilëve janë certifikuar nga kompanitë certifikuese, sipas pikës 4, të nenit 80, të këtij ligji, se janë në përputhje me legjislacionin fiskal, rezulton detyrim tatimor, kompania certifikuese dënohet me një gjobë, në masën 50 për qind të detyrimit tatimor të ngarkuar  tatimpaguesit.”.</w:t>
      </w:r>
    </w:p>
    <w:p w:rsidR="004B0F47" w:rsidRPr="00DC7C85" w:rsidRDefault="004B0F47" w:rsidP="004B0F47">
      <w:pPr>
        <w:pStyle w:val="Hapesira7"/>
        <w:rPr>
          <w:lang w:val="sq-AL"/>
        </w:rPr>
      </w:pPr>
    </w:p>
    <w:p w:rsidR="004B0F47" w:rsidRPr="00DC7C85" w:rsidRDefault="004B0F47" w:rsidP="004B0F47">
      <w:pPr>
        <w:pStyle w:val="NeniNr"/>
        <w:keepNext w:val="0"/>
        <w:rPr>
          <w:shd w:val="clear" w:color="auto" w:fill="FFFFFF"/>
        </w:rPr>
      </w:pPr>
      <w:r w:rsidRPr="00DC7C85">
        <w:rPr>
          <w:shd w:val="clear" w:color="auto" w:fill="FFFFFF"/>
        </w:rPr>
        <w:t>Neni 54</w:t>
      </w:r>
    </w:p>
    <w:p w:rsidR="004B0F47" w:rsidRPr="00DC7C85" w:rsidRDefault="004B0F47" w:rsidP="004B0F47">
      <w:pPr>
        <w:pStyle w:val="Hapesira7"/>
        <w:rPr>
          <w:shd w:val="clear" w:color="auto" w:fill="FFFFFF"/>
          <w:lang w:val="sq-AL"/>
        </w:rPr>
      </w:pPr>
    </w:p>
    <w:p w:rsidR="004B0F47" w:rsidRPr="00DC7C85" w:rsidRDefault="004B0F47" w:rsidP="004B0F47">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Neni 130 ndryshohet si më poshtë:</w:t>
      </w:r>
    </w:p>
    <w:p w:rsidR="004B0F47" w:rsidRPr="00DC7C85" w:rsidRDefault="004B0F47" w:rsidP="004B0F47">
      <w:pPr>
        <w:pStyle w:val="Hapesira7"/>
        <w:rPr>
          <w:shd w:val="clear" w:color="auto" w:fill="FFFFFF"/>
          <w:lang w:val="sq-AL"/>
        </w:rPr>
      </w:pPr>
    </w:p>
    <w:p w:rsidR="004B0F47" w:rsidRPr="00DC7C85" w:rsidRDefault="004B0F47" w:rsidP="004B0F47">
      <w:pPr>
        <w:pStyle w:val="NeniNr"/>
        <w:keepNext w:val="0"/>
        <w:rPr>
          <w:shd w:val="clear" w:color="auto" w:fill="FFFFFF"/>
        </w:rPr>
      </w:pPr>
      <w:r w:rsidRPr="00DC7C85">
        <w:rPr>
          <w:shd w:val="clear" w:color="auto" w:fill="FFFFFF"/>
        </w:rPr>
        <w:t>“Neni 130</w:t>
      </w:r>
    </w:p>
    <w:p w:rsidR="004B0F47" w:rsidRPr="00DC7C85" w:rsidRDefault="004B0F47" w:rsidP="004B0F47">
      <w:pPr>
        <w:widowControl w:val="0"/>
        <w:shd w:val="clear" w:color="auto" w:fill="FFFFFF"/>
        <w:spacing w:after="0" w:line="240" w:lineRule="auto"/>
        <w:jc w:val="center"/>
        <w:rPr>
          <w:rFonts w:ascii="Garamond" w:hAnsi="Garamond"/>
          <w:b/>
          <w:spacing w:val="-4"/>
          <w:sz w:val="24"/>
          <w:szCs w:val="24"/>
          <w:shd w:val="clear" w:color="auto" w:fill="FFFFFF"/>
          <w:lang w:val="sq-AL"/>
        </w:rPr>
      </w:pPr>
      <w:r w:rsidRPr="00DC7C85">
        <w:rPr>
          <w:rFonts w:ascii="Garamond" w:hAnsi="Garamond"/>
          <w:b/>
          <w:spacing w:val="-4"/>
          <w:sz w:val="24"/>
          <w:szCs w:val="24"/>
          <w:shd w:val="clear" w:color="auto" w:fill="FFFFFF"/>
          <w:lang w:val="sq-AL"/>
        </w:rPr>
        <w:t>Mosafishimi i çmimeve të shitjes</w:t>
      </w:r>
    </w:p>
    <w:p w:rsidR="004B0F47" w:rsidRPr="00DC7C85" w:rsidRDefault="004B0F47" w:rsidP="004B0F47">
      <w:pPr>
        <w:pStyle w:val="Hapesira7"/>
        <w:rPr>
          <w:shd w:val="clear" w:color="auto" w:fill="FFFFFF"/>
          <w:lang w:val="sq-AL"/>
        </w:rPr>
      </w:pPr>
    </w:p>
    <w:p w:rsidR="004B0F47" w:rsidRPr="00DC7C85" w:rsidRDefault="004B0F47" w:rsidP="004B0F47">
      <w:pPr>
        <w:widowControl w:val="0"/>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 xml:space="preserve">Mosafishimi i çmimeve të shitjes së mallrave apo shërbimeve dënohet me gjobë me 100 000 (njëqind mijë) lekë për tatimpaguesit e tatimit mbi fitimin dhe 50 000 (pesëdhjetë mijë) lekë për tatimpaguesit e tjerë. </w:t>
      </w:r>
    </w:p>
    <w:p w:rsidR="004B0F47" w:rsidRPr="00DC7C85" w:rsidRDefault="004B0F47" w:rsidP="004B0F47">
      <w:pPr>
        <w:widowControl w:val="0"/>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 xml:space="preserve">Ministri i Financave përcakton me udhëzim rastet kur për natyrën e aktivitetit përmbushja e detyrimit për afishimin e çmimeve të shërbimeve nuk mund të ushtrohet.”.  </w:t>
      </w:r>
    </w:p>
    <w:p w:rsidR="004B0F47" w:rsidRPr="00DC7C85" w:rsidRDefault="004B0F47" w:rsidP="004B0F47">
      <w:pPr>
        <w:pStyle w:val="Hapesira7"/>
        <w:rPr>
          <w:lang w:val="sq-AL"/>
        </w:rPr>
      </w:pPr>
      <w:r w:rsidRPr="00DC7C85">
        <w:rPr>
          <w:lang w:val="sq-AL"/>
        </w:rPr>
        <w:t xml:space="preserve">    </w:t>
      </w:r>
    </w:p>
    <w:p w:rsidR="004B0F47" w:rsidRPr="00DC7C85" w:rsidRDefault="004B0F47" w:rsidP="004B0F47">
      <w:pPr>
        <w:pStyle w:val="NeniNr"/>
        <w:keepNext w:val="0"/>
      </w:pPr>
      <w:r w:rsidRPr="00DC7C85">
        <w:t>Neni 55</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131, pika 4 shfuqizohet.</w:t>
      </w:r>
    </w:p>
    <w:p w:rsidR="004B0F47" w:rsidRPr="00DC7C85" w:rsidRDefault="004B0F47" w:rsidP="004B0F47">
      <w:pPr>
        <w:pStyle w:val="NeniNr"/>
        <w:keepNext w:val="0"/>
      </w:pPr>
      <w:r w:rsidRPr="00DC7C85">
        <w:t>Neni 56</w:t>
      </w:r>
    </w:p>
    <w:p w:rsidR="004B0F47" w:rsidRPr="00DC7C85" w:rsidRDefault="004B0F47" w:rsidP="004B0F47">
      <w:pPr>
        <w:pStyle w:val="Hapesira7"/>
        <w:rPr>
          <w:lang w:val="sq-AL"/>
        </w:rPr>
      </w:pPr>
    </w:p>
    <w:p w:rsidR="004B0F47" w:rsidRPr="00DC7C85" w:rsidRDefault="004B0F47" w:rsidP="004B0F47">
      <w:pPr>
        <w:pStyle w:val="Default"/>
        <w:widowControl w:val="0"/>
        <w:ind w:firstLine="284"/>
        <w:rPr>
          <w:rFonts w:ascii="Garamond" w:hAnsi="Garamond"/>
          <w:color w:val="auto"/>
          <w:spacing w:val="-4"/>
          <w:lang w:val="sq-AL"/>
        </w:rPr>
      </w:pPr>
      <w:r w:rsidRPr="00DC7C85">
        <w:rPr>
          <w:rFonts w:ascii="Garamond" w:hAnsi="Garamond"/>
          <w:color w:val="auto"/>
          <w:spacing w:val="-4"/>
          <w:lang w:val="sq-AL"/>
        </w:rPr>
        <w:tab/>
        <w:t xml:space="preserve">Në nenin 133, pas pikës 3 shtohet pika 4 me këtë përmbajtje: </w:t>
      </w: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“4. Numërtimi i konstatimeve për zbatimin e penaliteteve të përcaktuara në nenin 122, të këtij ligji, fillon të zbatohet me hyrjen në fuqi të këtij ligji.”.</w:t>
      </w:r>
    </w:p>
    <w:p w:rsidR="004B0F47" w:rsidRPr="00DC7C85" w:rsidRDefault="004B0F47" w:rsidP="004B0F47">
      <w:pPr>
        <w:pStyle w:val="Hapesira7"/>
        <w:rPr>
          <w:shd w:val="clear" w:color="auto" w:fill="FFFFFF"/>
          <w:lang w:val="sq-AL"/>
        </w:rPr>
      </w:pPr>
    </w:p>
    <w:p w:rsidR="004B0F47" w:rsidRPr="00DC7C85" w:rsidRDefault="004B0F47" w:rsidP="004B0F47">
      <w:pPr>
        <w:pStyle w:val="NeniNr"/>
        <w:keepNext w:val="0"/>
        <w:rPr>
          <w:shd w:val="clear" w:color="auto" w:fill="FFFFFF"/>
        </w:rPr>
      </w:pPr>
      <w:r w:rsidRPr="00DC7C85">
        <w:rPr>
          <w:shd w:val="clear" w:color="auto" w:fill="FFFFFF"/>
        </w:rPr>
        <w:t>Neni 57</w:t>
      </w:r>
    </w:p>
    <w:p w:rsidR="004B0F47" w:rsidRPr="00DC7C85" w:rsidRDefault="004B0F47" w:rsidP="004B0F47">
      <w:pPr>
        <w:pStyle w:val="Hapesira7"/>
        <w:rPr>
          <w:shd w:val="clear" w:color="auto" w:fill="FFFFFF"/>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Kudo në ligj, emërtimi “Qendra Kombëtare e Regjistrimit” zëvendësohet me emërtimin “Qendra Kombëtare e Biznesit” dhe shkurtimi “QKR” zëvendësohet me shkurtimin “QKB”.</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58</w:t>
      </w:r>
    </w:p>
    <w:p w:rsidR="004B0F47" w:rsidRPr="00DC7C85" w:rsidRDefault="004B0F47" w:rsidP="004B0F47">
      <w:pPr>
        <w:widowControl w:val="0"/>
        <w:autoSpaceDE w:val="0"/>
        <w:autoSpaceDN w:val="0"/>
        <w:adjustRightInd w:val="0"/>
        <w:spacing w:after="0" w:line="240" w:lineRule="auto"/>
        <w:jc w:val="center"/>
        <w:rPr>
          <w:rFonts w:ascii="Garamond" w:hAnsi="Garamond"/>
          <w:b/>
          <w:spacing w:val="-4"/>
          <w:sz w:val="24"/>
          <w:szCs w:val="24"/>
          <w:lang w:val="sq-AL"/>
        </w:rPr>
      </w:pPr>
      <w:r w:rsidRPr="00DC7C85">
        <w:rPr>
          <w:rFonts w:ascii="Garamond" w:hAnsi="Garamond"/>
          <w:b/>
          <w:spacing w:val="-4"/>
          <w:sz w:val="24"/>
          <w:szCs w:val="24"/>
          <w:lang w:val="sq-AL"/>
        </w:rPr>
        <w:t>Dispozita kalimtare</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 Drejtoria e Apelimit Tatimor kryen funksionet si strukturë e Drejtorisë së Përgjithshme të Tatimeve deri në datën 1 janar 2017. Procedurat për ankimet administrative tatimore në proces përcaktohen me udhëzim të Ministrit të Financave.</w:t>
      </w:r>
    </w:p>
    <w:p w:rsidR="004B0F47" w:rsidRPr="00DC7C85" w:rsidRDefault="004B0F47" w:rsidP="004B0F47">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2. Drejtoria e Apelimit Tatimor shqyrton dhe merr vendim për të gjitha ankimet administrative tatimore, pavarësisht nga vlera e detyrimeve të apeluara, deri me hyrjen në fuqi të vendimit të Këshillit të Ministrave për përbërjen dhe procedurat e funksionimit të Komisionit për Shqyrtimin e Apelimit Tatimor. </w:t>
      </w:r>
    </w:p>
    <w:p w:rsidR="004B0F47" w:rsidRPr="00DC7C85" w:rsidRDefault="004B0F47" w:rsidP="004B0F47">
      <w:pPr>
        <w:pStyle w:val="Hapesira7"/>
        <w:rPr>
          <w:lang w:val="sq-AL"/>
        </w:rPr>
      </w:pPr>
    </w:p>
    <w:p w:rsidR="004B0F47" w:rsidRPr="00DC7C85" w:rsidRDefault="004B0F47" w:rsidP="004B0F47">
      <w:pPr>
        <w:pStyle w:val="NeniNr"/>
        <w:keepNext w:val="0"/>
      </w:pPr>
      <w:r w:rsidRPr="00DC7C85">
        <w:t>Neni 59</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Ky ligj hyn në fuqi 15 ditë pas botimit në Fletoren Zyrtare, përveç neneve 4, 6 dhe 38, të këtij ligji, të cilat hyjnë në fuqi në datën 1 janar 2017 .</w:t>
      </w:r>
    </w:p>
    <w:p w:rsidR="004B0F47" w:rsidRPr="00DC7C85" w:rsidRDefault="004B0F47" w:rsidP="004B0F47">
      <w:pPr>
        <w:pStyle w:val="Hapesira7"/>
        <w:rPr>
          <w:lang w:val="sq-AL"/>
        </w:rPr>
      </w:pPr>
    </w:p>
    <w:p w:rsidR="004B0F47" w:rsidRPr="00DC7C85" w:rsidRDefault="004B0F47" w:rsidP="004B0F47">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Miratuar në datën 3.11.2016</w:t>
      </w:r>
    </w:p>
    <w:p w:rsidR="004B0F47" w:rsidRPr="00DC7C85" w:rsidRDefault="004B0F47" w:rsidP="004B0F47">
      <w:pPr>
        <w:pStyle w:val="Hapesira7"/>
        <w:rPr>
          <w:lang w:val="sq-AL" w:eastAsia="en-GB"/>
        </w:rPr>
      </w:pPr>
    </w:p>
    <w:p w:rsidR="004B0F47" w:rsidRPr="00DC7C85" w:rsidRDefault="004B0F47" w:rsidP="004B0F47">
      <w:pPr>
        <w:pStyle w:val="Paragrafi"/>
        <w:ind w:firstLine="0"/>
        <w:rPr>
          <w:b/>
          <w:spacing w:val="-4"/>
          <w:lang w:val="sq-AL"/>
        </w:rPr>
      </w:pPr>
      <w:r w:rsidRPr="00DC7C85">
        <w:rPr>
          <w:b/>
          <w:spacing w:val="-4"/>
          <w:lang w:val="sq-AL"/>
        </w:rPr>
        <w:t>Shpallur me dekretin nr. 9846, datë 14.11.2016, të Presidentit të Republikës së Shqipërisë, Bujar Nishani</w:t>
      </w:r>
    </w:p>
    <w:p w:rsidR="004F59B3" w:rsidRPr="004B0F47" w:rsidRDefault="004F59B3" w:rsidP="004B0F47"/>
    <w:sectPr w:rsidR="004F59B3" w:rsidRPr="004B0F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Garamond-Bold">
    <w:altName w:val="Times New Roman"/>
    <w:panose1 w:val="00000000000000000000"/>
    <w:charset w:val="00"/>
    <w:family w:val="roman"/>
    <w:notTrueType/>
    <w:pitch w:val="default"/>
    <w:sig w:usb0="00000003" w:usb1="00000000" w:usb2="00000000" w:usb3="00000000" w:csb0="00000001" w:csb1="00000000"/>
  </w:font>
  <w:font w:name="Calibri Light">
    <w:altName w:val="Calibri"/>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95F"/>
    <w:rsid w:val="004B0F47"/>
    <w:rsid w:val="004F59B3"/>
    <w:rsid w:val="00830ACB"/>
    <w:rsid w:val="008E2187"/>
    <w:rsid w:val="00AD5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ACB"/>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830AC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830ACB"/>
    <w:rPr>
      <w:rFonts w:ascii="Arial" w:eastAsia="MS Mincho" w:hAnsi="Arial" w:cs="Arial"/>
      <w:b/>
      <w:bCs/>
      <w:kern w:val="32"/>
      <w:sz w:val="32"/>
      <w:szCs w:val="32"/>
    </w:rPr>
  </w:style>
  <w:style w:type="paragraph" w:styleId="NoSpacing">
    <w:name w:val="No Spacing"/>
    <w:link w:val="NoSpacingChar"/>
    <w:uiPriority w:val="1"/>
    <w:qFormat/>
    <w:rsid w:val="00830ACB"/>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830ACB"/>
    <w:rPr>
      <w:rFonts w:ascii="Times New Roman" w:eastAsia="Times New Roman" w:hAnsi="Times New Roman" w:cs="Times New Roman"/>
      <w:sz w:val="24"/>
      <w:szCs w:val="24"/>
      <w:lang w:val="sq-AL"/>
    </w:rPr>
  </w:style>
  <w:style w:type="paragraph" w:customStyle="1" w:styleId="Akti">
    <w:name w:val="Akti"/>
    <w:link w:val="AktiChar"/>
    <w:rsid w:val="00830ACB"/>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30ACB"/>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30ACB"/>
    <w:rPr>
      <w:rFonts w:ascii="Garamond" w:eastAsia="MS Mincho" w:hAnsi="Garamond" w:cs="CG Times"/>
      <w:b/>
      <w:bCs/>
      <w:sz w:val="24"/>
      <w:lang w:val="en-GB"/>
    </w:rPr>
  </w:style>
  <w:style w:type="paragraph" w:customStyle="1" w:styleId="Paragrafi">
    <w:name w:val="Paragrafi"/>
    <w:link w:val="ParagrafiChar"/>
    <w:rsid w:val="00830AC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30ACB"/>
    <w:rPr>
      <w:rFonts w:ascii="Garamond" w:eastAsia="MS Mincho" w:hAnsi="Garamond" w:cs="CG Times"/>
      <w:sz w:val="24"/>
    </w:rPr>
  </w:style>
  <w:style w:type="paragraph" w:customStyle="1" w:styleId="Titulli">
    <w:name w:val="Titulli"/>
    <w:next w:val="Normal"/>
    <w:link w:val="TitulliChar"/>
    <w:rsid w:val="00830ACB"/>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30ACB"/>
    <w:rPr>
      <w:rFonts w:ascii="Garamond" w:eastAsia="MS Mincho" w:hAnsi="Garamond" w:cs="CG Times"/>
      <w:b/>
      <w:bCs/>
      <w:caps/>
      <w:sz w:val="24"/>
      <w:lang w:val="en-GB"/>
    </w:rPr>
  </w:style>
  <w:style w:type="character" w:customStyle="1" w:styleId="AktiChar">
    <w:name w:val="Akti Char"/>
    <w:basedOn w:val="DefaultParagraphFont"/>
    <w:link w:val="Akti"/>
    <w:rsid w:val="00830ACB"/>
    <w:rPr>
      <w:rFonts w:ascii="Garamond" w:eastAsia="MS Mincho" w:hAnsi="Garamond" w:cs="CG Times"/>
      <w:b/>
      <w:bCs/>
      <w:caps/>
      <w:color w:val="000000"/>
      <w:sz w:val="24"/>
      <w:lang w:val="en-GB"/>
    </w:rPr>
  </w:style>
  <w:style w:type="paragraph" w:customStyle="1" w:styleId="NeniNr">
    <w:name w:val="Neni_Nr"/>
    <w:next w:val="Normal"/>
    <w:link w:val="NeniNrChar"/>
    <w:rsid w:val="00830AC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30AC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30ACB"/>
    <w:rPr>
      <w:rFonts w:ascii="Garamond" w:eastAsia="MS Mincho" w:hAnsi="Garamond" w:cs="CG Times"/>
      <w:sz w:val="24"/>
      <w:lang w:val="en-GB"/>
    </w:rPr>
  </w:style>
  <w:style w:type="paragraph" w:customStyle="1" w:styleId="Hapesira7">
    <w:name w:val="Hapesira 7"/>
    <w:basedOn w:val="Paragrafi"/>
    <w:qFormat/>
    <w:rsid w:val="00830ACB"/>
    <w:rPr>
      <w:sz w:val="14"/>
      <w:szCs w:val="24"/>
    </w:rPr>
  </w:style>
  <w:style w:type="paragraph" w:styleId="ListParagraph">
    <w:name w:val="List Paragraph"/>
    <w:aliases w:val="List Paragraph2"/>
    <w:basedOn w:val="Normal"/>
    <w:link w:val="ListParagraphChar"/>
    <w:uiPriority w:val="34"/>
    <w:qFormat/>
    <w:rsid w:val="00830AC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830ACB"/>
    <w:rPr>
      <w:rFonts w:ascii="Calibri" w:eastAsia="Times New Roman" w:hAnsi="Calibri" w:cs="Times New Roman"/>
    </w:rPr>
  </w:style>
  <w:style w:type="paragraph" w:styleId="BodyText">
    <w:name w:val="Body Text"/>
    <w:basedOn w:val="Normal"/>
    <w:link w:val="BodyTextChar"/>
    <w:qFormat/>
    <w:rsid w:val="00830AC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830ACB"/>
    <w:rPr>
      <w:rFonts w:ascii="Arial" w:eastAsia="Times New Roman" w:hAnsi="Arial" w:cs="Arial"/>
      <w:color w:val="000000"/>
      <w:sz w:val="24"/>
      <w:szCs w:val="24"/>
    </w:rPr>
  </w:style>
  <w:style w:type="character" w:styleId="Strong">
    <w:name w:val="Strong"/>
    <w:uiPriority w:val="22"/>
    <w:qFormat/>
    <w:rsid w:val="00830ACB"/>
    <w:rPr>
      <w:b/>
      <w:bCs/>
    </w:rPr>
  </w:style>
  <w:style w:type="paragraph" w:customStyle="1" w:styleId="Default">
    <w:name w:val="Default"/>
    <w:rsid w:val="00830ACB"/>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ACB"/>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830AC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830ACB"/>
    <w:rPr>
      <w:rFonts w:ascii="Arial" w:eastAsia="MS Mincho" w:hAnsi="Arial" w:cs="Arial"/>
      <w:b/>
      <w:bCs/>
      <w:kern w:val="32"/>
      <w:sz w:val="32"/>
      <w:szCs w:val="32"/>
    </w:rPr>
  </w:style>
  <w:style w:type="paragraph" w:styleId="NoSpacing">
    <w:name w:val="No Spacing"/>
    <w:link w:val="NoSpacingChar"/>
    <w:uiPriority w:val="1"/>
    <w:qFormat/>
    <w:rsid w:val="00830ACB"/>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830ACB"/>
    <w:rPr>
      <w:rFonts w:ascii="Times New Roman" w:eastAsia="Times New Roman" w:hAnsi="Times New Roman" w:cs="Times New Roman"/>
      <w:sz w:val="24"/>
      <w:szCs w:val="24"/>
      <w:lang w:val="sq-AL"/>
    </w:rPr>
  </w:style>
  <w:style w:type="paragraph" w:customStyle="1" w:styleId="Akti">
    <w:name w:val="Akti"/>
    <w:link w:val="AktiChar"/>
    <w:rsid w:val="00830ACB"/>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30ACB"/>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30ACB"/>
    <w:rPr>
      <w:rFonts w:ascii="Garamond" w:eastAsia="MS Mincho" w:hAnsi="Garamond" w:cs="CG Times"/>
      <w:b/>
      <w:bCs/>
      <w:sz w:val="24"/>
      <w:lang w:val="en-GB"/>
    </w:rPr>
  </w:style>
  <w:style w:type="paragraph" w:customStyle="1" w:styleId="Paragrafi">
    <w:name w:val="Paragrafi"/>
    <w:link w:val="ParagrafiChar"/>
    <w:rsid w:val="00830AC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30ACB"/>
    <w:rPr>
      <w:rFonts w:ascii="Garamond" w:eastAsia="MS Mincho" w:hAnsi="Garamond" w:cs="CG Times"/>
      <w:sz w:val="24"/>
    </w:rPr>
  </w:style>
  <w:style w:type="paragraph" w:customStyle="1" w:styleId="Titulli">
    <w:name w:val="Titulli"/>
    <w:next w:val="Normal"/>
    <w:link w:val="TitulliChar"/>
    <w:rsid w:val="00830ACB"/>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30ACB"/>
    <w:rPr>
      <w:rFonts w:ascii="Garamond" w:eastAsia="MS Mincho" w:hAnsi="Garamond" w:cs="CG Times"/>
      <w:b/>
      <w:bCs/>
      <w:caps/>
      <w:sz w:val="24"/>
      <w:lang w:val="en-GB"/>
    </w:rPr>
  </w:style>
  <w:style w:type="character" w:customStyle="1" w:styleId="AktiChar">
    <w:name w:val="Akti Char"/>
    <w:basedOn w:val="DefaultParagraphFont"/>
    <w:link w:val="Akti"/>
    <w:rsid w:val="00830ACB"/>
    <w:rPr>
      <w:rFonts w:ascii="Garamond" w:eastAsia="MS Mincho" w:hAnsi="Garamond" w:cs="CG Times"/>
      <w:b/>
      <w:bCs/>
      <w:caps/>
      <w:color w:val="000000"/>
      <w:sz w:val="24"/>
      <w:lang w:val="en-GB"/>
    </w:rPr>
  </w:style>
  <w:style w:type="paragraph" w:customStyle="1" w:styleId="NeniNr">
    <w:name w:val="Neni_Nr"/>
    <w:next w:val="Normal"/>
    <w:link w:val="NeniNrChar"/>
    <w:rsid w:val="00830AC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30AC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30ACB"/>
    <w:rPr>
      <w:rFonts w:ascii="Garamond" w:eastAsia="MS Mincho" w:hAnsi="Garamond" w:cs="CG Times"/>
      <w:sz w:val="24"/>
      <w:lang w:val="en-GB"/>
    </w:rPr>
  </w:style>
  <w:style w:type="paragraph" w:customStyle="1" w:styleId="Hapesira7">
    <w:name w:val="Hapesira 7"/>
    <w:basedOn w:val="Paragrafi"/>
    <w:qFormat/>
    <w:rsid w:val="00830ACB"/>
    <w:rPr>
      <w:sz w:val="14"/>
      <w:szCs w:val="24"/>
    </w:rPr>
  </w:style>
  <w:style w:type="paragraph" w:styleId="ListParagraph">
    <w:name w:val="List Paragraph"/>
    <w:aliases w:val="List Paragraph2"/>
    <w:basedOn w:val="Normal"/>
    <w:link w:val="ListParagraphChar"/>
    <w:uiPriority w:val="34"/>
    <w:qFormat/>
    <w:rsid w:val="00830AC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830ACB"/>
    <w:rPr>
      <w:rFonts w:ascii="Calibri" w:eastAsia="Times New Roman" w:hAnsi="Calibri" w:cs="Times New Roman"/>
    </w:rPr>
  </w:style>
  <w:style w:type="paragraph" w:styleId="BodyText">
    <w:name w:val="Body Text"/>
    <w:basedOn w:val="Normal"/>
    <w:link w:val="BodyTextChar"/>
    <w:qFormat/>
    <w:rsid w:val="00830AC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830ACB"/>
    <w:rPr>
      <w:rFonts w:ascii="Arial" w:eastAsia="Times New Roman" w:hAnsi="Arial" w:cs="Arial"/>
      <w:color w:val="000000"/>
      <w:sz w:val="24"/>
      <w:szCs w:val="24"/>
    </w:rPr>
  </w:style>
  <w:style w:type="character" w:styleId="Strong">
    <w:name w:val="Strong"/>
    <w:uiPriority w:val="22"/>
    <w:qFormat/>
    <w:rsid w:val="00830ACB"/>
    <w:rPr>
      <w:b/>
      <w:bCs/>
    </w:rPr>
  </w:style>
  <w:style w:type="paragraph" w:customStyle="1" w:styleId="Default">
    <w:name w:val="Default"/>
    <w:rsid w:val="00830ACB"/>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6594</Words>
  <Characters>37591</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4</cp:revision>
  <cp:lastPrinted>2019-02-05T12:00:00Z</cp:lastPrinted>
  <dcterms:created xsi:type="dcterms:W3CDTF">2016-11-16T09:22:00Z</dcterms:created>
  <dcterms:modified xsi:type="dcterms:W3CDTF">2019-02-05T12:00:00Z</dcterms:modified>
</cp:coreProperties>
</file>