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628" w:rsidRPr="004910CA" w:rsidRDefault="006E0628" w:rsidP="006E0628">
      <w:pPr>
        <w:pStyle w:val="NeniTitull"/>
      </w:pPr>
      <w:r w:rsidRPr="004910CA">
        <w:t>LIGJ</w:t>
      </w:r>
    </w:p>
    <w:p w:rsidR="006E0628" w:rsidRPr="004910CA" w:rsidRDefault="006E0628" w:rsidP="006E0628">
      <w:pPr>
        <w:pStyle w:val="NeniTitull"/>
      </w:pPr>
      <w:r w:rsidRPr="004910CA">
        <w:t>Nr. 122/2016</w:t>
      </w:r>
    </w:p>
    <w:p w:rsidR="006E0628" w:rsidRPr="004910CA" w:rsidRDefault="006E0628" w:rsidP="006E0628">
      <w:pPr>
        <w:pStyle w:val="Hapesira7"/>
      </w:pPr>
    </w:p>
    <w:p w:rsidR="006E0628" w:rsidRPr="004910CA" w:rsidRDefault="006E0628" w:rsidP="006E0628">
      <w:pPr>
        <w:pStyle w:val="NeniTitull"/>
      </w:pPr>
      <w:r w:rsidRPr="004910CA">
        <w:t>PËR DISA NDRYSHIME DHE SHTESA NË LIGJIN NR. 9880, DATË 25.2.2008, “PËR NËNSHKRIMIN ELEKTRONIK”, TË NDRYSHUAR</w:t>
      </w:r>
      <w:r w:rsidRPr="004910CA">
        <w:rPr>
          <w:vertAlign w:val="superscript"/>
        </w:rPr>
        <w:footnoteReference w:id="1"/>
      </w:r>
    </w:p>
    <w:p w:rsidR="006E0628" w:rsidRPr="004910CA" w:rsidRDefault="006E0628" w:rsidP="006E0628">
      <w:pPr>
        <w:pStyle w:val="Hapesira7"/>
      </w:pPr>
    </w:p>
    <w:p w:rsidR="006E0628" w:rsidRPr="004910CA" w:rsidRDefault="006E0628" w:rsidP="006E0628">
      <w:pPr>
        <w:pStyle w:val="Paragrafi"/>
      </w:pPr>
      <w:r w:rsidRPr="004910CA">
        <w:t xml:space="preserve">Në mbështetje të neneve 78 dhe 83, pika 1, të Kushtetutës, me propozimin e Këshillit të Ministrave, </w:t>
      </w:r>
    </w:p>
    <w:p w:rsidR="006E0628" w:rsidRPr="00D0389C" w:rsidRDefault="006E0628" w:rsidP="006E0628">
      <w:pPr>
        <w:pStyle w:val="Hapesira7"/>
        <w:rPr>
          <w:sz w:val="8"/>
        </w:rPr>
      </w:pPr>
    </w:p>
    <w:p w:rsidR="006E0628" w:rsidRPr="004910CA" w:rsidRDefault="006E0628" w:rsidP="006E0628">
      <w:pPr>
        <w:pStyle w:val="NeniNr"/>
      </w:pPr>
      <w:r w:rsidRPr="004910CA">
        <w:t>KUVENDI</w:t>
      </w:r>
    </w:p>
    <w:p w:rsidR="006E0628" w:rsidRPr="004910CA" w:rsidRDefault="006E0628" w:rsidP="006E0628">
      <w:pPr>
        <w:pStyle w:val="NeniNr"/>
      </w:pPr>
      <w:r w:rsidRPr="004910CA">
        <w:t>I REPUBLIKËS SË SHQIPËRISË</w:t>
      </w:r>
    </w:p>
    <w:p w:rsidR="006E0628" w:rsidRPr="00D0389C" w:rsidRDefault="006E0628" w:rsidP="006E0628">
      <w:pPr>
        <w:pStyle w:val="Hapesira7"/>
        <w:rPr>
          <w:sz w:val="12"/>
        </w:rPr>
      </w:pPr>
      <w:r w:rsidRPr="004910CA">
        <w:t> </w:t>
      </w:r>
    </w:p>
    <w:p w:rsidR="006E0628" w:rsidRPr="004910CA" w:rsidRDefault="006E0628" w:rsidP="006E0628">
      <w:pPr>
        <w:pStyle w:val="NeniNr"/>
      </w:pPr>
      <w:r>
        <w:t>VENDOS</w:t>
      </w:r>
      <w:r w:rsidRPr="004910CA">
        <w:t>I:</w:t>
      </w:r>
    </w:p>
    <w:p w:rsidR="006E0628" w:rsidRPr="004910CA" w:rsidRDefault="006E0628" w:rsidP="006E0628">
      <w:pPr>
        <w:pStyle w:val="Hapesira7"/>
      </w:pPr>
      <w:r w:rsidRPr="004910CA">
        <w:t> </w:t>
      </w:r>
    </w:p>
    <w:p w:rsidR="006E0628" w:rsidRPr="004910CA" w:rsidRDefault="006E0628" w:rsidP="006E0628">
      <w:pPr>
        <w:pStyle w:val="Paragrafi"/>
      </w:pPr>
      <w:r w:rsidRPr="004910CA">
        <w:t>Në ligjin nr. 9880, datë 25.2.2008, “Për nënshkrimin elektronik”, të ndryshuar, bëhen ndryshimet dhe shtesat si më poshtë:</w:t>
      </w:r>
    </w:p>
    <w:p w:rsidR="006E0628" w:rsidRPr="00D0389C" w:rsidRDefault="006E0628" w:rsidP="006E0628">
      <w:pPr>
        <w:pStyle w:val="Hapesira7"/>
        <w:rPr>
          <w:sz w:val="12"/>
        </w:rPr>
      </w:pPr>
    </w:p>
    <w:p w:rsidR="006E0628" w:rsidRPr="004910CA" w:rsidRDefault="006E0628" w:rsidP="006E0628">
      <w:pPr>
        <w:pStyle w:val="NeniNr"/>
      </w:pPr>
      <w:r w:rsidRPr="004910CA">
        <w:t>Neni 1</w:t>
      </w:r>
    </w:p>
    <w:p w:rsidR="006E0628" w:rsidRPr="004910CA" w:rsidRDefault="006E0628" w:rsidP="006E0628">
      <w:pPr>
        <w:pStyle w:val="Hapesira7"/>
      </w:pPr>
    </w:p>
    <w:p w:rsidR="006E0628" w:rsidRPr="004910CA" w:rsidRDefault="006E0628" w:rsidP="006E0628">
      <w:pPr>
        <w:pStyle w:val="Paragrafi"/>
      </w:pPr>
      <w:r w:rsidRPr="004910CA">
        <w:t xml:space="preserve">Në nenin 3, pika 15 ndryshohet si më poshtë: </w:t>
      </w:r>
    </w:p>
    <w:p w:rsidR="006E0628" w:rsidRPr="004910CA" w:rsidRDefault="006E0628" w:rsidP="006E0628">
      <w:pPr>
        <w:pStyle w:val="Paragrafi"/>
      </w:pPr>
      <w:r w:rsidRPr="004910CA">
        <w:t>“15. “Autoriteti Përgjegjës për Certifikimin Elektronik dhe Sigurinë Kibernetike (Autoriteti)” është organi shtetëror i ngarkuar për mbikëqyrjen e kuadrit rregullator, të përcaktuar në këtë ligj dhe në legjislacionin në fuqi në Republikën e Shqipërisë.”.</w:t>
      </w:r>
    </w:p>
    <w:p w:rsidR="006E0628" w:rsidRPr="004910CA" w:rsidRDefault="006E0628" w:rsidP="006E0628">
      <w:pPr>
        <w:pStyle w:val="NeniNr"/>
      </w:pPr>
      <w:r w:rsidRPr="004910CA">
        <w:t>Neni 2</w:t>
      </w:r>
    </w:p>
    <w:p w:rsidR="006E0628" w:rsidRPr="004910CA" w:rsidRDefault="006E0628" w:rsidP="006E0628">
      <w:pPr>
        <w:pStyle w:val="Hapesira7"/>
      </w:pPr>
    </w:p>
    <w:p w:rsidR="006E0628" w:rsidRPr="004910CA" w:rsidRDefault="006E0628" w:rsidP="006E0628">
      <w:pPr>
        <w:pStyle w:val="Paragrafi"/>
      </w:pPr>
      <w:r w:rsidRPr="004910CA">
        <w:t>Neni 10 riformulohet si më poshtë:</w:t>
      </w:r>
    </w:p>
    <w:p w:rsidR="006E0628" w:rsidRPr="004910CA" w:rsidRDefault="006E0628" w:rsidP="006E0628">
      <w:pPr>
        <w:pStyle w:val="Hapesira7"/>
      </w:pPr>
    </w:p>
    <w:p w:rsidR="006E0628" w:rsidRPr="004910CA" w:rsidRDefault="006E0628" w:rsidP="006E0628">
      <w:pPr>
        <w:pStyle w:val="NeniNr"/>
      </w:pPr>
      <w:r w:rsidRPr="004910CA">
        <w:t>“Neni 10</w:t>
      </w:r>
    </w:p>
    <w:p w:rsidR="006E0628" w:rsidRPr="004910CA" w:rsidRDefault="006E0628" w:rsidP="006E0628">
      <w:pPr>
        <w:pStyle w:val="NeniNr"/>
        <w:rPr>
          <w:b/>
        </w:rPr>
      </w:pPr>
      <w:r w:rsidRPr="004910CA">
        <w:rPr>
          <w:b/>
        </w:rPr>
        <w:t>Autoriteti Përgjegjës për Certifikimin Elektronik dhe Sigurinë Kibernetike</w:t>
      </w:r>
    </w:p>
    <w:p w:rsidR="006E0628" w:rsidRPr="004910CA" w:rsidRDefault="006E0628" w:rsidP="006E0628">
      <w:pPr>
        <w:pStyle w:val="Hapesira7"/>
      </w:pPr>
    </w:p>
    <w:p w:rsidR="006E0628" w:rsidRPr="004910CA" w:rsidRDefault="006E0628" w:rsidP="006E0628">
      <w:pPr>
        <w:pStyle w:val="Paragrafi"/>
      </w:pPr>
      <w:r w:rsidRPr="004910CA">
        <w:t>1. Autoriteti është autoriteti kombëtar përgjegjës për rregullimin dhe mbikëqyrjen e sigurisë elektronike, i cili funksionon sipas legjislacionit në fuqi në Republikën e Shqipërisë.</w:t>
      </w:r>
    </w:p>
    <w:p w:rsidR="006E0628" w:rsidRPr="004910CA" w:rsidRDefault="006E0628" w:rsidP="006E0628">
      <w:pPr>
        <w:pStyle w:val="Paragrafi"/>
      </w:pPr>
      <w:r w:rsidRPr="004910CA">
        <w:t>2. Autoriteti është institucion juridik publik, me seli në Tiranë, në varësi të ministrit përgjegjës të fushës.</w:t>
      </w:r>
    </w:p>
    <w:p w:rsidR="006E0628" w:rsidRPr="004910CA" w:rsidRDefault="006E0628" w:rsidP="006E0628">
      <w:pPr>
        <w:pStyle w:val="Paragrafi"/>
      </w:pPr>
      <w:r w:rsidRPr="004910CA">
        <w:t>3. Autoriteti financohet nga Buxheti i Shtetit dhe burime të tjera të ligjshme.</w:t>
      </w:r>
    </w:p>
    <w:p w:rsidR="006E0628" w:rsidRPr="004910CA" w:rsidRDefault="006E0628" w:rsidP="006E0628">
      <w:pPr>
        <w:pStyle w:val="Paragrafi"/>
      </w:pPr>
      <w:r w:rsidRPr="004910CA">
        <w:t>4. Autoriteti përfaqësohet nga Drejtori i Përgjithshëm.</w:t>
      </w:r>
    </w:p>
    <w:p w:rsidR="006E0628" w:rsidRPr="004910CA" w:rsidRDefault="006E0628" w:rsidP="006E0628">
      <w:pPr>
        <w:pStyle w:val="Paragrafi"/>
      </w:pPr>
      <w:r w:rsidRPr="004910CA">
        <w:t>5. Marrëdhëniet e punës të Drejtorit të Përgjithshëm dhe të nëpunësve të Autoritetit rregullohen në bazë të legjislacionit për nëpunësin civil. Marrëdhëniet e punës të punonjësve administrativë rregullohen në bazë të Kodit të Punës.</w:t>
      </w:r>
    </w:p>
    <w:p w:rsidR="006E0628" w:rsidRPr="004910CA" w:rsidRDefault="006E0628" w:rsidP="006E0628">
      <w:pPr>
        <w:pStyle w:val="Paragrafi"/>
      </w:pPr>
      <w:r w:rsidRPr="004910CA">
        <w:t>6. Autoriteti, në ushtrim të funksioneve të tij, nxjerr udhëzime për të rregulluar veprimtarinë e ofruesve të kualifikuar të shërbimit të besuar.</w:t>
      </w:r>
    </w:p>
    <w:p w:rsidR="006E0628" w:rsidRPr="004910CA" w:rsidRDefault="006E0628" w:rsidP="006E0628">
      <w:pPr>
        <w:pStyle w:val="Paragrafi"/>
      </w:pPr>
      <w:r w:rsidRPr="004910CA">
        <w:t>7. Organizimi dhe funksionimi i Autoritetit miratohen me vendim të Këshillit të Ministrave.”.</w:t>
      </w:r>
    </w:p>
    <w:p w:rsidR="006E0628" w:rsidRPr="00D0389C" w:rsidRDefault="006E0628" w:rsidP="006E0628">
      <w:pPr>
        <w:pStyle w:val="Hapesira7"/>
        <w:rPr>
          <w:sz w:val="6"/>
        </w:rPr>
      </w:pPr>
    </w:p>
    <w:p w:rsidR="006E0628" w:rsidRPr="004910CA" w:rsidRDefault="006E0628" w:rsidP="006E0628">
      <w:pPr>
        <w:pStyle w:val="NeniNr"/>
      </w:pPr>
      <w:r w:rsidRPr="004910CA">
        <w:t>Neni 3</w:t>
      </w:r>
    </w:p>
    <w:p w:rsidR="006E0628" w:rsidRPr="004910CA" w:rsidRDefault="006E0628" w:rsidP="006E0628">
      <w:pPr>
        <w:pStyle w:val="Hapesira7"/>
      </w:pPr>
    </w:p>
    <w:p w:rsidR="006E0628" w:rsidRPr="004910CA" w:rsidRDefault="006E0628" w:rsidP="006E0628">
      <w:pPr>
        <w:pStyle w:val="Paragrafi"/>
      </w:pPr>
      <w:r w:rsidRPr="004910CA">
        <w:tab/>
        <w:t>Neni 22 riformulohet si më poshtë:</w:t>
      </w:r>
    </w:p>
    <w:p w:rsidR="006E0628" w:rsidRDefault="006E0628" w:rsidP="006E0628">
      <w:pPr>
        <w:pStyle w:val="Hapesira7"/>
      </w:pPr>
    </w:p>
    <w:p w:rsidR="006E0628" w:rsidRPr="004910CA" w:rsidRDefault="006E0628" w:rsidP="006E0628">
      <w:pPr>
        <w:pStyle w:val="NeniNr"/>
      </w:pPr>
      <w:r w:rsidRPr="004910CA">
        <w:lastRenderedPageBreak/>
        <w:t>“Neni 22</w:t>
      </w:r>
    </w:p>
    <w:p w:rsidR="006E0628" w:rsidRPr="004910CA" w:rsidRDefault="006E0628" w:rsidP="006E0628">
      <w:pPr>
        <w:pStyle w:val="NeniNr"/>
        <w:rPr>
          <w:b/>
        </w:rPr>
      </w:pPr>
      <w:r w:rsidRPr="004910CA">
        <w:rPr>
          <w:b/>
        </w:rPr>
        <w:t>Transferimi i detyrave të shërbimeve të certifikimit</w:t>
      </w:r>
    </w:p>
    <w:p w:rsidR="006E0628" w:rsidRPr="004910CA" w:rsidRDefault="006E0628" w:rsidP="006E0628">
      <w:pPr>
        <w:pStyle w:val="Hapesira7"/>
      </w:pPr>
    </w:p>
    <w:p w:rsidR="006E0628" w:rsidRPr="004910CA" w:rsidRDefault="006E0628" w:rsidP="006E0628">
      <w:pPr>
        <w:pStyle w:val="Paragrafi"/>
      </w:pPr>
      <w:r w:rsidRPr="004910CA">
        <w:t>1. Ofruesi i shërbimeve të certifikimit mund t’u transferojë, me marrëveshje, personave të tretë, këto detyra:</w:t>
      </w:r>
    </w:p>
    <w:p w:rsidR="006E0628" w:rsidRPr="004910CA" w:rsidRDefault="006E0628" w:rsidP="006E0628">
      <w:pPr>
        <w:pStyle w:val="Paragrafi"/>
      </w:pPr>
      <w:r w:rsidRPr="004910CA">
        <w:t xml:space="preserve">a) procesin e identifikimit të zotëruesve të certifikatave; </w:t>
      </w:r>
    </w:p>
    <w:p w:rsidR="006E0628" w:rsidRPr="004910CA" w:rsidRDefault="006E0628" w:rsidP="006E0628">
      <w:pPr>
        <w:pStyle w:val="Paragrafi"/>
      </w:pPr>
      <w:r w:rsidRPr="004910CA">
        <w:t xml:space="preserve">b) gjenerimin e certifikatave të kualifikuara; </w:t>
      </w:r>
    </w:p>
    <w:p w:rsidR="006E0628" w:rsidRPr="004910CA" w:rsidRDefault="006E0628" w:rsidP="006E0628">
      <w:pPr>
        <w:pStyle w:val="Paragrafi"/>
      </w:pPr>
      <w:r w:rsidRPr="004910CA">
        <w:t xml:space="preserve">c) dorëzimin e pajisjes përkatëse, ku ruhet certifikata e kualifikuar. </w:t>
      </w:r>
    </w:p>
    <w:p w:rsidR="006E0628" w:rsidRPr="004910CA" w:rsidRDefault="006E0628" w:rsidP="006E0628">
      <w:pPr>
        <w:pStyle w:val="Paragrafi"/>
      </w:pPr>
      <w:r w:rsidRPr="004910CA">
        <w:t>2. Transferimi nuk përjashton përgjegjësinë e ofruesit të shërbimit për detyrimet që rrjedhin nga ky ligj.</w:t>
      </w:r>
    </w:p>
    <w:p w:rsidR="006E0628" w:rsidRPr="004910CA" w:rsidRDefault="006E0628" w:rsidP="006E0628">
      <w:pPr>
        <w:pStyle w:val="Paragrafi"/>
      </w:pPr>
      <w:r w:rsidRPr="004910CA">
        <w:t>3. Procedurat për transferimin e detyrave, të përcaktuara në pikën 1, të këtij neni, janë pjesë e rregullave të përcaktuara nga Këshilli i Ministrave për identifikimin elektronik dhe shërbimet e besuara.”.</w:t>
      </w:r>
    </w:p>
    <w:p w:rsidR="006E0628" w:rsidRPr="00D0389C" w:rsidRDefault="006E0628" w:rsidP="006E0628">
      <w:pPr>
        <w:pStyle w:val="Hapesira7"/>
        <w:rPr>
          <w:sz w:val="6"/>
        </w:rPr>
      </w:pPr>
    </w:p>
    <w:p w:rsidR="006E0628" w:rsidRPr="004910CA" w:rsidRDefault="006E0628" w:rsidP="006E0628">
      <w:pPr>
        <w:pStyle w:val="NeniNr"/>
      </w:pPr>
      <w:r w:rsidRPr="004910CA">
        <w:t>Neni 4</w:t>
      </w:r>
    </w:p>
    <w:p w:rsidR="006E0628" w:rsidRPr="004910CA" w:rsidRDefault="006E0628" w:rsidP="006E0628">
      <w:pPr>
        <w:pStyle w:val="Hapesira7"/>
      </w:pPr>
    </w:p>
    <w:p w:rsidR="006E0628" w:rsidRPr="004910CA" w:rsidRDefault="006E0628" w:rsidP="006E0628">
      <w:pPr>
        <w:pStyle w:val="Paragrafi"/>
      </w:pPr>
      <w:r w:rsidRPr="004910CA">
        <w:t>Në nenin 54, pas pikës 2 shtohet pika 3 me këtë përmbajtje:</w:t>
      </w:r>
    </w:p>
    <w:p w:rsidR="006E0628" w:rsidRPr="004910CA" w:rsidRDefault="006E0628" w:rsidP="006E0628">
      <w:pPr>
        <w:pStyle w:val="Paragrafi"/>
      </w:pPr>
      <w:r w:rsidRPr="004910CA">
        <w:t>“3. Për Ofruesit e Kualifikuar të Shërbimit të Besuar, të cilët operojnë në vendet anëtare të Bashkimit Europian dhe janë të akredituar nga autoriteti mbikëqyrës përkatës, identifikimet dhe shërbimet e besuara të lëshuara prej tyre do të kenë të njëjtën vlefshmëri ligjore dhe fuqi provuese, si ato të lëshuara nga një Ofrues i Kualifikuar i Shërbimit të Besuar, që operon në Republikën e Shqipërisë.”.</w:t>
      </w:r>
    </w:p>
    <w:p w:rsidR="006E0628" w:rsidRPr="004910CA" w:rsidRDefault="006E0628" w:rsidP="006E0628">
      <w:pPr>
        <w:pStyle w:val="NeniNr"/>
      </w:pPr>
      <w:r w:rsidRPr="004910CA">
        <w:t>Neni 5</w:t>
      </w:r>
    </w:p>
    <w:p w:rsidR="006E0628" w:rsidRPr="004910CA" w:rsidRDefault="006E0628" w:rsidP="006E0628">
      <w:pPr>
        <w:pStyle w:val="Hapesira7"/>
      </w:pPr>
    </w:p>
    <w:p w:rsidR="006E0628" w:rsidRPr="004910CA" w:rsidRDefault="006E0628" w:rsidP="006E0628">
      <w:pPr>
        <w:pStyle w:val="Paragrafi"/>
      </w:pPr>
      <w:r w:rsidRPr="004910CA">
        <w:t>Neni 59 riformulohet si më poshtë:</w:t>
      </w:r>
    </w:p>
    <w:p w:rsidR="006E0628" w:rsidRPr="004910CA" w:rsidRDefault="006E0628" w:rsidP="006E0628">
      <w:pPr>
        <w:pStyle w:val="Hapesira7"/>
      </w:pPr>
    </w:p>
    <w:p w:rsidR="006E0628" w:rsidRPr="004910CA" w:rsidRDefault="006E0628" w:rsidP="006E0628">
      <w:pPr>
        <w:pStyle w:val="NeniNr"/>
      </w:pPr>
      <w:r w:rsidRPr="004910CA">
        <w:t>“Neni 59</w:t>
      </w:r>
    </w:p>
    <w:p w:rsidR="006E0628" w:rsidRPr="004910CA" w:rsidRDefault="006E0628" w:rsidP="006E0628">
      <w:pPr>
        <w:pStyle w:val="NeniNr"/>
        <w:rPr>
          <w:b/>
        </w:rPr>
      </w:pPr>
      <w:r w:rsidRPr="004910CA">
        <w:rPr>
          <w:b/>
        </w:rPr>
        <w:t>Aktet nënligjore</w:t>
      </w:r>
    </w:p>
    <w:p w:rsidR="006E0628" w:rsidRPr="004910CA" w:rsidRDefault="006E0628" w:rsidP="006E0628">
      <w:pPr>
        <w:pStyle w:val="Hapesira7"/>
      </w:pPr>
    </w:p>
    <w:p w:rsidR="006E0628" w:rsidRPr="004910CA" w:rsidRDefault="006E0628" w:rsidP="006E0628">
      <w:pPr>
        <w:pStyle w:val="Paragrafi"/>
      </w:pPr>
      <w:r w:rsidRPr="004910CA">
        <w:t>1. Ngarkohet Këshilli i Ministrave të nxjerrë aktet nënligjore në zbatim të neneve 10, 14, 19, 22, 28, 52, 54 e 55 të këtij ligji.</w:t>
      </w:r>
    </w:p>
    <w:p w:rsidR="006E0628" w:rsidRPr="004910CA" w:rsidRDefault="006E0628" w:rsidP="006E0628">
      <w:pPr>
        <w:pStyle w:val="Paragrafi"/>
      </w:pPr>
      <w:r w:rsidRPr="004910CA">
        <w:t>2. Ngarkohet ministri përgjegjës për miratimin e rregullores së brendshme të Autoritetit.”.</w:t>
      </w:r>
    </w:p>
    <w:p w:rsidR="006E0628" w:rsidRPr="004910CA" w:rsidRDefault="006E0628" w:rsidP="006E0628">
      <w:pPr>
        <w:pStyle w:val="Hapesira7"/>
      </w:pPr>
    </w:p>
    <w:p w:rsidR="006E0628" w:rsidRPr="004910CA" w:rsidRDefault="006E0628" w:rsidP="006E0628">
      <w:pPr>
        <w:pStyle w:val="NeniNr"/>
      </w:pPr>
      <w:r w:rsidRPr="004910CA">
        <w:t>Neni 6</w:t>
      </w:r>
    </w:p>
    <w:p w:rsidR="006E0628" w:rsidRPr="004910CA" w:rsidRDefault="006E0628" w:rsidP="006E0628">
      <w:pPr>
        <w:pStyle w:val="NeniNr"/>
        <w:rPr>
          <w:b/>
        </w:rPr>
      </w:pPr>
      <w:r w:rsidRPr="004910CA">
        <w:rPr>
          <w:b/>
        </w:rPr>
        <w:t>Dispozita kalimtare</w:t>
      </w:r>
    </w:p>
    <w:p w:rsidR="006E0628" w:rsidRPr="004910CA" w:rsidRDefault="006E0628" w:rsidP="006E0628">
      <w:pPr>
        <w:pStyle w:val="Hapesira7"/>
      </w:pPr>
    </w:p>
    <w:p w:rsidR="006E0628" w:rsidRPr="004910CA" w:rsidRDefault="006E0628" w:rsidP="006E0628">
      <w:pPr>
        <w:pStyle w:val="Paragrafi"/>
      </w:pPr>
      <w:r w:rsidRPr="004910CA">
        <w:t>1. Të gjitha të drejtat, detyrimet dhe buxheti i Autoritetit Kombëtar për Certifikimin Elektronik i transferohen autoritetit përgjegjës, që krijohet me këtë ligj.</w:t>
      </w:r>
    </w:p>
    <w:p w:rsidR="006E0628" w:rsidRPr="004910CA" w:rsidRDefault="006E0628" w:rsidP="006E0628">
      <w:pPr>
        <w:pStyle w:val="Paragrafi"/>
      </w:pPr>
      <w:r w:rsidRPr="004910CA">
        <w:t>2. Për nëpunësit civilë ekzistues të Autoritetit Kombëtar për Certifikimin Elektronik zbatohen dispozitat e legjislacionit të nëpunësit civil në rastin e mbylljes dhe ristrukturimit të institucionit.</w:t>
      </w:r>
    </w:p>
    <w:p w:rsidR="006E0628" w:rsidRPr="004910CA" w:rsidRDefault="006E0628" w:rsidP="006E0628">
      <w:pPr>
        <w:pStyle w:val="Paragrafi"/>
      </w:pPr>
      <w:r w:rsidRPr="004910CA">
        <w:t>3. Autoriteti Kombëtar për Certifikimin Elektronik do të vazhdojë të kryejë veprimtarinë e tij deri në momentin e fillimit të funksionimit të autoritetit të ri përgjegjës.</w:t>
      </w:r>
    </w:p>
    <w:p w:rsidR="006E0628" w:rsidRPr="004910CA" w:rsidRDefault="006E0628" w:rsidP="006E0628">
      <w:pPr>
        <w:pStyle w:val="Paragrafi"/>
      </w:pPr>
      <w:r w:rsidRPr="004910CA">
        <w:t>4. Kudo në këtë ligj, emërtimi “Autoriteti Kombëtar për Certifikimin Elektronik” zëvendësohet me emërtimin “Autoriteti Përgjegjës për Certifikimin Elektronik dhe Sigurinë Kibernetike”.</w:t>
      </w:r>
    </w:p>
    <w:p w:rsidR="006E0628" w:rsidRPr="004910CA" w:rsidRDefault="006E0628" w:rsidP="006E0628">
      <w:pPr>
        <w:pStyle w:val="Hapesira7"/>
      </w:pPr>
    </w:p>
    <w:p w:rsidR="006E0628" w:rsidRPr="004910CA" w:rsidRDefault="006E0628" w:rsidP="006E0628">
      <w:pPr>
        <w:pStyle w:val="NeniNr"/>
      </w:pPr>
      <w:r w:rsidRPr="004910CA">
        <w:t>Neni  7</w:t>
      </w:r>
    </w:p>
    <w:p w:rsidR="006E0628" w:rsidRPr="004910CA" w:rsidRDefault="006E0628" w:rsidP="006E0628">
      <w:pPr>
        <w:pStyle w:val="NeniNr"/>
        <w:rPr>
          <w:b/>
        </w:rPr>
      </w:pPr>
      <w:r w:rsidRPr="004910CA">
        <w:rPr>
          <w:b/>
        </w:rPr>
        <w:t>Hyrja në fuqi</w:t>
      </w:r>
    </w:p>
    <w:p w:rsidR="006E0628" w:rsidRPr="004910CA" w:rsidRDefault="006E0628" w:rsidP="006E0628">
      <w:pPr>
        <w:pStyle w:val="Hapesira7"/>
      </w:pPr>
    </w:p>
    <w:p w:rsidR="006E0628" w:rsidRPr="00BE5027" w:rsidRDefault="006E0628" w:rsidP="006E0628">
      <w:pPr>
        <w:pStyle w:val="Paragrafi"/>
      </w:pPr>
      <w:r w:rsidRPr="004910CA">
        <w:t>Ky ligj hyn në fuqi 15 ditë p</w:t>
      </w:r>
      <w:r>
        <w:t>as botimit në Fletoren Zyrtare</w:t>
      </w:r>
    </w:p>
    <w:p w:rsidR="006E0628" w:rsidRPr="004910CA" w:rsidRDefault="006E0628" w:rsidP="006E0628">
      <w:pPr>
        <w:pStyle w:val="Paragrafi"/>
      </w:pPr>
      <w:r w:rsidRPr="004910CA">
        <w:t>Miratuar në datën 15.12.2016</w:t>
      </w:r>
    </w:p>
    <w:p w:rsidR="006E0628" w:rsidRPr="00476359" w:rsidRDefault="006E0628" w:rsidP="006E0628">
      <w:pPr>
        <w:pStyle w:val="Paragrafi"/>
        <w:rPr>
          <w:b/>
        </w:rPr>
      </w:pPr>
      <w:bookmarkStart w:id="0" w:name="_GoBack"/>
      <w:bookmarkEnd w:id="0"/>
      <w:r>
        <w:rPr>
          <w:b/>
        </w:rPr>
        <w:t>Shpallur me dekretin nr.</w:t>
      </w:r>
      <w:r w:rsidRPr="00476359">
        <w:rPr>
          <w:b/>
        </w:rPr>
        <w:t>9928, datë 30.12.2016 t</w:t>
      </w:r>
      <w:r w:rsidRPr="00476359">
        <w:rPr>
          <w:rFonts w:cs="Times New Roman"/>
          <w:b/>
        </w:rPr>
        <w:t>ë</w:t>
      </w:r>
      <w:r w:rsidRPr="00476359">
        <w:rPr>
          <w:b/>
        </w:rPr>
        <w:t xml:space="preserve"> Presidentit të Republikë së Shqipërisë, Bujar Nishani</w:t>
      </w:r>
    </w:p>
    <w:p w:rsidR="006E0628" w:rsidRDefault="006E0628" w:rsidP="006E0628">
      <w:pPr>
        <w:pStyle w:val="Paragrafi"/>
      </w:pPr>
    </w:p>
    <w:p w:rsidR="006E0628" w:rsidRDefault="006E0628" w:rsidP="006E0628">
      <w:pPr>
        <w:pStyle w:val="NeniTitull"/>
        <w:keepNext w:val="0"/>
      </w:pPr>
    </w:p>
    <w:p w:rsidR="006E0628" w:rsidRDefault="006E0628" w:rsidP="006E0628">
      <w:pPr>
        <w:pStyle w:val="NeniTitull"/>
        <w:keepNext w:val="0"/>
      </w:pPr>
    </w:p>
    <w:p w:rsidR="006E0628" w:rsidRDefault="006E0628" w:rsidP="006E0628">
      <w:pPr>
        <w:rPr>
          <w:lang w:val="en-GB"/>
        </w:rPr>
      </w:pPr>
    </w:p>
    <w:p w:rsidR="006E0628" w:rsidRDefault="006E0628" w:rsidP="006E0628"/>
    <w:p w:rsidR="00775412" w:rsidRDefault="00775412"/>
    <w:sectPr w:rsidR="007754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628" w:rsidRDefault="006E0628" w:rsidP="006E0628">
      <w:pPr>
        <w:spacing w:after="0" w:line="240" w:lineRule="auto"/>
      </w:pPr>
      <w:r>
        <w:separator/>
      </w:r>
    </w:p>
  </w:endnote>
  <w:endnote w:type="continuationSeparator" w:id="0">
    <w:p w:rsidR="006E0628" w:rsidRDefault="006E0628" w:rsidP="006E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628" w:rsidRDefault="006E0628" w:rsidP="006E0628">
      <w:pPr>
        <w:spacing w:after="0" w:line="240" w:lineRule="auto"/>
      </w:pPr>
      <w:r>
        <w:separator/>
      </w:r>
    </w:p>
  </w:footnote>
  <w:footnote w:type="continuationSeparator" w:id="0">
    <w:p w:rsidR="006E0628" w:rsidRDefault="006E0628" w:rsidP="006E0628">
      <w:pPr>
        <w:spacing w:after="0" w:line="240" w:lineRule="auto"/>
      </w:pPr>
      <w:r>
        <w:continuationSeparator/>
      </w:r>
    </w:p>
  </w:footnote>
  <w:footnote w:id="1">
    <w:p w:rsidR="006E0628" w:rsidRPr="004910CA" w:rsidRDefault="006E0628" w:rsidP="006E0628">
      <w:pPr>
        <w:pStyle w:val="FootnoteText"/>
        <w:rPr>
          <w:rFonts w:ascii="Garamond" w:hAnsi="Garamond"/>
          <w:bCs/>
          <w:i/>
          <w:iCs/>
        </w:rPr>
      </w:pPr>
      <w:r>
        <w:rPr>
          <w:i/>
        </w:rPr>
        <w:tab/>
      </w:r>
      <w:r w:rsidRPr="004910CA">
        <w:rPr>
          <w:rStyle w:val="FootnoteReference"/>
          <w:rFonts w:ascii="Garamond" w:hAnsi="Garamond"/>
          <w:i/>
        </w:rPr>
        <w:footnoteRef/>
      </w:r>
      <w:r w:rsidRPr="004910CA">
        <w:rPr>
          <w:rFonts w:ascii="Garamond" w:hAnsi="Garamond"/>
          <w:bCs/>
          <w:i/>
          <w:iCs/>
        </w:rPr>
        <w:t>Ky ligj është përafruar pjesërisht me Rregulloren (BE) nr. 910/2014 të Parlamentit Europian dhe të Këshillit, datë 23 korrik 2014, “Për identifikimin elektronik dhe shërbimet e besuara për transaksionet elektronike në tregun e brendshëm, dhe që shfuqizon Direktivën 1999/93/KE”, Numri CELEX 32014R0910, Fletorja Zyrtare e Bashkimit Europian, Seria L, nr. 257, datë 28.8.2014, faqe 73-114.</w:t>
      </w:r>
    </w:p>
    <w:p w:rsidR="006E0628" w:rsidRDefault="006E0628" w:rsidP="006E0628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628"/>
    <w:rsid w:val="006E0628"/>
    <w:rsid w:val="00775412"/>
    <w:rsid w:val="007C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28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E062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E062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E062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E062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E062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E0628"/>
    <w:rPr>
      <w:sz w:val="14"/>
      <w:szCs w:val="24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6E0628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6E0628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6E0628"/>
    <w:rPr>
      <w:vertAlign w:val="superscript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6E0628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28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E062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E062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E062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E062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E062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E0628"/>
    <w:rPr>
      <w:sz w:val="14"/>
      <w:szCs w:val="24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6E0628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6E0628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6E0628"/>
    <w:rPr>
      <w:vertAlign w:val="superscript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6E0628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2019-02-05T14:10:00Z</cp:lastPrinted>
  <dcterms:created xsi:type="dcterms:W3CDTF">2017-12-21T08:48:00Z</dcterms:created>
  <dcterms:modified xsi:type="dcterms:W3CDTF">2019-02-05T14:10:00Z</dcterms:modified>
</cp:coreProperties>
</file>