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6666" w:rsidRPr="00993C76" w:rsidRDefault="00DF6666" w:rsidP="00DF6666">
      <w:pPr>
        <w:pStyle w:val="NeniTitull"/>
        <w:keepNext w:val="0"/>
        <w:rPr>
          <w:spacing w:val="-4"/>
          <w:szCs w:val="24"/>
          <w:lang w:val="sq-AL"/>
        </w:rPr>
      </w:pPr>
      <w:r w:rsidRPr="00993C76">
        <w:rPr>
          <w:spacing w:val="-4"/>
          <w:szCs w:val="24"/>
          <w:lang w:val="sq-AL"/>
        </w:rPr>
        <w:t>LIGJ</w:t>
      </w:r>
    </w:p>
    <w:p w:rsidR="00DF6666" w:rsidRPr="00993C76" w:rsidRDefault="00DF6666" w:rsidP="00DF6666">
      <w:pPr>
        <w:pStyle w:val="NeniTitull"/>
        <w:keepNext w:val="0"/>
        <w:rPr>
          <w:spacing w:val="-4"/>
          <w:szCs w:val="24"/>
          <w:lang w:val="sq-AL"/>
        </w:rPr>
      </w:pPr>
      <w:r w:rsidRPr="00993C76">
        <w:rPr>
          <w:spacing w:val="-4"/>
          <w:szCs w:val="24"/>
          <w:lang w:val="sq-AL"/>
        </w:rPr>
        <w:t>Nr. 25/2018</w:t>
      </w:r>
    </w:p>
    <w:p w:rsidR="00DF6666" w:rsidRPr="00993C76" w:rsidRDefault="00DF6666" w:rsidP="00DF6666">
      <w:pPr>
        <w:pStyle w:val="NeniTitull"/>
        <w:keepNext w:val="0"/>
        <w:rPr>
          <w:spacing w:val="-4"/>
          <w:szCs w:val="24"/>
          <w:lang w:val="sq-AL"/>
        </w:rPr>
      </w:pPr>
    </w:p>
    <w:p w:rsidR="00DF6666" w:rsidRPr="00993C76" w:rsidRDefault="00DF6666" w:rsidP="00DF6666">
      <w:pPr>
        <w:pStyle w:val="NeniTitull"/>
        <w:keepNext w:val="0"/>
        <w:rPr>
          <w:spacing w:val="-4"/>
          <w:szCs w:val="24"/>
          <w:lang w:val="sq-AL"/>
        </w:rPr>
      </w:pPr>
      <w:r w:rsidRPr="00993C76">
        <w:rPr>
          <w:spacing w:val="-4"/>
          <w:szCs w:val="24"/>
          <w:lang w:val="sq-AL"/>
        </w:rPr>
        <w:t xml:space="preserve">PËR </w:t>
      </w:r>
      <w:r w:rsidRPr="00993C76">
        <w:rPr>
          <w:rFonts w:eastAsia="Times New Roman"/>
          <w:spacing w:val="-4"/>
          <w:szCs w:val="24"/>
          <w:lang w:val="sq-AL"/>
        </w:rPr>
        <w:t>KONTABILITETIN DHE PASQYRAT FINANCIARE</w:t>
      </w:r>
      <w:r w:rsidRPr="00993C76">
        <w:rPr>
          <w:rFonts w:eastAsia="Times New Roman"/>
          <w:spacing w:val="-4"/>
          <w:szCs w:val="24"/>
          <w:vertAlign w:val="superscript"/>
          <w:lang w:val="sq-AL"/>
        </w:rPr>
        <w:footnoteReference w:id="1"/>
      </w:r>
      <w:r w:rsidR="00993C76">
        <w:rPr>
          <w:rFonts w:eastAsia="Times New Roman"/>
          <w:spacing w:val="-4"/>
          <w:szCs w:val="24"/>
          <w:lang w:val="sq-AL"/>
        </w:rPr>
        <w:t>,</w:t>
      </w:r>
      <w:r w:rsidR="000E2709" w:rsidRPr="00993C76">
        <w:rPr>
          <w:rStyle w:val="FootnoteReference"/>
          <w:rFonts w:eastAsia="Times New Roman"/>
          <w:spacing w:val="-4"/>
          <w:szCs w:val="24"/>
          <w:lang w:val="sq-AL"/>
        </w:rPr>
        <w:footnoteReference w:id="2"/>
      </w:r>
    </w:p>
    <w:p w:rsidR="003D0603" w:rsidRPr="00993C76" w:rsidRDefault="003D0603" w:rsidP="003D0603">
      <w:pPr>
        <w:widowControl w:val="0"/>
        <w:spacing w:after="0" w:line="240" w:lineRule="auto"/>
        <w:ind w:firstLine="720"/>
        <w:jc w:val="center"/>
        <w:rPr>
          <w:rFonts w:ascii="Garamond" w:eastAsia="Times New Roman" w:hAnsi="Garamond"/>
          <w:i/>
          <w:sz w:val="24"/>
          <w:szCs w:val="24"/>
        </w:rPr>
      </w:pPr>
      <w:bookmarkStart w:id="0" w:name="_Hlk237948156"/>
      <w:r w:rsidRPr="00993C76">
        <w:rPr>
          <w:rFonts w:ascii="Garamond" w:eastAsia="Times New Roman" w:hAnsi="Garamond"/>
          <w:i/>
          <w:sz w:val="24"/>
          <w:szCs w:val="24"/>
        </w:rPr>
        <w:t>(Ndryshuar me ligjin nr. 87/2026, datë 16.7.2026)</w:t>
      </w:r>
    </w:p>
    <w:bookmarkEnd w:id="0"/>
    <w:p w:rsidR="003D0603" w:rsidRPr="00993C76" w:rsidRDefault="003D0603" w:rsidP="003D0603">
      <w:pPr>
        <w:widowControl w:val="0"/>
        <w:spacing w:after="0" w:line="240" w:lineRule="auto"/>
        <w:ind w:firstLine="720"/>
        <w:jc w:val="right"/>
        <w:rPr>
          <w:rFonts w:ascii="Garamond" w:eastAsia="Times New Roman" w:hAnsi="Garamond"/>
          <w:i/>
          <w:sz w:val="24"/>
          <w:szCs w:val="24"/>
        </w:rPr>
      </w:pPr>
      <w:r w:rsidRPr="00993C76">
        <w:rPr>
          <w:rFonts w:ascii="Garamond" w:eastAsia="Times New Roman" w:hAnsi="Garamond"/>
          <w:i/>
          <w:sz w:val="24"/>
          <w:szCs w:val="24"/>
        </w:rPr>
        <w:t>(i përditësuar)</w:t>
      </w:r>
    </w:p>
    <w:p w:rsidR="00DF6666" w:rsidRPr="00993C76" w:rsidRDefault="00DF6666" w:rsidP="00DF6666">
      <w:pPr>
        <w:widowControl w:val="0"/>
        <w:tabs>
          <w:tab w:val="left" w:pos="1453"/>
        </w:tabs>
        <w:spacing w:after="0" w:line="240" w:lineRule="auto"/>
        <w:rPr>
          <w:rFonts w:ascii="Garamond" w:hAnsi="Garamond"/>
          <w:spacing w:val="-4"/>
          <w:sz w:val="24"/>
          <w:szCs w:val="24"/>
          <w:lang w:val="sq-AL"/>
        </w:rPr>
      </w:pP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 xml:space="preserve">Në mbështetje të neneve 78 dhe 83, pika 1, të Kushtetutës, me propozimin e Këshillit të Ministrave, </w:t>
      </w:r>
    </w:p>
    <w:p w:rsidR="00DF6666" w:rsidRPr="00993C76" w:rsidRDefault="00DF6666" w:rsidP="00DF6666">
      <w:pPr>
        <w:widowControl w:val="0"/>
        <w:tabs>
          <w:tab w:val="left" w:pos="1453"/>
        </w:tabs>
        <w:spacing w:after="0" w:line="240" w:lineRule="auto"/>
        <w:rPr>
          <w:rFonts w:ascii="Garamond" w:hAnsi="Garamond"/>
          <w:spacing w:val="-4"/>
          <w:sz w:val="24"/>
          <w:szCs w:val="24"/>
          <w:lang w:val="sq-AL"/>
        </w:rPr>
      </w:pPr>
    </w:p>
    <w:p w:rsidR="00DF6666" w:rsidRPr="00993C76" w:rsidRDefault="00DF6666" w:rsidP="00DF6666">
      <w:pPr>
        <w:pStyle w:val="NeniNr"/>
        <w:keepNext w:val="0"/>
        <w:rPr>
          <w:spacing w:val="-4"/>
          <w:szCs w:val="24"/>
          <w:lang w:val="sq-AL"/>
        </w:rPr>
      </w:pPr>
      <w:r w:rsidRPr="00993C76">
        <w:rPr>
          <w:spacing w:val="-4"/>
          <w:szCs w:val="24"/>
          <w:lang w:val="sq-AL"/>
        </w:rPr>
        <w:t>KUVENDI</w:t>
      </w:r>
    </w:p>
    <w:p w:rsidR="00DF6666" w:rsidRPr="00993C76" w:rsidRDefault="00DF6666" w:rsidP="00DF6666">
      <w:pPr>
        <w:pStyle w:val="NeniNr"/>
        <w:keepNext w:val="0"/>
        <w:rPr>
          <w:spacing w:val="-4"/>
          <w:szCs w:val="24"/>
          <w:lang w:val="sq-AL"/>
        </w:rPr>
      </w:pPr>
      <w:r w:rsidRPr="00993C76">
        <w:rPr>
          <w:spacing w:val="-4"/>
          <w:szCs w:val="24"/>
          <w:lang w:val="sq-AL"/>
        </w:rPr>
        <w:t>I REPUBLIKËS SË SHQIPËRISË</w:t>
      </w:r>
    </w:p>
    <w:p w:rsidR="00DF6666" w:rsidRPr="00993C76" w:rsidRDefault="00DF6666" w:rsidP="00DF6666">
      <w:pPr>
        <w:pStyle w:val="NeniNr"/>
        <w:keepNext w:val="0"/>
        <w:rPr>
          <w:b/>
          <w:spacing w:val="-4"/>
          <w:szCs w:val="24"/>
          <w:lang w:val="sq-AL"/>
        </w:rPr>
      </w:pPr>
    </w:p>
    <w:p w:rsidR="00DF6666" w:rsidRPr="00993C76" w:rsidRDefault="00DF6666" w:rsidP="00DF6666">
      <w:pPr>
        <w:pStyle w:val="NeniNr"/>
        <w:keepNext w:val="0"/>
        <w:rPr>
          <w:spacing w:val="-4"/>
          <w:szCs w:val="24"/>
          <w:lang w:val="sq-AL"/>
        </w:rPr>
      </w:pPr>
      <w:r w:rsidRPr="00993C76">
        <w:rPr>
          <w:spacing w:val="-4"/>
          <w:szCs w:val="24"/>
          <w:lang w:val="sq-AL"/>
        </w:rPr>
        <w:t>VENDOSI:</w:t>
      </w:r>
      <w:bookmarkStart w:id="1" w:name="_GoBack"/>
      <w:bookmarkEnd w:id="1"/>
    </w:p>
    <w:p w:rsidR="00DF6666" w:rsidRPr="00993C76" w:rsidRDefault="00DF6666" w:rsidP="00DF6666">
      <w:pPr>
        <w:pStyle w:val="NeniNr"/>
        <w:keepNext w:val="0"/>
        <w:rPr>
          <w:rFonts w:eastAsia="Calibri"/>
          <w:spacing w:val="-4"/>
          <w:szCs w:val="24"/>
          <w:lang w:val="sq-AL"/>
        </w:rPr>
      </w:pPr>
    </w:p>
    <w:p w:rsidR="00DF6666" w:rsidRPr="00993C76" w:rsidRDefault="00DF6666" w:rsidP="00DF6666">
      <w:pPr>
        <w:pStyle w:val="NeniNr"/>
        <w:keepNext w:val="0"/>
        <w:rPr>
          <w:rFonts w:eastAsia="Calibri"/>
          <w:spacing w:val="-4"/>
          <w:szCs w:val="24"/>
          <w:lang w:val="sq-AL"/>
        </w:rPr>
      </w:pPr>
      <w:r w:rsidRPr="00993C76">
        <w:rPr>
          <w:rFonts w:eastAsia="Calibri"/>
          <w:spacing w:val="-4"/>
          <w:szCs w:val="24"/>
          <w:lang w:val="sq-AL"/>
        </w:rPr>
        <w:t>KREU I</w:t>
      </w:r>
    </w:p>
    <w:p w:rsidR="00DF6666" w:rsidRPr="00993C76" w:rsidRDefault="00DF6666" w:rsidP="00DF6666">
      <w:pPr>
        <w:pStyle w:val="NeniNr"/>
        <w:keepNext w:val="0"/>
        <w:rPr>
          <w:rFonts w:eastAsia="Calibri"/>
          <w:spacing w:val="-4"/>
          <w:szCs w:val="24"/>
          <w:lang w:val="sq-AL"/>
        </w:rPr>
      </w:pPr>
    </w:p>
    <w:p w:rsidR="00DF6666" w:rsidRPr="00993C76" w:rsidRDefault="00DF6666" w:rsidP="00DF6666">
      <w:pPr>
        <w:pStyle w:val="NeniNr"/>
        <w:keepNext w:val="0"/>
        <w:rPr>
          <w:rFonts w:eastAsia="Calibri"/>
          <w:spacing w:val="-4"/>
          <w:szCs w:val="24"/>
          <w:lang w:val="sq-AL"/>
        </w:rPr>
      </w:pPr>
      <w:r w:rsidRPr="00993C76">
        <w:rPr>
          <w:rFonts w:eastAsia="Calibri"/>
          <w:spacing w:val="-4"/>
          <w:szCs w:val="24"/>
          <w:lang w:val="sq-AL"/>
        </w:rPr>
        <w:t>DISPOZITA TË PËRGJITHSHME</w:t>
      </w:r>
    </w:p>
    <w:p w:rsidR="00DF6666" w:rsidRPr="00993C76" w:rsidRDefault="00DF6666" w:rsidP="00DF6666">
      <w:pPr>
        <w:pStyle w:val="NeniNr"/>
        <w:keepNext w:val="0"/>
        <w:rPr>
          <w:rFonts w:eastAsia="Calibri"/>
          <w:spacing w:val="-4"/>
          <w:szCs w:val="24"/>
          <w:lang w:val="sq-AL"/>
        </w:rPr>
      </w:pPr>
    </w:p>
    <w:p w:rsidR="00DF6666" w:rsidRPr="00993C76" w:rsidRDefault="00DF6666" w:rsidP="00DF6666">
      <w:pPr>
        <w:pStyle w:val="NeniNr"/>
        <w:keepNext w:val="0"/>
        <w:rPr>
          <w:rFonts w:eastAsia="Calibri"/>
          <w:spacing w:val="-4"/>
          <w:szCs w:val="24"/>
          <w:lang w:val="sq-AL"/>
        </w:rPr>
      </w:pPr>
      <w:r w:rsidRPr="00993C76">
        <w:rPr>
          <w:rFonts w:eastAsia="Calibri"/>
          <w:spacing w:val="-4"/>
          <w:szCs w:val="24"/>
          <w:lang w:val="sq-AL"/>
        </w:rPr>
        <w:t>Neni 1</w:t>
      </w:r>
    </w:p>
    <w:p w:rsidR="00DF6666" w:rsidRPr="00993C76" w:rsidRDefault="00DF6666" w:rsidP="00DF6666">
      <w:pPr>
        <w:pStyle w:val="NeniNr"/>
        <w:keepNext w:val="0"/>
        <w:rPr>
          <w:rFonts w:eastAsia="Calibri"/>
          <w:b/>
          <w:spacing w:val="-4"/>
          <w:szCs w:val="24"/>
          <w:lang w:val="sq-AL"/>
        </w:rPr>
      </w:pPr>
      <w:r w:rsidRPr="00993C76">
        <w:rPr>
          <w:rFonts w:eastAsia="Calibri"/>
          <w:b/>
          <w:spacing w:val="-4"/>
          <w:szCs w:val="24"/>
          <w:lang w:val="sq-AL"/>
        </w:rPr>
        <w:t>Objekti</w:t>
      </w:r>
    </w:p>
    <w:p w:rsidR="000E2709" w:rsidRPr="00993C76" w:rsidRDefault="000E2709" w:rsidP="000E2709">
      <w:pPr>
        <w:widowControl w:val="0"/>
        <w:spacing w:after="0" w:line="240" w:lineRule="auto"/>
        <w:ind w:firstLine="720"/>
        <w:jc w:val="center"/>
        <w:rPr>
          <w:rFonts w:ascii="Garamond" w:eastAsia="Times New Roman" w:hAnsi="Garamond"/>
          <w:i/>
          <w:sz w:val="24"/>
          <w:szCs w:val="24"/>
        </w:rPr>
      </w:pPr>
      <w:r w:rsidRPr="00993C76">
        <w:rPr>
          <w:rFonts w:ascii="Garamond" w:eastAsia="Times New Roman" w:hAnsi="Garamond"/>
          <w:i/>
          <w:sz w:val="24"/>
          <w:szCs w:val="24"/>
        </w:rPr>
        <w:t>(Ndryshuar me ligjin nr. 87/2026, datë 16.7.2026)</w:t>
      </w:r>
    </w:p>
    <w:p w:rsidR="00DF6666" w:rsidRPr="00993C76" w:rsidRDefault="00DF6666" w:rsidP="00DF6666">
      <w:pPr>
        <w:widowControl w:val="0"/>
        <w:tabs>
          <w:tab w:val="left" w:pos="1453"/>
        </w:tabs>
        <w:spacing w:after="0" w:line="240" w:lineRule="auto"/>
        <w:jc w:val="center"/>
        <w:rPr>
          <w:rFonts w:ascii="Garamond" w:hAnsi="Garamond"/>
          <w:b/>
          <w:spacing w:val="-4"/>
          <w:sz w:val="24"/>
          <w:szCs w:val="24"/>
          <w:lang w:val="sq-AL"/>
        </w:rPr>
      </w:pPr>
    </w:p>
    <w:p w:rsidR="000E2709" w:rsidRPr="00993C76" w:rsidRDefault="000E2709" w:rsidP="000E2709">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Ky ligj përcakton parimet dhe rregullat e përgjithshme për hartimin dhe përbërësit e pasqyrave financiare, mbajtjen e kontabilitetit, përcaktimin e standardeve kontabël të raportimit financiar të zbatueshme, si dhe kërkesat për raportimin e qëndrueshmërisë nga njësitë ekonomike të përcaktuara në këtë ligj.</w:t>
      </w:r>
    </w:p>
    <w:p w:rsidR="000E2709" w:rsidRPr="00993C76" w:rsidRDefault="000E2709" w:rsidP="000E2709">
      <w:pPr>
        <w:spacing w:after="0" w:line="240" w:lineRule="auto"/>
        <w:rPr>
          <w:rFonts w:ascii="Garamond" w:eastAsiaTheme="minorHAnsi" w:hAnsi="Garamond"/>
          <w:color w:val="000000" w:themeColor="text1"/>
          <w:sz w:val="24"/>
          <w:szCs w:val="24"/>
          <w:lang w:val="sq-AL"/>
        </w:rPr>
      </w:pPr>
    </w:p>
    <w:p w:rsidR="00DF6666" w:rsidRPr="00993C76" w:rsidRDefault="00DF6666" w:rsidP="00DF6666">
      <w:pPr>
        <w:pStyle w:val="NeniNr"/>
        <w:keepNext w:val="0"/>
        <w:rPr>
          <w:spacing w:val="-4"/>
          <w:szCs w:val="24"/>
          <w:lang w:val="sq-AL"/>
        </w:rPr>
      </w:pPr>
      <w:r w:rsidRPr="00993C76">
        <w:rPr>
          <w:spacing w:val="-4"/>
          <w:szCs w:val="24"/>
          <w:lang w:val="sq-AL"/>
        </w:rPr>
        <w:t>Neni 2</w:t>
      </w:r>
    </w:p>
    <w:p w:rsidR="00DF6666" w:rsidRPr="00993C76" w:rsidRDefault="00DF6666" w:rsidP="00DF6666">
      <w:pPr>
        <w:pStyle w:val="NeniNr"/>
        <w:keepNext w:val="0"/>
        <w:rPr>
          <w:b/>
          <w:spacing w:val="-4"/>
          <w:szCs w:val="24"/>
          <w:lang w:val="sq-AL"/>
        </w:rPr>
      </w:pPr>
      <w:r w:rsidRPr="00993C76">
        <w:rPr>
          <w:b/>
          <w:spacing w:val="-4"/>
          <w:szCs w:val="24"/>
          <w:lang w:val="sq-AL"/>
        </w:rPr>
        <w:t>Fusha e zbatimit</w:t>
      </w:r>
    </w:p>
    <w:p w:rsidR="00DF6666" w:rsidRPr="00993C76" w:rsidRDefault="00DF6666" w:rsidP="00DF6666">
      <w:pPr>
        <w:pStyle w:val="NeniNr"/>
        <w:keepNext w:val="0"/>
        <w:rPr>
          <w:b/>
          <w:spacing w:val="-4"/>
          <w:szCs w:val="24"/>
          <w:lang w:val="sq-AL"/>
        </w:rPr>
      </w:pP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Ky ligj zbatohet nga:</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lastRenderedPageBreak/>
        <w:t>a) njësitë ekonomike që kanë qëllime fitimprurëse, pavarësisht nga forma e tyre juridike ose nga kërkesat e veçanta ligjore që mund të zbatohen ndaj tyre;</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b) njësitë ekonomike jofitimprurëse, me përjashtim të rasteve kur pasqyrat financiare dhe kontabiliteti i tyre janë subjekt i ligjeve ose i rregullimeve të veçanta.</w:t>
      </w:r>
    </w:p>
    <w:p w:rsidR="00DF6666" w:rsidRPr="00993C76" w:rsidRDefault="00DF6666" w:rsidP="00DF6666">
      <w:pPr>
        <w:pStyle w:val="NeniNr"/>
        <w:keepNext w:val="0"/>
        <w:jc w:val="both"/>
        <w:rPr>
          <w:spacing w:val="-4"/>
          <w:szCs w:val="24"/>
          <w:lang w:val="sq-AL"/>
        </w:rPr>
      </w:pPr>
    </w:p>
    <w:p w:rsidR="00DF6666" w:rsidRPr="00993C76" w:rsidRDefault="00DF6666" w:rsidP="00DF6666">
      <w:pPr>
        <w:pStyle w:val="NeniNr"/>
        <w:keepNext w:val="0"/>
        <w:rPr>
          <w:spacing w:val="-4"/>
          <w:szCs w:val="24"/>
          <w:lang w:val="sq-AL"/>
        </w:rPr>
      </w:pPr>
      <w:r w:rsidRPr="00993C76">
        <w:rPr>
          <w:spacing w:val="-4"/>
          <w:szCs w:val="24"/>
          <w:lang w:val="sq-AL"/>
        </w:rPr>
        <w:t>Neni 3</w:t>
      </w:r>
    </w:p>
    <w:p w:rsidR="00DF6666" w:rsidRPr="00993C76" w:rsidRDefault="00DF6666" w:rsidP="00DF6666">
      <w:pPr>
        <w:pStyle w:val="NeniNr"/>
        <w:keepNext w:val="0"/>
        <w:rPr>
          <w:b/>
          <w:spacing w:val="-4"/>
          <w:szCs w:val="24"/>
          <w:lang w:val="sq-AL"/>
        </w:rPr>
      </w:pPr>
      <w:r w:rsidRPr="00993C76">
        <w:rPr>
          <w:b/>
          <w:spacing w:val="-4"/>
          <w:szCs w:val="24"/>
          <w:lang w:val="sq-AL"/>
        </w:rPr>
        <w:t>Përkufizime</w:t>
      </w:r>
    </w:p>
    <w:p w:rsidR="000E2709" w:rsidRPr="00993C76" w:rsidRDefault="000E2709" w:rsidP="000E2709">
      <w:pPr>
        <w:widowControl w:val="0"/>
        <w:spacing w:after="0" w:line="240" w:lineRule="auto"/>
        <w:ind w:firstLine="720"/>
        <w:jc w:val="center"/>
        <w:rPr>
          <w:rFonts w:ascii="Garamond" w:eastAsia="Times New Roman" w:hAnsi="Garamond"/>
          <w:i/>
          <w:sz w:val="24"/>
          <w:szCs w:val="24"/>
        </w:rPr>
      </w:pPr>
      <w:bookmarkStart w:id="2" w:name="_Hlk237871642"/>
      <w:r w:rsidRPr="00993C76">
        <w:rPr>
          <w:rFonts w:ascii="Garamond" w:eastAsia="Times New Roman" w:hAnsi="Garamond"/>
          <w:i/>
          <w:sz w:val="24"/>
          <w:szCs w:val="24"/>
        </w:rPr>
        <w:t>(Ndryshuar togfjal</w:t>
      </w:r>
      <w:r w:rsidR="00993C76">
        <w:rPr>
          <w:rFonts w:ascii="Garamond" w:eastAsia="Times New Roman" w:hAnsi="Garamond"/>
          <w:i/>
          <w:sz w:val="24"/>
          <w:szCs w:val="24"/>
        </w:rPr>
        <w:t>ë</w:t>
      </w:r>
      <w:r w:rsidRPr="00993C76">
        <w:rPr>
          <w:rFonts w:ascii="Garamond" w:eastAsia="Times New Roman" w:hAnsi="Garamond"/>
          <w:i/>
          <w:sz w:val="24"/>
          <w:szCs w:val="24"/>
        </w:rPr>
        <w:t>sh n</w:t>
      </w:r>
      <w:r w:rsidR="00993C76">
        <w:rPr>
          <w:rFonts w:ascii="Garamond" w:eastAsia="Times New Roman" w:hAnsi="Garamond"/>
          <w:i/>
          <w:sz w:val="24"/>
          <w:szCs w:val="24"/>
        </w:rPr>
        <w:t>ë</w:t>
      </w:r>
      <w:r w:rsidRPr="00993C76">
        <w:rPr>
          <w:rFonts w:ascii="Garamond" w:eastAsia="Times New Roman" w:hAnsi="Garamond"/>
          <w:i/>
          <w:sz w:val="24"/>
          <w:szCs w:val="24"/>
        </w:rPr>
        <w:t xml:space="preserve"> pik</w:t>
      </w:r>
      <w:r w:rsidR="00993C76">
        <w:rPr>
          <w:rFonts w:ascii="Garamond" w:eastAsia="Times New Roman" w:hAnsi="Garamond"/>
          <w:i/>
          <w:sz w:val="24"/>
          <w:szCs w:val="24"/>
        </w:rPr>
        <w:t>ë</w:t>
      </w:r>
      <w:r w:rsidRPr="00993C76">
        <w:rPr>
          <w:rFonts w:ascii="Garamond" w:eastAsia="Times New Roman" w:hAnsi="Garamond"/>
          <w:i/>
          <w:sz w:val="24"/>
          <w:szCs w:val="24"/>
        </w:rPr>
        <w:t>n 4</w:t>
      </w:r>
      <w:r w:rsidR="00D92629" w:rsidRPr="00993C76">
        <w:rPr>
          <w:rFonts w:ascii="Garamond" w:eastAsia="Times New Roman" w:hAnsi="Garamond"/>
          <w:i/>
          <w:sz w:val="24"/>
          <w:szCs w:val="24"/>
        </w:rPr>
        <w:t xml:space="preserve"> dhe 17, shtuar pikat 19 deri 29 </w:t>
      </w:r>
      <w:r w:rsidRPr="00993C76">
        <w:rPr>
          <w:rFonts w:ascii="Garamond" w:eastAsia="Times New Roman" w:hAnsi="Garamond"/>
          <w:i/>
          <w:sz w:val="24"/>
          <w:szCs w:val="24"/>
        </w:rPr>
        <w:t>me ligjin nr. 87/2026, datë 16.7.2026)</w:t>
      </w:r>
    </w:p>
    <w:p w:rsidR="00DF6666" w:rsidRPr="00993C76" w:rsidRDefault="00DF6666" w:rsidP="00DF6666">
      <w:pPr>
        <w:widowControl w:val="0"/>
        <w:tabs>
          <w:tab w:val="left" w:pos="1453"/>
        </w:tabs>
        <w:spacing w:after="0" w:line="240" w:lineRule="auto"/>
        <w:jc w:val="center"/>
        <w:rPr>
          <w:rFonts w:ascii="Garamond" w:hAnsi="Garamond"/>
          <w:b/>
          <w:spacing w:val="-4"/>
          <w:sz w:val="24"/>
          <w:szCs w:val="24"/>
          <w:lang w:val="sq-AL"/>
        </w:rPr>
      </w:pPr>
    </w:p>
    <w:bookmarkEnd w:id="2"/>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Në këtë ligj termat e mëposhtëm kanë këto kuptime:</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1. “Mbajtje e kontabilitetit” është regjistrimi kronologjik në ditar dhe në llogari i të gjitha veprimeve dhe fakteve ekonomike që i përkasin një njësie ekonomike.</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2. “Sistem kontabël” është sistemi që përdoret për përcaktimin, marrjen në llogari, matjen, klasifikimin dhe paraqitjen e të dhënave financiare të veprimtarisë së një njësie ekonomike.</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 xml:space="preserve">3. “Standarde kontabël” janë parimet ose rregullat e përgjithshme, të shpallura nga organi përgjegjës për normalizimin kontabël, që përcakton ky ligj dhe aktet e dala në zbatim të tij, të cilat shërbejnë si bazë për zgjedhjen e trajtimeve ose të metodave kontabël, që zbatohen për hartimin e pasqyrave financiare. </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 xml:space="preserve">4. </w:t>
      </w:r>
      <w:r w:rsidR="000E2709" w:rsidRPr="00993C76">
        <w:rPr>
          <w:rFonts w:ascii="Garamond" w:hAnsi="Garamond"/>
          <w:spacing w:val="-4"/>
          <w:sz w:val="24"/>
          <w:szCs w:val="24"/>
          <w:lang w:val="sq-AL"/>
        </w:rPr>
        <w:t>“</w:t>
      </w:r>
      <w:r w:rsidR="000E2709" w:rsidRPr="00993C76">
        <w:rPr>
          <w:rFonts w:ascii="Garamond" w:hAnsi="Garamond"/>
          <w:color w:val="000000" w:themeColor="text1"/>
          <w:sz w:val="24"/>
          <w:szCs w:val="24"/>
        </w:rPr>
        <w:t xml:space="preserve">Standardet kontabël ndërkombëtare të raportimit financiar” </w:t>
      </w:r>
      <w:r w:rsidRPr="00993C76">
        <w:rPr>
          <w:rFonts w:ascii="Garamond" w:hAnsi="Garamond"/>
          <w:spacing w:val="-4"/>
          <w:sz w:val="24"/>
          <w:szCs w:val="24"/>
          <w:lang w:val="sq-AL"/>
        </w:rPr>
        <w:t>janë standardet dhe interpretimet e hartuara dhe të publikuara nga Bordi i Standardeve Ndërkombëtare të Kontabilitetit, të përkthyera në shqip, nën përgjegjësinë e Këshillit Kombëtar të Kontabilitetit, pa ndryshime nga teksti origjinal në gjuhën angleze, të shpallura të detyrueshme për zbatim me urdhër të ministrit përgjegjës për financat.</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5. “Standarde Kombëtare të Kontabilitetit” (SKK) janë standardet e hartuara dhe të publikuara nga Këshilli Kombëtar i Kontabilitetit, të cilat shpallen të detyrueshme për zbatim me urdhër të ministrit përgjegjës për financat.</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6. “Njësi ekonomike” janë personat juridikë dhe fizikë, publikë dhe privatë, me dhe pa qëllime fitimprurëse, që kryejnë veprimtari dhe kanë seli të përhershme në Republikën e Shqipërisë. Përjashtohen nga ky përkufizim njësitë e qeverisjes së përgjithshme, sipas ligjit nr. 9936, datë 26.6.2008, “Për menaxhimin e sistemit buxhetor në Republikën e Shqipërisë“, të ndryshuar.</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7. “Njësi ekonomike fitimprurëse” janë njësitë ekonomike, të cilat prodhojnë dhe realizojnë produkte, mallra e shërbime për shitje, për të realizuar fitime që parashikohen t’u shpërndahen personave investues në kapitalin themeltar të tyre.</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8. “Njësi ekonomike jofitimprurëse” (ose Organizata Jofitimprurëse “OJF”) janë të gjitha njësitë e tjera ekonomike, të cilat nuk plotësojnë përkufizimin, sipas pikës 7 të këtij neni, apo njihen si të tilla nga legjislacioni në fuqi.</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9. “Njësi ekonomike me interes publik” është i njëjti kuptim sipas ligjit nr. 10 091, datë 5.3.2009, “Për auditimin ligjor, organizimin e profesionit të audituesit ligjor dhe të kontabilistit të miratuar”, të ndryshuar.</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10. “Njësi ekonomike financiare tip “</w:t>
      </w:r>
      <w:r w:rsidRPr="00993C76">
        <w:rPr>
          <w:rFonts w:ascii="Garamond" w:hAnsi="Garamond"/>
          <w:i/>
          <w:spacing w:val="-4"/>
          <w:sz w:val="24"/>
          <w:szCs w:val="24"/>
          <w:lang w:val="sq-AL"/>
        </w:rPr>
        <w:t>holding</w:t>
      </w:r>
      <w:r w:rsidRPr="00993C76">
        <w:rPr>
          <w:rFonts w:ascii="Garamond" w:hAnsi="Garamond"/>
          <w:spacing w:val="-4"/>
          <w:sz w:val="24"/>
          <w:szCs w:val="24"/>
          <w:lang w:val="sq-AL"/>
        </w:rPr>
        <w:t>”” janë njësitë ekonomike që kanë për objekt të vetëm marrjen e pjesëve të kapitalit ose aksioneve të njësive të tjera dhe administrimin e këtyre pjesëve dhe aksioneve, për t’i shndërruar në fitim, pa u përfshirë vetë drejtpërdrejt ose tërthorazi në administrimin e këtyre njësive, por pa cenuar të drejtat e tyre si aksionarë.</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11. “Grup njësish ekonomike” është grupi i përbërë nga një njësi ekonomike mëmë dhe të gjitha njësitë e kontrolluara prej saj.</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12. “Interes në pjesëmarrje” janë të drejtat në kapitalin e njësive ekonomike të tjera, pavarësisht nëse paraqiten apo jo me certifikata, të cilat, duke krijuar një lidhje të fortë me këto njësi ekonomike të tjera, kanë për synim të ndihmojnë në veprimtaritë e njësisë ekonomike që i mban këto të drejta. Zotërimi i një pjese të kapitalit të një njësie ekonomike tjetër prezumohet se përbën interes në pjesëmarrje kur e kalon pragun prej 20 për qind.</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13. “Pasqyra financiare të konsoliduara” janë pasqyrat që paraqesin informacionin financiar rreth grupit si një njësi e vetme ekonomike.</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14. “Dokument kontabël” është dokumenti bazë, dokumenti plotësues dhe regjistrat (librat) kontabël, që përgatiten në letër të shkruar ose në bartës informatikë:</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a) dokumentet bazë përmbajnë regjistrimet fillestare të çdo ngjarjeje dhe veprimi ekonomik;</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b) dokumentet plotësuese janë bartës të informacionit të marrë nga dokumentet bazë;</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c) regjistrat (librat) kontabël janë bartës të informacionit të regjistruar në mënyrë kronologjike dhe sistematike të efekteve të veprimeve ekonomike të kryera, të marra nga dokumentet bazë ose dokumentet plotësuese.</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 xml:space="preserve">15. “Bartës informatik” është çdo dokument kontabël i autorizuar nga organet përkatëse, i shkruar në mjete </w:t>
      </w:r>
      <w:r w:rsidRPr="00993C76">
        <w:rPr>
          <w:rFonts w:ascii="Garamond" w:hAnsi="Garamond"/>
          <w:spacing w:val="-4"/>
          <w:sz w:val="24"/>
          <w:szCs w:val="24"/>
          <w:lang w:val="sq-AL"/>
        </w:rPr>
        <w:lastRenderedPageBreak/>
        <w:t>kompjuterike, sipas programeve informatike të pamanipulueshme dhe të printueshme në çdo kohë.</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16. “Monedhë funksionale” është monedha e mjedisit ekonomik kryesor, në të cilin vepron njësia ekonomike.</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 xml:space="preserve">17. </w:t>
      </w:r>
      <w:r w:rsidR="000E2709" w:rsidRPr="00993C76">
        <w:rPr>
          <w:rFonts w:ascii="Garamond" w:hAnsi="Garamond"/>
          <w:color w:val="000000" w:themeColor="text1"/>
          <w:sz w:val="24"/>
          <w:szCs w:val="24"/>
        </w:rPr>
        <w:t>“Monedhë raportuese</w:t>
      </w:r>
      <w:r w:rsidR="000E2709" w:rsidRPr="00993C76">
        <w:rPr>
          <w:rFonts w:ascii="Garamond" w:hAnsi="Garamond"/>
          <w:spacing w:val="-4"/>
          <w:sz w:val="24"/>
          <w:szCs w:val="24"/>
          <w:lang w:val="sq-AL"/>
        </w:rPr>
        <w:t xml:space="preserve">” </w:t>
      </w:r>
      <w:r w:rsidRPr="00993C76">
        <w:rPr>
          <w:rFonts w:ascii="Garamond" w:hAnsi="Garamond"/>
          <w:spacing w:val="-4"/>
          <w:sz w:val="24"/>
          <w:szCs w:val="24"/>
          <w:lang w:val="sq-AL"/>
        </w:rPr>
        <w:t>është monedha me të cilën paraqiten pasqyrat financiare të njësisë ekonomike.</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18. “Person përgjegjës për hartimin e pasqyrave financiare” është personi i punësuar, personi fizik i licencuar si kontabilist i miratuar apo auditues ligjor, si dhe personi juridik i organizuar si shoqëri auditimi apo shoqëri kontabiliteti, që ofron shërbimin e kontabilitetit, sipas kontratës së punës apo kontratës së shërbimit që ka me njësinë ekonomike dhe mban përgjegjësinë për hartimin e pasqyrave financiare.</w:t>
      </w:r>
    </w:p>
    <w:p w:rsidR="000E2709" w:rsidRPr="00993C76" w:rsidRDefault="000E2709" w:rsidP="000E2709">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19. “Palë e lidhur” ka të njëjtin kuptim si në standardet kontabël të raportimit financiar, që zbaton njësia ekonomike.</w:t>
      </w:r>
    </w:p>
    <w:p w:rsidR="000E2709" w:rsidRPr="00993C76" w:rsidRDefault="000E2709" w:rsidP="000E2709">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20. “Njësi ekonomike të lidhura” janë dy ose më shumë njësi brenda një grupi.</w:t>
      </w:r>
    </w:p>
    <w:p w:rsidR="000E2709" w:rsidRPr="00993C76" w:rsidRDefault="000E2709" w:rsidP="000E2709">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21. “Njësi ekonomike investimi” janë:</w:t>
      </w:r>
    </w:p>
    <w:p w:rsidR="000E2709" w:rsidRPr="00993C76" w:rsidRDefault="000E2709" w:rsidP="000E2709">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a) njësitë ekonomike, objekti i vetëm i të cilave është investimi i fondeve të tyre në tituj të ndryshëm, pasuri të paluajtshme dhe aktive të tjera, me qëllim të vetëm shpërndarjen e rreziqeve të investimit dhe dhënien e përfitimeve aksionarëve nga rezultatet e menaxhimit të këtyre aktiveve;</w:t>
      </w:r>
    </w:p>
    <w:p w:rsidR="000E2709" w:rsidRPr="00993C76" w:rsidRDefault="000E2709" w:rsidP="000E2709">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b) njësitë ekonomike pjesëmarrëse në njësitë ekonomike të investimit me kapital fiks, kur objekti i vetëm i tyre është blerja e aksioneve të shlyera plotësisht të emetuara nga njësitë ekonomike të investimit, pa cenuar kufizimet ligjore për blerjen e aksioneve të veta nga shoqëritë aksionare, sipas parashikimeve të legjislacionit në fuqi.</w:t>
      </w:r>
    </w:p>
    <w:p w:rsidR="000E2709" w:rsidRPr="00993C76" w:rsidRDefault="000E2709" w:rsidP="000E2709">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22. “Standardet e raportimit të qëndrueshmërisë (SRQ)” janë standardet dhe udhëzimet e raportimit të qëndrueshmërisë, të miratuara nga Komisioni Evropian, të përkthyera në shqip, nën përgjegjësinë e Këshillit Kombëtar të Kontabilitetit, pa ndryshime nga teksti origjinal në gjuhën angleze, të shpallura të detyrueshme për zbatim me urdhër të ministrit përgjegjës për financat.</w:t>
      </w:r>
    </w:p>
    <w:p w:rsidR="000E2709" w:rsidRPr="00993C76" w:rsidRDefault="000E2709" w:rsidP="000E2709">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23. “Standardet vullnetare të raportimit të qëndrueshmërisë (SVRQ)” janë standardet dhe udhëzimet e raportimit të qëndrueshmërisë, të miratuara nga Komisioni Evropian, të destinuara për përdorim vullnetar nga njësitë ekonomike, që nuk i nënshtrohen detyrimit për raportim të qëndrueshmërisë, sipas këtij ligji. Standardet përkthehen zyrtarisht në gjuhën shqipe, nën përgjegjësinë e Këshillit Kombëtar të Kontabilitetit, dhe shpallen për zbatim me urdhër të ministrit përgjegjës për financat.</w:t>
      </w:r>
    </w:p>
    <w:p w:rsidR="000E2709" w:rsidRPr="00993C76" w:rsidRDefault="000E2709" w:rsidP="000E2709">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24. “Çështje të qëndrueshmërisë” janë faktorët mjedisorë, socialë, të të drejtave të njeriut, si dhe faktorët e qeverisjes, duke përfshirë çështjet kundër korrupsionit ose ryshfetit.</w:t>
      </w:r>
    </w:p>
    <w:p w:rsidR="000E2709" w:rsidRPr="00993C76" w:rsidRDefault="000E2709" w:rsidP="000E2709">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 xml:space="preserve">25. “Raportim i qëndrueshmërisë” përmban informacion për çështjet e qëndrueshmërisë, në përputhje me nenet 18/1, 20/1, 20/2 dhe 20/3 të këtij ligji. </w:t>
      </w:r>
    </w:p>
    <w:p w:rsidR="000E2709" w:rsidRPr="00993C76" w:rsidRDefault="000E2709" w:rsidP="000E2709">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26. Për qëllimet e neneve 18/2 dhe 20/2 termat e mëposhtëm kanë këto kuptime:</w:t>
      </w:r>
    </w:p>
    <w:p w:rsidR="000E2709" w:rsidRPr="00993C76" w:rsidRDefault="000E2709" w:rsidP="000E2709">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a) “Njësi ekonomike raportuese” nënkupton një njësi ekonomike/njësi ekonomike mëmë, që ka detyrimin të raportojë informacion të qëndrueshmërisë në përputhje me pikën 1 të nenit 18/1 dhe të nenit 20/1 të këtij ligji;</w:t>
      </w:r>
    </w:p>
    <w:p w:rsidR="000E2709" w:rsidRPr="00993C76" w:rsidRDefault="000E2709" w:rsidP="000E2709">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b) “Njësi ekonomike e mbrojtur” nënkupton një njësi ekonomike, e cila:</w:t>
      </w:r>
    </w:p>
    <w:p w:rsidR="000E2709" w:rsidRPr="00993C76" w:rsidRDefault="000E2709" w:rsidP="000E2709">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i. nuk tejkalon në datën e raportimit një numër mesatar prej 1000 punonjësish gjatë vitit financiar paraardhës;</w:t>
      </w:r>
    </w:p>
    <w:p w:rsidR="000E2709" w:rsidRPr="00993C76" w:rsidRDefault="000E2709" w:rsidP="000E2709">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ii. është pjesë e zinxhirit të vlerës së një njësie ekonomike raportuese.</w:t>
      </w:r>
    </w:p>
    <w:p w:rsidR="000E2709" w:rsidRPr="00993C76" w:rsidRDefault="000E2709" w:rsidP="000E2709">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c) “Standarde vullnetare” nënkupton standardet e raportimit të qëndrueshmërisë, të krijuara për përdorim vullnetar, sipas përkufizimit të përcaktuar në pikën 23 të nenit 3 të këtij ligji.</w:t>
      </w:r>
    </w:p>
    <w:p w:rsidR="000E2709" w:rsidRPr="00993C76" w:rsidRDefault="000E2709" w:rsidP="000E2709">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27. Për qëllimet e nenit 21 termat e mëposhtëm kanë këto kuptime:</w:t>
      </w:r>
    </w:p>
    <w:p w:rsidR="000E2709" w:rsidRPr="00993C76" w:rsidRDefault="000E2709" w:rsidP="000E2709">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a) “Institucion shtetëror” nënkupton çdo autoritet kombëtar, rajonal ose vendor, përfshirë agjencitë dhe njësitë e kontrolluara prej tyre, pavarësisht nëse i përkasin Republikës së Shqipërisë apo një shteti tjetër;</w:t>
      </w:r>
    </w:p>
    <w:p w:rsidR="000E2709" w:rsidRPr="00993C76" w:rsidRDefault="000E2709" w:rsidP="000E2709">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b) “Projekt” nënkupton aktivitetet operacionale që rregullohen nga një kontratë, licencë, marrëveshje qiraje, koncesion ose marrëveshje tjetër ligjore e ngjashme dhe përbëjnë bazën e detyrimeve të pagesave kundrejt një qeverie. Kur disa marrëveshje të tilla janë të ndërlidhura në mënyrë thelbësore, ato konsiderohen si një projekt i vetëm.</w:t>
      </w:r>
    </w:p>
    <w:p w:rsidR="000E2709" w:rsidRPr="00993C76" w:rsidRDefault="000E2709" w:rsidP="000E2709">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28. “Vend tjetër apo juridiksion tjetër” nënkupton çdo vend apo juridiksion:</w:t>
      </w:r>
    </w:p>
    <w:p w:rsidR="000E2709" w:rsidRPr="00993C76" w:rsidRDefault="000E2709" w:rsidP="000E2709">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a) jashtë Republikës së Shqipërisë deri në datën e anëtarësimit të saj në Bashkimin Evropian;</w:t>
      </w:r>
    </w:p>
    <w:p w:rsidR="000E2709" w:rsidRPr="00993C76" w:rsidRDefault="000E2709" w:rsidP="000E2709">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b) jashtë Bashkimit Evropian pas datës së anëtarësimit të Republikës së Shqipërisë në Bashkimin Evropian.</w:t>
      </w:r>
    </w:p>
    <w:p w:rsidR="000E2709" w:rsidRPr="00993C76" w:rsidRDefault="000E2709" w:rsidP="000E2709">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29. “Data e raportimit” ka të njëjtin kuptim si në standardet kontabël të raportimit financiar që zbaton njësia ekonomike.</w:t>
      </w:r>
    </w:p>
    <w:p w:rsidR="000E2709" w:rsidRPr="00993C76" w:rsidRDefault="000E2709" w:rsidP="000E2709">
      <w:pPr>
        <w:spacing w:after="0" w:line="240" w:lineRule="auto"/>
        <w:rPr>
          <w:rFonts w:ascii="Garamond" w:eastAsiaTheme="minorHAnsi" w:hAnsi="Garamond"/>
          <w:color w:val="000000" w:themeColor="text1"/>
          <w:sz w:val="24"/>
          <w:szCs w:val="24"/>
          <w:lang w:val="sq-AL"/>
        </w:rPr>
      </w:pPr>
    </w:p>
    <w:p w:rsidR="00DF6666" w:rsidRPr="00993C76" w:rsidRDefault="00DF6666" w:rsidP="00DF6666">
      <w:pPr>
        <w:pStyle w:val="NeniNr"/>
        <w:keepNext w:val="0"/>
        <w:rPr>
          <w:spacing w:val="-4"/>
          <w:szCs w:val="24"/>
          <w:lang w:val="sq-AL"/>
        </w:rPr>
      </w:pPr>
      <w:r w:rsidRPr="00993C76">
        <w:rPr>
          <w:spacing w:val="-4"/>
          <w:szCs w:val="24"/>
          <w:lang w:val="sq-AL"/>
        </w:rPr>
        <w:lastRenderedPageBreak/>
        <w:t>Neni 4</w:t>
      </w:r>
    </w:p>
    <w:p w:rsidR="00DF6666" w:rsidRPr="00993C76" w:rsidRDefault="00DF6666" w:rsidP="00DF6666">
      <w:pPr>
        <w:pStyle w:val="NeniNr"/>
        <w:keepNext w:val="0"/>
        <w:rPr>
          <w:b/>
          <w:spacing w:val="-4"/>
          <w:szCs w:val="24"/>
          <w:lang w:val="sq-AL"/>
        </w:rPr>
      </w:pPr>
      <w:r w:rsidRPr="00993C76">
        <w:rPr>
          <w:b/>
          <w:spacing w:val="-4"/>
          <w:szCs w:val="24"/>
          <w:lang w:val="sq-AL"/>
        </w:rPr>
        <w:t>Kategoritë e njësive ekonomike dhe grupeve</w:t>
      </w:r>
    </w:p>
    <w:p w:rsidR="00D92629" w:rsidRPr="00993C76" w:rsidRDefault="00D92629" w:rsidP="00D92629">
      <w:pPr>
        <w:widowControl w:val="0"/>
        <w:spacing w:after="0" w:line="240" w:lineRule="auto"/>
        <w:ind w:firstLine="720"/>
        <w:jc w:val="center"/>
        <w:rPr>
          <w:rFonts w:ascii="Garamond" w:eastAsia="Times New Roman" w:hAnsi="Garamond"/>
          <w:i/>
          <w:sz w:val="24"/>
          <w:szCs w:val="24"/>
        </w:rPr>
      </w:pPr>
      <w:bookmarkStart w:id="3" w:name="_Hlk237872197"/>
      <w:r w:rsidRPr="00993C76">
        <w:rPr>
          <w:rFonts w:ascii="Garamond" w:eastAsia="Times New Roman" w:hAnsi="Garamond"/>
          <w:i/>
          <w:sz w:val="24"/>
          <w:szCs w:val="24"/>
        </w:rPr>
        <w:t>(Ndryshuar togfjal</w:t>
      </w:r>
      <w:r w:rsidR="00993C76">
        <w:rPr>
          <w:rFonts w:ascii="Garamond" w:eastAsia="Times New Roman" w:hAnsi="Garamond"/>
          <w:i/>
          <w:sz w:val="24"/>
          <w:szCs w:val="24"/>
        </w:rPr>
        <w:t>ë</w:t>
      </w:r>
      <w:r w:rsidRPr="00993C76">
        <w:rPr>
          <w:rFonts w:ascii="Garamond" w:eastAsia="Times New Roman" w:hAnsi="Garamond"/>
          <w:i/>
          <w:sz w:val="24"/>
          <w:szCs w:val="24"/>
        </w:rPr>
        <w:t>sh n</w:t>
      </w:r>
      <w:r w:rsidR="00993C76">
        <w:rPr>
          <w:rFonts w:ascii="Garamond" w:eastAsia="Times New Roman" w:hAnsi="Garamond"/>
          <w:i/>
          <w:sz w:val="24"/>
          <w:szCs w:val="24"/>
        </w:rPr>
        <w:t>ë</w:t>
      </w:r>
      <w:r w:rsidRPr="00993C76">
        <w:rPr>
          <w:rFonts w:ascii="Garamond" w:eastAsia="Times New Roman" w:hAnsi="Garamond"/>
          <w:i/>
          <w:sz w:val="24"/>
          <w:szCs w:val="24"/>
        </w:rPr>
        <w:t xml:space="preserve"> pikat 1, 2, 3, 5, pika 6 dhe hequr togfjal</w:t>
      </w:r>
      <w:r w:rsidR="00993C76">
        <w:rPr>
          <w:rFonts w:ascii="Garamond" w:eastAsia="Times New Roman" w:hAnsi="Garamond"/>
          <w:i/>
          <w:sz w:val="24"/>
          <w:szCs w:val="24"/>
        </w:rPr>
        <w:t>ë</w:t>
      </w:r>
      <w:r w:rsidRPr="00993C76">
        <w:rPr>
          <w:rFonts w:ascii="Garamond" w:eastAsia="Times New Roman" w:hAnsi="Garamond"/>
          <w:i/>
          <w:sz w:val="24"/>
          <w:szCs w:val="24"/>
        </w:rPr>
        <w:t>sh n</w:t>
      </w:r>
      <w:r w:rsidR="00993C76">
        <w:rPr>
          <w:rFonts w:ascii="Garamond" w:eastAsia="Times New Roman" w:hAnsi="Garamond"/>
          <w:i/>
          <w:sz w:val="24"/>
          <w:szCs w:val="24"/>
        </w:rPr>
        <w:t>ë</w:t>
      </w:r>
      <w:r w:rsidRPr="00993C76">
        <w:rPr>
          <w:rFonts w:ascii="Garamond" w:eastAsia="Times New Roman" w:hAnsi="Garamond"/>
          <w:i/>
          <w:sz w:val="24"/>
          <w:szCs w:val="24"/>
        </w:rPr>
        <w:t xml:space="preserve"> pik</w:t>
      </w:r>
      <w:r w:rsidR="00993C76">
        <w:rPr>
          <w:rFonts w:ascii="Garamond" w:eastAsia="Times New Roman" w:hAnsi="Garamond"/>
          <w:i/>
          <w:sz w:val="24"/>
          <w:szCs w:val="24"/>
        </w:rPr>
        <w:t>ë</w:t>
      </w:r>
      <w:r w:rsidRPr="00993C76">
        <w:rPr>
          <w:rFonts w:ascii="Garamond" w:eastAsia="Times New Roman" w:hAnsi="Garamond"/>
          <w:i/>
          <w:sz w:val="24"/>
          <w:szCs w:val="24"/>
        </w:rPr>
        <w:t>n 4 me ligjin nr. 87/2026, datë 16.7.2026)</w:t>
      </w:r>
    </w:p>
    <w:bookmarkEnd w:id="3"/>
    <w:p w:rsidR="00DF6666" w:rsidRPr="00993C76" w:rsidRDefault="00DF6666" w:rsidP="00DF6666">
      <w:pPr>
        <w:widowControl w:val="0"/>
        <w:tabs>
          <w:tab w:val="left" w:pos="1453"/>
        </w:tabs>
        <w:spacing w:after="0" w:line="240" w:lineRule="auto"/>
        <w:jc w:val="center"/>
        <w:rPr>
          <w:rFonts w:ascii="Garamond" w:hAnsi="Garamond"/>
          <w:b/>
          <w:spacing w:val="-4"/>
          <w:sz w:val="24"/>
          <w:szCs w:val="24"/>
          <w:lang w:val="sq-AL"/>
        </w:rPr>
      </w:pPr>
    </w:p>
    <w:p w:rsidR="00DF6666" w:rsidRPr="00993C76" w:rsidRDefault="00DF6666" w:rsidP="00DF6666">
      <w:pPr>
        <w:widowControl w:val="0"/>
        <w:spacing w:after="0" w:line="240" w:lineRule="auto"/>
        <w:contextualSpacing/>
        <w:rPr>
          <w:rFonts w:ascii="Garamond" w:hAnsi="Garamond"/>
          <w:spacing w:val="-4"/>
          <w:sz w:val="24"/>
          <w:szCs w:val="24"/>
          <w:lang w:val="sq-AL"/>
        </w:rPr>
      </w:pPr>
      <w:r w:rsidRPr="00993C76">
        <w:rPr>
          <w:rFonts w:ascii="Garamond" w:hAnsi="Garamond"/>
          <w:spacing w:val="-4"/>
          <w:sz w:val="24"/>
          <w:szCs w:val="24"/>
          <w:lang w:val="sq-AL"/>
        </w:rPr>
        <w:t>1. Në zbatim të këtij ligji, në varësi të kritereve që përmbushin, njësitë ekonomike klasifikohen në:</w:t>
      </w:r>
    </w:p>
    <w:p w:rsidR="00DF6666" w:rsidRPr="00993C76" w:rsidRDefault="00DF6666" w:rsidP="00DF6666">
      <w:pPr>
        <w:widowControl w:val="0"/>
        <w:spacing w:after="0" w:line="240" w:lineRule="auto"/>
        <w:contextualSpacing/>
        <w:rPr>
          <w:rFonts w:ascii="Garamond" w:hAnsi="Garamond"/>
          <w:spacing w:val="-4"/>
          <w:sz w:val="24"/>
          <w:szCs w:val="24"/>
          <w:lang w:val="sq-AL"/>
        </w:rPr>
      </w:pPr>
      <w:r w:rsidRPr="00993C76">
        <w:rPr>
          <w:rFonts w:ascii="Garamond" w:hAnsi="Garamond"/>
          <w:spacing w:val="-4"/>
          <w:sz w:val="24"/>
          <w:szCs w:val="24"/>
          <w:lang w:val="sq-AL"/>
        </w:rPr>
        <w:t>1.1. Mikronjësi ekonomike - njësitë ekonomike, që në datën e raportimit nuk tejkalojnë kufijtë e të paktën dy prej tri kritereve të mëposhtme:</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a) aktivi, 15 milionë lekë;</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 xml:space="preserve">b) </w:t>
      </w:r>
      <w:r w:rsidR="00D92629" w:rsidRPr="00993C76">
        <w:rPr>
          <w:rFonts w:ascii="Garamond" w:hAnsi="Garamond"/>
          <w:color w:val="000000" w:themeColor="text1"/>
          <w:sz w:val="24"/>
          <w:szCs w:val="24"/>
        </w:rPr>
        <w:t>të ardhura të shfrytëzimit</w:t>
      </w:r>
      <w:r w:rsidRPr="00993C76">
        <w:rPr>
          <w:rFonts w:ascii="Garamond" w:hAnsi="Garamond"/>
          <w:spacing w:val="-4"/>
          <w:sz w:val="24"/>
          <w:szCs w:val="24"/>
          <w:lang w:val="sq-AL"/>
        </w:rPr>
        <w:t>, 30 milionë lekë;</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c) numri mesatar i punonjësve gjatë periudhës raportuese, 10.</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1.2. Njësi ekonomike të vogla - njësitë ekonomike, jo mikro, që në datën e raportimit nuk tejkalojnë kufijtë e të paktën dy prej tri kritereve të mëposhtme:</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a) aktivi, 150 milionë lekë;</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 xml:space="preserve">b) </w:t>
      </w:r>
      <w:r w:rsidR="00D92629" w:rsidRPr="00993C76">
        <w:rPr>
          <w:rFonts w:ascii="Garamond" w:hAnsi="Garamond"/>
          <w:color w:val="000000" w:themeColor="text1"/>
          <w:sz w:val="24"/>
          <w:szCs w:val="24"/>
        </w:rPr>
        <w:t>të ardhura të shfrytëzimit</w:t>
      </w:r>
      <w:r w:rsidRPr="00993C76">
        <w:rPr>
          <w:rFonts w:ascii="Garamond" w:hAnsi="Garamond"/>
          <w:spacing w:val="-4"/>
          <w:sz w:val="24"/>
          <w:szCs w:val="24"/>
          <w:lang w:val="sq-AL"/>
        </w:rPr>
        <w:t>, 300 milionë lekë;</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c) numri mesatar i punonjësve gjatë periudhës raportuese, 50.</w:t>
      </w:r>
    </w:p>
    <w:p w:rsidR="00DF6666" w:rsidRPr="00993C76" w:rsidRDefault="00DF6666" w:rsidP="00DF6666">
      <w:pPr>
        <w:widowControl w:val="0"/>
        <w:spacing w:after="0" w:line="240" w:lineRule="auto"/>
        <w:contextualSpacing/>
        <w:rPr>
          <w:rFonts w:ascii="Garamond" w:hAnsi="Garamond"/>
          <w:spacing w:val="-4"/>
          <w:sz w:val="24"/>
          <w:szCs w:val="24"/>
          <w:lang w:val="sq-AL"/>
        </w:rPr>
      </w:pPr>
      <w:r w:rsidRPr="00993C76">
        <w:rPr>
          <w:rFonts w:ascii="Garamond" w:hAnsi="Garamond"/>
          <w:spacing w:val="-4"/>
          <w:sz w:val="24"/>
          <w:szCs w:val="24"/>
          <w:lang w:val="sq-AL"/>
        </w:rPr>
        <w:t>1.3. Njësi ekonomike të mesme - njësitë ekonomike, jo mikro dhe jo të vogla, që në datën e raportimit nuk tejkalojnë kufijtë e të paktën dy prej tri kritereve të mëposhtme:</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a) aktivi, 750 milionë lekë;</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 xml:space="preserve">b) </w:t>
      </w:r>
      <w:r w:rsidR="00D92629" w:rsidRPr="00993C76">
        <w:rPr>
          <w:rFonts w:ascii="Garamond" w:hAnsi="Garamond"/>
          <w:color w:val="000000" w:themeColor="text1"/>
          <w:sz w:val="24"/>
          <w:szCs w:val="24"/>
        </w:rPr>
        <w:t>të ardhura të shfrytëzimit</w:t>
      </w:r>
      <w:r w:rsidR="00D92629" w:rsidRPr="00993C76">
        <w:rPr>
          <w:rFonts w:ascii="Garamond" w:hAnsi="Garamond"/>
          <w:spacing w:val="-4"/>
          <w:sz w:val="24"/>
          <w:szCs w:val="24"/>
          <w:lang w:val="sq-AL"/>
        </w:rPr>
        <w:t xml:space="preserve"> </w:t>
      </w:r>
      <w:r w:rsidRPr="00993C76">
        <w:rPr>
          <w:rFonts w:ascii="Garamond" w:hAnsi="Garamond"/>
          <w:spacing w:val="-4"/>
          <w:sz w:val="24"/>
          <w:szCs w:val="24"/>
          <w:lang w:val="sq-AL"/>
        </w:rPr>
        <w:t>1 500 milionë lekë;</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c) numri mesatar i punonjësve gjatë periudhës raportuese, 250.</w:t>
      </w:r>
    </w:p>
    <w:p w:rsidR="00DF6666" w:rsidRPr="00993C76" w:rsidRDefault="00DF6666" w:rsidP="00DF6666">
      <w:pPr>
        <w:widowControl w:val="0"/>
        <w:spacing w:after="0" w:line="240" w:lineRule="auto"/>
        <w:contextualSpacing/>
        <w:rPr>
          <w:rFonts w:ascii="Garamond" w:hAnsi="Garamond"/>
          <w:spacing w:val="-4"/>
          <w:sz w:val="24"/>
          <w:szCs w:val="24"/>
          <w:lang w:val="sq-AL"/>
        </w:rPr>
      </w:pPr>
      <w:r w:rsidRPr="00993C76">
        <w:rPr>
          <w:rFonts w:ascii="Garamond" w:hAnsi="Garamond"/>
          <w:spacing w:val="-4"/>
          <w:sz w:val="24"/>
          <w:szCs w:val="24"/>
          <w:lang w:val="sq-AL"/>
        </w:rPr>
        <w:t>1.4. Njësi ekonomike të mëdha - njësitë ekonomike, që në datën e raportimit tejkalojnë kufijtë e të paktën dy prej tri kritereve të mëposhtme:</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a) aktivi, 750 milionë lekë;</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 xml:space="preserve">b) </w:t>
      </w:r>
      <w:r w:rsidR="00D92629" w:rsidRPr="00993C76">
        <w:rPr>
          <w:rFonts w:ascii="Garamond" w:hAnsi="Garamond"/>
          <w:color w:val="000000" w:themeColor="text1"/>
          <w:sz w:val="24"/>
          <w:szCs w:val="24"/>
        </w:rPr>
        <w:t xml:space="preserve">të ardhura të shfrytëzimit, </w:t>
      </w:r>
      <w:r w:rsidRPr="00993C76">
        <w:rPr>
          <w:rFonts w:ascii="Garamond" w:hAnsi="Garamond"/>
          <w:spacing w:val="-4"/>
          <w:sz w:val="24"/>
          <w:szCs w:val="24"/>
          <w:lang w:val="sq-AL"/>
        </w:rPr>
        <w:t>1 500 milionë lekë;</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c) numri mesatar i punonjësve gjatë periudhës raportuese, 250.</w:t>
      </w:r>
    </w:p>
    <w:p w:rsidR="00DF6666" w:rsidRPr="00993C76" w:rsidRDefault="00DF6666" w:rsidP="00DF6666">
      <w:pPr>
        <w:widowControl w:val="0"/>
        <w:spacing w:after="0" w:line="240" w:lineRule="auto"/>
        <w:contextualSpacing/>
        <w:rPr>
          <w:rFonts w:ascii="Garamond" w:hAnsi="Garamond"/>
          <w:sz w:val="24"/>
          <w:szCs w:val="24"/>
          <w:lang w:val="sq-AL"/>
        </w:rPr>
      </w:pPr>
      <w:r w:rsidRPr="00993C76">
        <w:rPr>
          <w:rFonts w:ascii="Garamond" w:hAnsi="Garamond"/>
          <w:sz w:val="24"/>
          <w:szCs w:val="24"/>
          <w:lang w:val="sq-AL"/>
        </w:rPr>
        <w:t>2. Në zbatim të këtij ligji, në varësi të kritereve që përmbushin, grupet e njësive ekonomike klasifikohen në:</w:t>
      </w:r>
    </w:p>
    <w:p w:rsidR="00DF6666" w:rsidRPr="00993C76" w:rsidRDefault="00DF6666" w:rsidP="00DF6666">
      <w:pPr>
        <w:widowControl w:val="0"/>
        <w:spacing w:after="0" w:line="240" w:lineRule="auto"/>
        <w:contextualSpacing/>
        <w:rPr>
          <w:rFonts w:ascii="Garamond" w:hAnsi="Garamond"/>
          <w:sz w:val="24"/>
          <w:szCs w:val="24"/>
          <w:lang w:val="sq-AL"/>
        </w:rPr>
      </w:pPr>
      <w:r w:rsidRPr="00993C76">
        <w:rPr>
          <w:rFonts w:ascii="Garamond" w:hAnsi="Garamond"/>
          <w:sz w:val="24"/>
          <w:szCs w:val="24"/>
          <w:lang w:val="sq-AL"/>
        </w:rPr>
        <w:t>2.1. Grupe të vogla - grupet e njësive ekonomike, të cilat në datën e raportimit të njësisë mëmë, pas konsolidimit, nuk tejkalojnë kufijtë e të paktën dy prej tri kritereve të mëposhtme:</w:t>
      </w:r>
    </w:p>
    <w:p w:rsidR="00DF6666" w:rsidRPr="00993C76" w:rsidRDefault="00DF6666" w:rsidP="00DF6666">
      <w:pPr>
        <w:widowControl w:val="0"/>
        <w:spacing w:after="0" w:line="240" w:lineRule="auto"/>
        <w:rPr>
          <w:rFonts w:ascii="Garamond" w:hAnsi="Garamond"/>
          <w:sz w:val="24"/>
          <w:szCs w:val="24"/>
          <w:lang w:val="sq-AL"/>
        </w:rPr>
      </w:pPr>
      <w:r w:rsidRPr="00993C76">
        <w:rPr>
          <w:rFonts w:ascii="Garamond" w:hAnsi="Garamond"/>
          <w:sz w:val="24"/>
          <w:szCs w:val="24"/>
          <w:lang w:val="sq-AL"/>
        </w:rPr>
        <w:t>a) aktivi, 150 milionë lekë;</w:t>
      </w:r>
    </w:p>
    <w:p w:rsidR="00DF6666" w:rsidRPr="00993C76" w:rsidRDefault="00DF6666" w:rsidP="00DF6666">
      <w:pPr>
        <w:widowControl w:val="0"/>
        <w:spacing w:after="0" w:line="240" w:lineRule="auto"/>
        <w:rPr>
          <w:rFonts w:ascii="Garamond" w:hAnsi="Garamond"/>
          <w:sz w:val="24"/>
          <w:szCs w:val="24"/>
          <w:lang w:val="sq-AL"/>
        </w:rPr>
      </w:pPr>
      <w:r w:rsidRPr="00993C76">
        <w:rPr>
          <w:rFonts w:ascii="Garamond" w:hAnsi="Garamond"/>
          <w:sz w:val="24"/>
          <w:szCs w:val="24"/>
          <w:lang w:val="sq-AL"/>
        </w:rPr>
        <w:t xml:space="preserve">b) </w:t>
      </w:r>
      <w:r w:rsidR="00D92629" w:rsidRPr="00993C76">
        <w:rPr>
          <w:rFonts w:ascii="Garamond" w:hAnsi="Garamond"/>
          <w:color w:val="000000" w:themeColor="text1"/>
          <w:sz w:val="24"/>
          <w:szCs w:val="24"/>
        </w:rPr>
        <w:t>të ardhura të shfrytëzimit</w:t>
      </w:r>
      <w:r w:rsidRPr="00993C76">
        <w:rPr>
          <w:rFonts w:ascii="Garamond" w:hAnsi="Garamond"/>
          <w:sz w:val="24"/>
          <w:szCs w:val="24"/>
          <w:lang w:val="sq-AL"/>
        </w:rPr>
        <w:t>, 300 milionë lekë;</w:t>
      </w:r>
    </w:p>
    <w:p w:rsidR="00DF6666" w:rsidRPr="00993C76" w:rsidRDefault="00DF6666" w:rsidP="00DF6666">
      <w:pPr>
        <w:widowControl w:val="0"/>
        <w:spacing w:after="0" w:line="240" w:lineRule="auto"/>
        <w:rPr>
          <w:rFonts w:ascii="Garamond" w:hAnsi="Garamond"/>
          <w:sz w:val="24"/>
          <w:szCs w:val="24"/>
          <w:lang w:val="sq-AL"/>
        </w:rPr>
      </w:pPr>
      <w:r w:rsidRPr="00993C76">
        <w:rPr>
          <w:rFonts w:ascii="Garamond" w:hAnsi="Garamond"/>
          <w:sz w:val="24"/>
          <w:szCs w:val="24"/>
          <w:lang w:val="sq-AL"/>
        </w:rPr>
        <w:t>c) numri mesatar i punonjësve gjatë periudhës raportuese, 50.</w:t>
      </w:r>
    </w:p>
    <w:p w:rsidR="00DF6666" w:rsidRPr="00993C76" w:rsidRDefault="00DF6666" w:rsidP="00DF6666">
      <w:pPr>
        <w:widowControl w:val="0"/>
        <w:spacing w:after="0" w:line="240" w:lineRule="auto"/>
        <w:contextualSpacing/>
        <w:rPr>
          <w:rFonts w:ascii="Garamond" w:hAnsi="Garamond"/>
          <w:sz w:val="24"/>
          <w:szCs w:val="24"/>
          <w:lang w:val="sq-AL"/>
        </w:rPr>
      </w:pPr>
      <w:r w:rsidRPr="00993C76">
        <w:rPr>
          <w:rFonts w:ascii="Garamond" w:hAnsi="Garamond"/>
          <w:sz w:val="24"/>
          <w:szCs w:val="24"/>
          <w:lang w:val="sq-AL"/>
        </w:rPr>
        <w:t>2.2. Grupe të mesme - grupet e njësive ekonomike, që nuk janë të vogla, të cilat, në datën e raportimit të njësisë mëmë, pas konsolidimit, nuk tejkalojnë kufijtë e të paktën dy prej tri kritereve të mëposhtme:</w:t>
      </w:r>
    </w:p>
    <w:p w:rsidR="00DF6666" w:rsidRPr="00993C76" w:rsidRDefault="00DF6666" w:rsidP="00DF6666">
      <w:pPr>
        <w:widowControl w:val="0"/>
        <w:spacing w:after="0" w:line="240" w:lineRule="auto"/>
        <w:rPr>
          <w:rFonts w:ascii="Garamond" w:hAnsi="Garamond"/>
          <w:sz w:val="24"/>
          <w:szCs w:val="24"/>
          <w:lang w:val="sq-AL"/>
        </w:rPr>
      </w:pPr>
      <w:r w:rsidRPr="00993C76">
        <w:rPr>
          <w:rFonts w:ascii="Garamond" w:hAnsi="Garamond"/>
          <w:sz w:val="24"/>
          <w:szCs w:val="24"/>
          <w:lang w:val="sq-AL"/>
        </w:rPr>
        <w:t>a) aktivi, 750 milionë lekë;</w:t>
      </w:r>
    </w:p>
    <w:p w:rsidR="00DF6666" w:rsidRPr="00993C76" w:rsidRDefault="00DF6666" w:rsidP="00DF6666">
      <w:pPr>
        <w:widowControl w:val="0"/>
        <w:spacing w:after="0" w:line="240" w:lineRule="auto"/>
        <w:rPr>
          <w:rFonts w:ascii="Garamond" w:hAnsi="Garamond"/>
          <w:sz w:val="24"/>
          <w:szCs w:val="24"/>
          <w:lang w:val="sq-AL"/>
        </w:rPr>
      </w:pPr>
      <w:r w:rsidRPr="00993C76">
        <w:rPr>
          <w:rFonts w:ascii="Garamond" w:hAnsi="Garamond"/>
          <w:sz w:val="24"/>
          <w:szCs w:val="24"/>
          <w:lang w:val="sq-AL"/>
        </w:rPr>
        <w:t>b</w:t>
      </w:r>
      <w:r w:rsidR="00D92629" w:rsidRPr="00993C76">
        <w:rPr>
          <w:rFonts w:ascii="Garamond" w:hAnsi="Garamond"/>
          <w:sz w:val="24"/>
          <w:szCs w:val="24"/>
          <w:lang w:val="sq-AL"/>
        </w:rPr>
        <w:t>)</w:t>
      </w:r>
      <w:r w:rsidR="00D92629" w:rsidRPr="00993C76">
        <w:rPr>
          <w:rFonts w:ascii="Garamond" w:hAnsi="Garamond"/>
          <w:color w:val="000000" w:themeColor="text1"/>
          <w:sz w:val="24"/>
          <w:szCs w:val="24"/>
        </w:rPr>
        <w:t xml:space="preserve"> të ardhura të shfrytëzimit</w:t>
      </w:r>
      <w:r w:rsidRPr="00993C76">
        <w:rPr>
          <w:rFonts w:ascii="Garamond" w:hAnsi="Garamond"/>
          <w:sz w:val="24"/>
          <w:szCs w:val="24"/>
          <w:lang w:val="sq-AL"/>
        </w:rPr>
        <w:t>, 1 500 milionë lekë;</w:t>
      </w:r>
    </w:p>
    <w:p w:rsidR="00DF6666" w:rsidRPr="00993C76" w:rsidRDefault="00DF6666" w:rsidP="00DF6666">
      <w:pPr>
        <w:widowControl w:val="0"/>
        <w:spacing w:after="0" w:line="240" w:lineRule="auto"/>
        <w:rPr>
          <w:rFonts w:ascii="Garamond" w:hAnsi="Garamond"/>
          <w:sz w:val="24"/>
          <w:szCs w:val="24"/>
          <w:lang w:val="sq-AL"/>
        </w:rPr>
      </w:pPr>
      <w:r w:rsidRPr="00993C76">
        <w:rPr>
          <w:rFonts w:ascii="Garamond" w:hAnsi="Garamond"/>
          <w:sz w:val="24"/>
          <w:szCs w:val="24"/>
          <w:lang w:val="sq-AL"/>
        </w:rPr>
        <w:t>c) numri mesatar i punonjësve gjatë periudhës raportuese, 250.</w:t>
      </w:r>
    </w:p>
    <w:p w:rsidR="00DF6666" w:rsidRPr="00993C76" w:rsidRDefault="00DF6666" w:rsidP="00DF6666">
      <w:pPr>
        <w:widowControl w:val="0"/>
        <w:spacing w:after="0" w:line="240" w:lineRule="auto"/>
        <w:contextualSpacing/>
        <w:rPr>
          <w:rFonts w:ascii="Garamond" w:hAnsi="Garamond"/>
          <w:spacing w:val="-4"/>
          <w:sz w:val="24"/>
          <w:szCs w:val="24"/>
          <w:lang w:val="sq-AL"/>
        </w:rPr>
      </w:pPr>
      <w:r w:rsidRPr="00993C76">
        <w:rPr>
          <w:rFonts w:ascii="Garamond" w:hAnsi="Garamond"/>
          <w:spacing w:val="-4"/>
          <w:sz w:val="24"/>
          <w:szCs w:val="24"/>
          <w:lang w:val="sq-AL"/>
        </w:rPr>
        <w:t>2.3. Grupe të mëdha - grupet e njësive ekonomike, të cilat në datën e raportimit të njësisë mëmë, pas konsolidimit, tejkalojnë kufijtë e të paktën dy prej tri kritereve të mëposhtme:</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a) aktivi, 750 milionë lekë;</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 xml:space="preserve">b) </w:t>
      </w:r>
      <w:r w:rsidR="00D92629" w:rsidRPr="00993C76">
        <w:rPr>
          <w:rFonts w:ascii="Garamond" w:hAnsi="Garamond"/>
          <w:color w:val="000000" w:themeColor="text1"/>
          <w:sz w:val="24"/>
          <w:szCs w:val="24"/>
        </w:rPr>
        <w:t>të ardhura të shfrytëzimit</w:t>
      </w:r>
      <w:r w:rsidRPr="00993C76">
        <w:rPr>
          <w:rFonts w:ascii="Garamond" w:hAnsi="Garamond"/>
          <w:spacing w:val="-4"/>
          <w:sz w:val="24"/>
          <w:szCs w:val="24"/>
          <w:lang w:val="sq-AL"/>
        </w:rPr>
        <w:t>, 1 500 milionë lekë;</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c) numri mesatar i punonjësve gjatë periudhës raportuese, 250.</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 xml:space="preserve">3. Në rast se totali i aktivit dhe totali i të ardhurave </w:t>
      </w:r>
      <w:r w:rsidR="00D92629" w:rsidRPr="00993C76">
        <w:rPr>
          <w:rFonts w:ascii="Garamond" w:hAnsi="Garamond"/>
          <w:color w:val="000000" w:themeColor="text1"/>
          <w:sz w:val="24"/>
          <w:szCs w:val="24"/>
        </w:rPr>
        <w:t>të shfrytëzimit</w:t>
      </w:r>
      <w:r w:rsidR="00D92629" w:rsidRPr="00993C76">
        <w:rPr>
          <w:rFonts w:ascii="Garamond" w:hAnsi="Garamond"/>
          <w:spacing w:val="-4"/>
          <w:sz w:val="24"/>
          <w:szCs w:val="24"/>
          <w:lang w:val="sq-AL"/>
        </w:rPr>
        <w:t xml:space="preserve"> </w:t>
      </w:r>
      <w:r w:rsidRPr="00993C76">
        <w:rPr>
          <w:rFonts w:ascii="Garamond" w:hAnsi="Garamond"/>
          <w:spacing w:val="-4"/>
          <w:sz w:val="24"/>
          <w:szCs w:val="24"/>
          <w:lang w:val="sq-AL"/>
        </w:rPr>
        <w:t>në pasqyrat e konsoliduara të grupit llogariten përpara kryerjes së eliminimeve të transaksioneve të njësive brenda grupit, atëherë kufijtë e përcaktuar përkatësisht në pikat 2.1., 2.2. dhe 2.3. të këtij neni rriten me 20 për qind.</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4. Kufijtë për kriteret e shumës së aktivit apo të ardhurave nga veprimtaria ekonomike (qarkullimi), të parashikuara në pikat 1 dhe 2, të këtij neni, rriten çdo tre vjet, në mënyrë të përpjesëtuar, sipas aneksit 1, pjesë integrale e këtij ligji, me qëllim përafrimin e tyre të plotë me kriteret e përcaktuara në legjislacionin përkatës të Bashkimit Evropian.</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 xml:space="preserve">5. Kur në datën e raportimit një njësi ekonomike ose grup njësish ekonomike i tejkalon ose bie nën kufijtë e dy prej tri kritereve të parashikuara në pikat 1 dhe 2, të këtij neni, cenohen klasifikimi sipas këtyre pikave apo </w:t>
      </w:r>
      <w:r w:rsidR="00D92629" w:rsidRPr="00993C76">
        <w:rPr>
          <w:rFonts w:ascii="Garamond" w:hAnsi="Garamond"/>
          <w:color w:val="000000" w:themeColor="text1"/>
          <w:sz w:val="24"/>
          <w:szCs w:val="24"/>
        </w:rPr>
        <w:t>standardet kontabël të raportimit financiar të zbatueshme</w:t>
      </w:r>
      <w:r w:rsidRPr="00993C76">
        <w:rPr>
          <w:rFonts w:ascii="Garamond" w:hAnsi="Garamond"/>
          <w:spacing w:val="-4"/>
          <w:sz w:val="24"/>
          <w:szCs w:val="24"/>
          <w:lang w:val="sq-AL"/>
        </w:rPr>
        <w:t>, vetëm nëse kjo ndodh për dy periudha raportuese radhazi.</w:t>
      </w:r>
    </w:p>
    <w:p w:rsidR="00D92629" w:rsidRPr="00993C76" w:rsidRDefault="00DF6666" w:rsidP="00D92629">
      <w:pPr>
        <w:spacing w:after="0" w:line="240" w:lineRule="auto"/>
        <w:rPr>
          <w:rFonts w:ascii="Garamond" w:eastAsiaTheme="minorHAnsi" w:hAnsi="Garamond"/>
          <w:color w:val="000000" w:themeColor="text1"/>
          <w:sz w:val="24"/>
          <w:szCs w:val="24"/>
          <w:lang w:val="sq-AL"/>
        </w:rPr>
      </w:pPr>
      <w:r w:rsidRPr="00993C76">
        <w:rPr>
          <w:rFonts w:ascii="Garamond" w:hAnsi="Garamond"/>
          <w:spacing w:val="-4"/>
          <w:sz w:val="24"/>
          <w:szCs w:val="24"/>
          <w:lang w:val="sq-AL"/>
        </w:rPr>
        <w:t xml:space="preserve">6. </w:t>
      </w:r>
      <w:r w:rsidR="00D92629" w:rsidRPr="00993C76">
        <w:rPr>
          <w:rFonts w:ascii="Garamond" w:eastAsiaTheme="minorHAnsi" w:hAnsi="Garamond"/>
          <w:color w:val="000000" w:themeColor="text1"/>
          <w:sz w:val="24"/>
          <w:szCs w:val="24"/>
          <w:lang w:val="sq-AL"/>
        </w:rPr>
        <w:t xml:space="preserve">Pas përafrimit të plotë të kufijve, sipas pikës 4 të këtij neni, me kufijtë e parashikuar në legjislacionin përkatës të Bashkimit Evropian, për të rregulluar efektet e inflacionit ose kursit të këmbimit, Këshilli </w:t>
      </w:r>
      <w:r w:rsidR="00D92629" w:rsidRPr="00993C76">
        <w:rPr>
          <w:rFonts w:ascii="Garamond" w:eastAsiaTheme="minorHAnsi" w:hAnsi="Garamond"/>
          <w:color w:val="000000" w:themeColor="text1"/>
          <w:sz w:val="24"/>
          <w:szCs w:val="24"/>
          <w:lang w:val="sq-AL"/>
        </w:rPr>
        <w:lastRenderedPageBreak/>
        <w:t>Kombëtar i Kontabilitetit duhet të paktën një herë në 5 vjet të rishikojë dhe, kur është e nevojshme, të propozojë ndryshime ligjore në lidhje me:</w:t>
      </w:r>
    </w:p>
    <w:p w:rsidR="00D92629" w:rsidRPr="00993C76" w:rsidRDefault="00D92629" w:rsidP="00D92629">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a) kriteret e përcaktuara në pikat 1 dhe 2 të këtij neni;</w:t>
      </w:r>
    </w:p>
    <w:p w:rsidR="00D92629" w:rsidRPr="00993C76" w:rsidRDefault="00D92629" w:rsidP="00D92629">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 xml:space="preserve">b) kufijtë që përcaktojnë fushën e zbatimit të kërkesave për raportimin e qëndrueshmërisë për njësitë ekonomike; </w:t>
      </w:r>
    </w:p>
    <w:p w:rsidR="00D92629" w:rsidRPr="00993C76" w:rsidRDefault="00D92629" w:rsidP="00D92629">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c) kufijtë që përcaktojnë fushën e zbatimit të kërkesave për raportimin e konsoliduar të qëndrueshmërisë për grupet e njësive ekonomike.</w:t>
      </w:r>
    </w:p>
    <w:p w:rsidR="00DF6666" w:rsidRPr="00993C76" w:rsidRDefault="00DF6666" w:rsidP="00D92629">
      <w:pPr>
        <w:widowControl w:val="0"/>
        <w:spacing w:after="0" w:line="240" w:lineRule="auto"/>
        <w:rPr>
          <w:rFonts w:ascii="Garamond" w:hAnsi="Garamond"/>
          <w:spacing w:val="-4"/>
          <w:sz w:val="24"/>
          <w:szCs w:val="24"/>
          <w:lang w:val="sq-AL"/>
        </w:rPr>
      </w:pPr>
    </w:p>
    <w:p w:rsidR="00DF6666" w:rsidRPr="00993C76" w:rsidRDefault="00DF6666" w:rsidP="00DF6666">
      <w:pPr>
        <w:pStyle w:val="NeniNr"/>
        <w:keepNext w:val="0"/>
        <w:rPr>
          <w:spacing w:val="-4"/>
          <w:szCs w:val="24"/>
          <w:lang w:val="sq-AL"/>
        </w:rPr>
      </w:pPr>
      <w:r w:rsidRPr="00993C76">
        <w:rPr>
          <w:spacing w:val="-4"/>
          <w:szCs w:val="24"/>
          <w:lang w:val="sq-AL"/>
        </w:rPr>
        <w:t>Neni 5</w:t>
      </w:r>
    </w:p>
    <w:p w:rsidR="00DF6666" w:rsidRPr="00993C76" w:rsidRDefault="00DF6666" w:rsidP="00DF6666">
      <w:pPr>
        <w:pStyle w:val="NeniNr"/>
        <w:keepNext w:val="0"/>
        <w:rPr>
          <w:b/>
          <w:spacing w:val="-4"/>
          <w:szCs w:val="24"/>
          <w:lang w:val="sq-AL"/>
        </w:rPr>
      </w:pPr>
      <w:r w:rsidRPr="00993C76">
        <w:rPr>
          <w:b/>
          <w:spacing w:val="-4"/>
          <w:szCs w:val="24"/>
          <w:lang w:val="sq-AL"/>
        </w:rPr>
        <w:t>Standardet kontabël që zbatohen për hartimin e pasqyrave financiare</w:t>
      </w:r>
    </w:p>
    <w:p w:rsidR="00D92629" w:rsidRPr="00993C76" w:rsidRDefault="00D92629" w:rsidP="00D92629">
      <w:pPr>
        <w:widowControl w:val="0"/>
        <w:spacing w:after="0" w:line="240" w:lineRule="auto"/>
        <w:ind w:firstLine="720"/>
        <w:jc w:val="center"/>
        <w:rPr>
          <w:rFonts w:ascii="Garamond" w:eastAsia="Times New Roman" w:hAnsi="Garamond"/>
          <w:i/>
          <w:sz w:val="24"/>
          <w:szCs w:val="24"/>
        </w:rPr>
      </w:pPr>
      <w:r w:rsidRPr="00993C76">
        <w:rPr>
          <w:rFonts w:ascii="Garamond" w:eastAsia="Times New Roman" w:hAnsi="Garamond"/>
          <w:i/>
          <w:sz w:val="24"/>
          <w:szCs w:val="24"/>
        </w:rPr>
        <w:t>(</w:t>
      </w:r>
      <w:r w:rsidR="00C133D0" w:rsidRPr="00993C76">
        <w:rPr>
          <w:rFonts w:ascii="Garamond" w:eastAsia="Times New Roman" w:hAnsi="Garamond"/>
          <w:i/>
          <w:sz w:val="24"/>
          <w:szCs w:val="24"/>
        </w:rPr>
        <w:t>Hequr togfjal</w:t>
      </w:r>
      <w:r w:rsidR="00993C76">
        <w:rPr>
          <w:rFonts w:ascii="Garamond" w:eastAsia="Times New Roman" w:hAnsi="Garamond"/>
          <w:i/>
          <w:sz w:val="24"/>
          <w:szCs w:val="24"/>
        </w:rPr>
        <w:t>ë</w:t>
      </w:r>
      <w:r w:rsidR="00C133D0" w:rsidRPr="00993C76">
        <w:rPr>
          <w:rFonts w:ascii="Garamond" w:eastAsia="Times New Roman" w:hAnsi="Garamond"/>
          <w:i/>
          <w:sz w:val="24"/>
          <w:szCs w:val="24"/>
        </w:rPr>
        <w:t>sh n</w:t>
      </w:r>
      <w:r w:rsidR="00993C76">
        <w:rPr>
          <w:rFonts w:ascii="Garamond" w:eastAsia="Times New Roman" w:hAnsi="Garamond"/>
          <w:i/>
          <w:sz w:val="24"/>
          <w:szCs w:val="24"/>
        </w:rPr>
        <w:t>ë</w:t>
      </w:r>
      <w:r w:rsidR="00C133D0" w:rsidRPr="00993C76">
        <w:rPr>
          <w:rFonts w:ascii="Garamond" w:eastAsia="Times New Roman" w:hAnsi="Garamond"/>
          <w:i/>
          <w:sz w:val="24"/>
          <w:szCs w:val="24"/>
        </w:rPr>
        <w:t xml:space="preserve"> pik</w:t>
      </w:r>
      <w:r w:rsidR="00993C76">
        <w:rPr>
          <w:rFonts w:ascii="Garamond" w:eastAsia="Times New Roman" w:hAnsi="Garamond"/>
          <w:i/>
          <w:sz w:val="24"/>
          <w:szCs w:val="24"/>
        </w:rPr>
        <w:t>ë</w:t>
      </w:r>
      <w:r w:rsidR="00C133D0" w:rsidRPr="00993C76">
        <w:rPr>
          <w:rFonts w:ascii="Garamond" w:eastAsia="Times New Roman" w:hAnsi="Garamond"/>
          <w:i/>
          <w:sz w:val="24"/>
          <w:szCs w:val="24"/>
        </w:rPr>
        <w:t>n 2</w:t>
      </w:r>
      <w:r w:rsidRPr="00993C76">
        <w:rPr>
          <w:rFonts w:ascii="Garamond" w:eastAsia="Times New Roman" w:hAnsi="Garamond"/>
          <w:i/>
          <w:sz w:val="24"/>
          <w:szCs w:val="24"/>
        </w:rPr>
        <w:t xml:space="preserve"> me ligjin nr. 87/2026, datë 16.7.2026)</w:t>
      </w:r>
    </w:p>
    <w:p w:rsidR="00DF6666" w:rsidRPr="00993C76" w:rsidRDefault="00DF6666" w:rsidP="00DF6666">
      <w:pPr>
        <w:pStyle w:val="NeniNr"/>
        <w:keepNext w:val="0"/>
        <w:rPr>
          <w:b/>
          <w:spacing w:val="-4"/>
          <w:szCs w:val="24"/>
          <w:lang w:val="sq-AL"/>
        </w:rPr>
      </w:pP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1. Njësitë ekonomike, subjekt i këtij ligji, me përjashtim të rasteve të parashikuara në pikat 2 dhe 3, të këtij neni, duhet të zbatojnë SKK-të për hartimin e pasqyrave financiare.</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 xml:space="preserve">2. </w:t>
      </w:r>
      <w:r w:rsidRPr="00993C76">
        <w:rPr>
          <w:rFonts w:ascii="Garamond" w:eastAsia="Times New Roman" w:hAnsi="Garamond"/>
          <w:iCs/>
          <w:spacing w:val="-4"/>
          <w:sz w:val="24"/>
          <w:szCs w:val="24"/>
          <w:shd w:val="clear" w:color="auto" w:fill="FFFFFF"/>
          <w:lang w:val="sq-AL"/>
        </w:rPr>
        <w:t>Njësitë ekonomike me interes publik, si dhe rregullatorët e njësive ekonomike me interes publik që veprojnë në fushën e kreditimit dhe sigurimeve, zbatojnë SNRF-të për hartimin e pasqyrave financiare. Përjashtohen nga zbatimi i detyrueshëm i SNRF-ve, dhe zbatojnë SKK-të, vetëm njësitë ekonomike me interes publik, sipas nenit 2, pika 23, shkronja “ç”, të ligjit nr. 10 091, datë 5.3.2009, “Për auditimin ligjor, organizimin e profesionit të audituesit ligjor dhe të kontabilistit të miratuar”, të ndryshuar, të cilat nuk tejkalojnë kriteret e përcaktuara në nenin 4, pika 1.3. të këtij ligji</w:t>
      </w:r>
      <w:r w:rsidRPr="00993C76">
        <w:rPr>
          <w:rFonts w:ascii="Garamond" w:hAnsi="Garamond"/>
          <w:spacing w:val="-4"/>
          <w:sz w:val="24"/>
          <w:szCs w:val="24"/>
          <w:lang w:val="sq-AL"/>
        </w:rPr>
        <w:t>.</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3. Edhe njësitë e tjera ekonomike, përtej atyre të parashikuara në pikën 2, të këtij neni, në mënyrë të vullnetshme, mund të zbatojnë SNRF-të për hartimin e pasqyrave financiare.</w:t>
      </w:r>
    </w:p>
    <w:p w:rsidR="00DF6666" w:rsidRPr="00993C76" w:rsidRDefault="00DF6666" w:rsidP="00DF6666">
      <w:pPr>
        <w:widowControl w:val="0"/>
        <w:spacing w:after="0" w:line="240" w:lineRule="auto"/>
        <w:rPr>
          <w:rFonts w:ascii="Garamond" w:hAnsi="Garamond"/>
          <w:spacing w:val="-4"/>
          <w:sz w:val="24"/>
          <w:szCs w:val="24"/>
          <w:lang w:val="sq-AL"/>
        </w:rPr>
      </w:pPr>
    </w:p>
    <w:p w:rsidR="00DF6666" w:rsidRPr="00993C76" w:rsidRDefault="00DF6666" w:rsidP="00DF6666">
      <w:pPr>
        <w:pStyle w:val="NeniNr"/>
        <w:keepNext w:val="0"/>
        <w:rPr>
          <w:spacing w:val="-4"/>
          <w:szCs w:val="24"/>
          <w:lang w:val="sq-AL"/>
        </w:rPr>
      </w:pPr>
      <w:r w:rsidRPr="00993C76">
        <w:rPr>
          <w:spacing w:val="-4"/>
          <w:szCs w:val="24"/>
          <w:lang w:val="sq-AL"/>
        </w:rPr>
        <w:t>KREU II</w:t>
      </w:r>
    </w:p>
    <w:p w:rsidR="00DF6666" w:rsidRPr="00993C76" w:rsidRDefault="00DF6666" w:rsidP="00DF6666">
      <w:pPr>
        <w:pStyle w:val="NeniNr"/>
        <w:keepNext w:val="0"/>
        <w:rPr>
          <w:spacing w:val="-4"/>
          <w:szCs w:val="24"/>
          <w:lang w:val="sq-AL"/>
        </w:rPr>
      </w:pPr>
      <w:r w:rsidRPr="00993C76">
        <w:rPr>
          <w:spacing w:val="-4"/>
          <w:szCs w:val="24"/>
          <w:lang w:val="sq-AL"/>
        </w:rPr>
        <w:t xml:space="preserve">DISPOZITA TË PËRGJITHSHME MBI DOKUMENTET KONTABËL </w:t>
      </w:r>
    </w:p>
    <w:p w:rsidR="00DF6666" w:rsidRPr="00993C76" w:rsidRDefault="00DF6666" w:rsidP="00DF6666">
      <w:pPr>
        <w:pStyle w:val="NeniNr"/>
        <w:keepNext w:val="0"/>
        <w:rPr>
          <w:spacing w:val="-4"/>
          <w:szCs w:val="24"/>
          <w:lang w:val="sq-AL"/>
        </w:rPr>
      </w:pPr>
      <w:r w:rsidRPr="00993C76">
        <w:rPr>
          <w:spacing w:val="-4"/>
          <w:szCs w:val="24"/>
          <w:lang w:val="sq-AL"/>
        </w:rPr>
        <w:t>DHE PASQYRAT FINANCIARE</w:t>
      </w:r>
    </w:p>
    <w:p w:rsidR="00DF6666" w:rsidRPr="00993C76" w:rsidRDefault="00DF6666" w:rsidP="00DF6666">
      <w:pPr>
        <w:pStyle w:val="NeniNr"/>
        <w:keepNext w:val="0"/>
        <w:rPr>
          <w:spacing w:val="-4"/>
          <w:szCs w:val="24"/>
          <w:lang w:val="sq-AL"/>
        </w:rPr>
      </w:pPr>
    </w:p>
    <w:p w:rsidR="00DF6666" w:rsidRPr="00993C76" w:rsidRDefault="00DF6666" w:rsidP="00DF6666">
      <w:pPr>
        <w:pStyle w:val="NeniNr"/>
        <w:keepNext w:val="0"/>
        <w:rPr>
          <w:spacing w:val="-4"/>
          <w:szCs w:val="24"/>
          <w:lang w:val="sq-AL"/>
        </w:rPr>
      </w:pPr>
      <w:r w:rsidRPr="00993C76">
        <w:rPr>
          <w:spacing w:val="-4"/>
          <w:szCs w:val="24"/>
          <w:lang w:val="sq-AL"/>
        </w:rPr>
        <w:t>Neni 6</w:t>
      </w:r>
    </w:p>
    <w:p w:rsidR="00DF6666" w:rsidRPr="00993C76" w:rsidRDefault="00DF6666" w:rsidP="00DF6666">
      <w:pPr>
        <w:pStyle w:val="NeniNr"/>
        <w:keepNext w:val="0"/>
        <w:rPr>
          <w:b/>
          <w:spacing w:val="-4"/>
          <w:szCs w:val="24"/>
          <w:lang w:val="sq-AL"/>
        </w:rPr>
      </w:pPr>
      <w:r w:rsidRPr="00993C76">
        <w:rPr>
          <w:b/>
          <w:spacing w:val="-4"/>
          <w:szCs w:val="24"/>
          <w:lang w:val="sq-AL"/>
        </w:rPr>
        <w:t>Mbajtja e kontabilitetit</w:t>
      </w:r>
    </w:p>
    <w:p w:rsidR="00C133D0" w:rsidRPr="00993C76" w:rsidRDefault="00C133D0" w:rsidP="00C133D0">
      <w:pPr>
        <w:widowControl w:val="0"/>
        <w:spacing w:after="0" w:line="240" w:lineRule="auto"/>
        <w:ind w:firstLine="720"/>
        <w:jc w:val="center"/>
        <w:rPr>
          <w:rFonts w:ascii="Garamond" w:eastAsia="Times New Roman" w:hAnsi="Garamond"/>
          <w:i/>
          <w:sz w:val="24"/>
          <w:szCs w:val="24"/>
        </w:rPr>
      </w:pPr>
      <w:r w:rsidRPr="00993C76">
        <w:rPr>
          <w:rFonts w:ascii="Garamond" w:eastAsia="Times New Roman" w:hAnsi="Garamond"/>
          <w:i/>
          <w:sz w:val="24"/>
          <w:szCs w:val="24"/>
        </w:rPr>
        <w:t>(Ndryshuar togfjal</w:t>
      </w:r>
      <w:r w:rsidR="00993C76">
        <w:rPr>
          <w:rFonts w:ascii="Garamond" w:eastAsia="Times New Roman" w:hAnsi="Garamond"/>
          <w:i/>
          <w:sz w:val="24"/>
          <w:szCs w:val="24"/>
        </w:rPr>
        <w:t>ë</w:t>
      </w:r>
      <w:r w:rsidRPr="00993C76">
        <w:rPr>
          <w:rFonts w:ascii="Garamond" w:eastAsia="Times New Roman" w:hAnsi="Garamond"/>
          <w:i/>
          <w:sz w:val="24"/>
          <w:szCs w:val="24"/>
        </w:rPr>
        <w:t>sh me ligjin nr. 87/2026, datë 16.7.2026)</w:t>
      </w:r>
    </w:p>
    <w:p w:rsidR="00DF6666" w:rsidRPr="00993C76" w:rsidRDefault="00DF6666" w:rsidP="00DF6666">
      <w:pPr>
        <w:widowControl w:val="0"/>
        <w:tabs>
          <w:tab w:val="left" w:pos="1453"/>
        </w:tabs>
        <w:spacing w:after="0" w:line="240" w:lineRule="auto"/>
        <w:jc w:val="center"/>
        <w:rPr>
          <w:rFonts w:ascii="Garamond" w:hAnsi="Garamond"/>
          <w:b/>
          <w:spacing w:val="-4"/>
          <w:sz w:val="24"/>
          <w:szCs w:val="24"/>
          <w:lang w:val="sq-AL"/>
        </w:rPr>
      </w:pP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 xml:space="preserve">Të gjitha njësitë ekonomike, subjekt i këtij ligji, e organizojnë mbajtjen e kontabilitetit dhe raportimin financiar mbi bazën e parimeve dhe metodave që përcaktohen nga Këshilli Kombëtar i Kontabilitetit ose Bordi i Standardeve Ndërkombëtare të Kontabilitetit, në varësi të </w:t>
      </w:r>
      <w:r w:rsidR="00C133D0" w:rsidRPr="00993C76">
        <w:rPr>
          <w:rFonts w:ascii="Garamond" w:hAnsi="Garamond"/>
          <w:color w:val="000000" w:themeColor="text1"/>
          <w:sz w:val="24"/>
          <w:szCs w:val="24"/>
        </w:rPr>
        <w:t>standardeve kontabël të raportimit financiar të zbatueshme</w:t>
      </w:r>
      <w:r w:rsidRPr="00993C76">
        <w:rPr>
          <w:rFonts w:ascii="Garamond" w:hAnsi="Garamond"/>
          <w:spacing w:val="-4"/>
          <w:sz w:val="24"/>
          <w:szCs w:val="24"/>
          <w:lang w:val="sq-AL"/>
        </w:rPr>
        <w:t>.</w:t>
      </w:r>
    </w:p>
    <w:p w:rsidR="00DF6666" w:rsidRPr="00993C76" w:rsidRDefault="00DF6666" w:rsidP="00DF6666">
      <w:pPr>
        <w:widowControl w:val="0"/>
        <w:tabs>
          <w:tab w:val="left" w:pos="1453"/>
        </w:tabs>
        <w:spacing w:after="0" w:line="240" w:lineRule="auto"/>
        <w:rPr>
          <w:rFonts w:ascii="Garamond" w:hAnsi="Garamond"/>
          <w:spacing w:val="-4"/>
          <w:sz w:val="24"/>
          <w:szCs w:val="24"/>
          <w:lang w:val="sq-AL"/>
        </w:rPr>
      </w:pPr>
    </w:p>
    <w:p w:rsidR="00DF6666" w:rsidRPr="00993C76" w:rsidRDefault="00DF6666" w:rsidP="00DF6666">
      <w:pPr>
        <w:pStyle w:val="NeniNr"/>
        <w:keepNext w:val="0"/>
        <w:rPr>
          <w:spacing w:val="-4"/>
          <w:szCs w:val="24"/>
          <w:lang w:val="sq-AL"/>
        </w:rPr>
      </w:pPr>
      <w:r w:rsidRPr="00993C76">
        <w:rPr>
          <w:spacing w:val="-4"/>
          <w:szCs w:val="24"/>
          <w:lang w:val="sq-AL"/>
        </w:rPr>
        <w:t>Neni 7</w:t>
      </w:r>
    </w:p>
    <w:p w:rsidR="00DF6666" w:rsidRPr="00993C76" w:rsidRDefault="00DF6666" w:rsidP="00DF6666">
      <w:pPr>
        <w:pStyle w:val="NeniNr"/>
        <w:keepNext w:val="0"/>
        <w:rPr>
          <w:b/>
          <w:spacing w:val="-4"/>
          <w:szCs w:val="24"/>
          <w:lang w:val="sq-AL"/>
        </w:rPr>
      </w:pPr>
      <w:r w:rsidRPr="00993C76">
        <w:rPr>
          <w:b/>
          <w:spacing w:val="-4"/>
          <w:szCs w:val="24"/>
          <w:lang w:val="sq-AL"/>
        </w:rPr>
        <w:t>Dokumenti kontabël</w:t>
      </w:r>
    </w:p>
    <w:p w:rsidR="00DF6666" w:rsidRPr="00993C76" w:rsidRDefault="00DF6666" w:rsidP="00DF6666">
      <w:pPr>
        <w:widowControl w:val="0"/>
        <w:tabs>
          <w:tab w:val="left" w:pos="1453"/>
        </w:tabs>
        <w:spacing w:after="0" w:line="240" w:lineRule="auto"/>
        <w:jc w:val="center"/>
        <w:rPr>
          <w:rFonts w:ascii="Garamond" w:hAnsi="Garamond"/>
          <w:b/>
          <w:spacing w:val="-4"/>
          <w:sz w:val="24"/>
          <w:szCs w:val="24"/>
          <w:lang w:val="sq-AL"/>
        </w:rPr>
      </w:pP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1. Regjistrimet kontabël justifikohen me dokumentet kontabël, në formë dokumentare ose informatike, që sigurojnë besueshmërinë e tyre. Dokumenti kontabël mbahet si provë dokumentare gjatë gjithë periudhës kohore të përcaktuar në nenin 8 të këtij ligji.</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2. Për çdo regjistrim kontabël duhet të shkruhet origjina, natyra, data dhe përmbajtja e veprimit ose e ngjarjes ekonomike.</w:t>
      </w:r>
    </w:p>
    <w:p w:rsidR="00DF6666" w:rsidRPr="00993C76" w:rsidRDefault="00DF6666" w:rsidP="00DF6666">
      <w:pPr>
        <w:widowControl w:val="0"/>
        <w:tabs>
          <w:tab w:val="left" w:pos="1453"/>
        </w:tabs>
        <w:spacing w:after="0" w:line="240" w:lineRule="auto"/>
        <w:rPr>
          <w:rFonts w:ascii="Garamond" w:hAnsi="Garamond"/>
          <w:spacing w:val="-4"/>
          <w:sz w:val="24"/>
          <w:szCs w:val="24"/>
          <w:lang w:val="sq-AL"/>
        </w:rPr>
      </w:pPr>
    </w:p>
    <w:p w:rsidR="00DF6666" w:rsidRPr="00993C76" w:rsidRDefault="00DF6666" w:rsidP="00DF6666">
      <w:pPr>
        <w:pStyle w:val="NeniNr"/>
        <w:keepNext w:val="0"/>
        <w:rPr>
          <w:spacing w:val="-4"/>
          <w:szCs w:val="24"/>
          <w:lang w:val="sq-AL"/>
        </w:rPr>
      </w:pPr>
      <w:r w:rsidRPr="00993C76">
        <w:rPr>
          <w:spacing w:val="-4"/>
          <w:szCs w:val="24"/>
          <w:lang w:val="sq-AL"/>
        </w:rPr>
        <w:t xml:space="preserve">Neni 8 </w:t>
      </w:r>
    </w:p>
    <w:p w:rsidR="00DF6666" w:rsidRPr="00993C76" w:rsidRDefault="00DF6666" w:rsidP="00DF6666">
      <w:pPr>
        <w:pStyle w:val="NeniNr"/>
        <w:keepNext w:val="0"/>
        <w:rPr>
          <w:b/>
          <w:spacing w:val="-4"/>
          <w:szCs w:val="24"/>
          <w:lang w:val="sq-AL"/>
        </w:rPr>
      </w:pPr>
      <w:r w:rsidRPr="00993C76">
        <w:rPr>
          <w:b/>
          <w:spacing w:val="-4"/>
          <w:szCs w:val="24"/>
          <w:lang w:val="sq-AL"/>
        </w:rPr>
        <w:t>Ruajtja e dokumenteve kontabël</w:t>
      </w:r>
    </w:p>
    <w:p w:rsidR="00DF6666" w:rsidRPr="00993C76" w:rsidRDefault="00DF6666" w:rsidP="00DF6666">
      <w:pPr>
        <w:widowControl w:val="0"/>
        <w:tabs>
          <w:tab w:val="left" w:pos="1453"/>
        </w:tabs>
        <w:spacing w:after="0" w:line="240" w:lineRule="auto"/>
        <w:jc w:val="center"/>
        <w:rPr>
          <w:rFonts w:ascii="Garamond" w:hAnsi="Garamond"/>
          <w:b/>
          <w:spacing w:val="-4"/>
          <w:sz w:val="24"/>
          <w:szCs w:val="24"/>
          <w:lang w:val="sq-AL"/>
        </w:rPr>
      </w:pP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1. Dokumentet kontabël ruhen në selinë, ku zhvillohet aktiviteti ekonomik i njësisë ekonomike, për 10 vjet rresht, pas mbylljes së periudhës raportuese së cilës i përkasin, me përjashtim të atyre që, me ligj ose akt tjetër nënligjor, u përcaktohet një afat më i gjatë ruajtjeje. I njëjti afat zbatohet edhe për dokumentet informatike (bartësit) dhe printimet e tyre.</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2. Pasqyrat financiare të grupit ruhen nga njësia mëmë.</w:t>
      </w:r>
    </w:p>
    <w:p w:rsidR="00DF6666" w:rsidRPr="00993C76" w:rsidRDefault="00DF6666" w:rsidP="00DF6666">
      <w:pPr>
        <w:widowControl w:val="0"/>
        <w:spacing w:after="0" w:line="240" w:lineRule="auto"/>
        <w:rPr>
          <w:rFonts w:ascii="Garamond" w:hAnsi="Garamond"/>
          <w:spacing w:val="-4"/>
          <w:sz w:val="24"/>
          <w:szCs w:val="24"/>
          <w:lang w:val="sq-AL"/>
        </w:rPr>
      </w:pPr>
    </w:p>
    <w:p w:rsidR="00A560CD" w:rsidRPr="00993C76" w:rsidRDefault="00A560CD" w:rsidP="00DF6666">
      <w:pPr>
        <w:pStyle w:val="NeniNr"/>
        <w:keepNext w:val="0"/>
        <w:rPr>
          <w:spacing w:val="-4"/>
          <w:szCs w:val="24"/>
          <w:lang w:val="sq-AL"/>
        </w:rPr>
      </w:pPr>
    </w:p>
    <w:p w:rsidR="00DF6666" w:rsidRPr="00993C76" w:rsidRDefault="00DF6666" w:rsidP="00DF6666">
      <w:pPr>
        <w:pStyle w:val="NeniNr"/>
        <w:keepNext w:val="0"/>
        <w:rPr>
          <w:spacing w:val="-4"/>
          <w:szCs w:val="24"/>
          <w:lang w:val="sq-AL"/>
        </w:rPr>
      </w:pPr>
      <w:r w:rsidRPr="00993C76">
        <w:rPr>
          <w:spacing w:val="-4"/>
          <w:szCs w:val="24"/>
          <w:lang w:val="sq-AL"/>
        </w:rPr>
        <w:t>Neni 9</w:t>
      </w:r>
    </w:p>
    <w:p w:rsidR="00DF6666" w:rsidRPr="00993C76" w:rsidRDefault="00DF6666" w:rsidP="00DF6666">
      <w:pPr>
        <w:pStyle w:val="NeniNr"/>
        <w:keepNext w:val="0"/>
        <w:rPr>
          <w:b/>
          <w:spacing w:val="-4"/>
          <w:szCs w:val="24"/>
          <w:lang w:val="sq-AL"/>
        </w:rPr>
      </w:pPr>
      <w:r w:rsidRPr="00993C76">
        <w:rPr>
          <w:b/>
          <w:spacing w:val="-4"/>
          <w:szCs w:val="24"/>
          <w:lang w:val="sq-AL"/>
        </w:rPr>
        <w:t>Periudha raportuese</w:t>
      </w:r>
    </w:p>
    <w:p w:rsidR="00C133D0" w:rsidRPr="00993C76" w:rsidRDefault="00C133D0" w:rsidP="00C133D0">
      <w:pPr>
        <w:widowControl w:val="0"/>
        <w:spacing w:after="0" w:line="240" w:lineRule="auto"/>
        <w:ind w:firstLine="720"/>
        <w:jc w:val="center"/>
        <w:rPr>
          <w:rFonts w:ascii="Garamond" w:eastAsia="Times New Roman" w:hAnsi="Garamond"/>
          <w:i/>
          <w:sz w:val="24"/>
          <w:szCs w:val="24"/>
        </w:rPr>
      </w:pPr>
      <w:r w:rsidRPr="00993C76">
        <w:rPr>
          <w:rFonts w:ascii="Garamond" w:eastAsia="Times New Roman" w:hAnsi="Garamond"/>
          <w:i/>
          <w:sz w:val="24"/>
          <w:szCs w:val="24"/>
        </w:rPr>
        <w:lastRenderedPageBreak/>
        <w:t>(Hequr fjal</w:t>
      </w:r>
      <w:r w:rsidR="00993C76">
        <w:rPr>
          <w:rFonts w:ascii="Garamond" w:eastAsia="Times New Roman" w:hAnsi="Garamond"/>
          <w:i/>
          <w:sz w:val="24"/>
          <w:szCs w:val="24"/>
        </w:rPr>
        <w:t>ë</w:t>
      </w:r>
      <w:r w:rsidRPr="00993C76">
        <w:rPr>
          <w:rFonts w:ascii="Garamond" w:eastAsia="Times New Roman" w:hAnsi="Garamond"/>
          <w:i/>
          <w:sz w:val="24"/>
          <w:szCs w:val="24"/>
        </w:rPr>
        <w:t xml:space="preserve"> </w:t>
      </w:r>
      <w:r w:rsidR="00A560CD" w:rsidRPr="00993C76">
        <w:rPr>
          <w:rFonts w:ascii="Garamond" w:eastAsia="Times New Roman" w:hAnsi="Garamond"/>
          <w:i/>
          <w:sz w:val="24"/>
          <w:szCs w:val="24"/>
        </w:rPr>
        <w:t>n</w:t>
      </w:r>
      <w:r w:rsidR="00993C76">
        <w:rPr>
          <w:rFonts w:ascii="Garamond" w:eastAsia="Times New Roman" w:hAnsi="Garamond"/>
          <w:i/>
          <w:sz w:val="24"/>
          <w:szCs w:val="24"/>
        </w:rPr>
        <w:t>ë</w:t>
      </w:r>
      <w:r w:rsidR="00A560CD" w:rsidRPr="00993C76">
        <w:rPr>
          <w:rFonts w:ascii="Garamond" w:eastAsia="Times New Roman" w:hAnsi="Garamond"/>
          <w:i/>
          <w:sz w:val="24"/>
          <w:szCs w:val="24"/>
        </w:rPr>
        <w:t xml:space="preserve"> pik</w:t>
      </w:r>
      <w:r w:rsidR="00993C76">
        <w:rPr>
          <w:rFonts w:ascii="Garamond" w:eastAsia="Times New Roman" w:hAnsi="Garamond"/>
          <w:i/>
          <w:sz w:val="24"/>
          <w:szCs w:val="24"/>
        </w:rPr>
        <w:t>ë</w:t>
      </w:r>
      <w:r w:rsidR="00A560CD" w:rsidRPr="00993C76">
        <w:rPr>
          <w:rFonts w:ascii="Garamond" w:eastAsia="Times New Roman" w:hAnsi="Garamond"/>
          <w:i/>
          <w:sz w:val="24"/>
          <w:szCs w:val="24"/>
        </w:rPr>
        <w:t xml:space="preserve">n 3 </w:t>
      </w:r>
      <w:r w:rsidRPr="00993C76">
        <w:rPr>
          <w:rFonts w:ascii="Garamond" w:eastAsia="Times New Roman" w:hAnsi="Garamond"/>
          <w:i/>
          <w:sz w:val="24"/>
          <w:szCs w:val="24"/>
        </w:rPr>
        <w:t>me ligjin nr. 87/2026, datë 16.7.2026)</w:t>
      </w:r>
    </w:p>
    <w:p w:rsidR="00C133D0" w:rsidRPr="00993C76" w:rsidRDefault="00C133D0" w:rsidP="00C133D0">
      <w:pPr>
        <w:widowControl w:val="0"/>
        <w:tabs>
          <w:tab w:val="left" w:pos="1453"/>
        </w:tabs>
        <w:spacing w:after="0" w:line="240" w:lineRule="auto"/>
        <w:jc w:val="center"/>
        <w:rPr>
          <w:rFonts w:ascii="Garamond" w:hAnsi="Garamond"/>
          <w:b/>
          <w:spacing w:val="-4"/>
          <w:sz w:val="24"/>
          <w:szCs w:val="24"/>
          <w:lang w:val="sq-AL"/>
        </w:rPr>
      </w:pP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1. Kohëzgjatja e periudhës raportuese është 12 muaj.</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2. Periudha raportuese fillon në datën 1 janar dhe përfundon në datën 31 dhjetor. Përjashtimet për veprimtaritë e veçanta, me propozimin e Këshillit Kombëtar të Kontabilitetit, miratohen nga ministri përgjegjës për financat.</w:t>
      </w:r>
    </w:p>
    <w:p w:rsidR="00DF6666" w:rsidRPr="00993C76" w:rsidRDefault="00DF6666" w:rsidP="00DF6666">
      <w:pPr>
        <w:widowControl w:val="0"/>
        <w:spacing w:after="0" w:line="240" w:lineRule="auto"/>
        <w:rPr>
          <w:rFonts w:ascii="Garamond" w:hAnsi="Garamond"/>
          <w:sz w:val="24"/>
          <w:szCs w:val="24"/>
          <w:lang w:val="sq-AL"/>
        </w:rPr>
      </w:pPr>
      <w:r w:rsidRPr="00993C76">
        <w:rPr>
          <w:rFonts w:ascii="Garamond" w:hAnsi="Garamond"/>
          <w:sz w:val="24"/>
          <w:szCs w:val="24"/>
          <w:lang w:val="sq-AL"/>
        </w:rPr>
        <w:t>3. Kohëzgjatja e periudhës raportuese, në rastet e nisjes apo mbylljes së aktivitetit, mund të jetë më e shkurtër ose më e gjatë se 12 muaj, por, nuk mund të jetë më e shkurtër se 3 muaj dhe më e gjatë se 15 muaj.</w:t>
      </w:r>
    </w:p>
    <w:p w:rsidR="00DF6666" w:rsidRPr="00993C76" w:rsidRDefault="00DF6666" w:rsidP="00DF6666">
      <w:pPr>
        <w:widowControl w:val="0"/>
        <w:spacing w:after="0" w:line="240" w:lineRule="auto"/>
        <w:rPr>
          <w:rFonts w:ascii="Garamond" w:hAnsi="Garamond"/>
          <w:sz w:val="24"/>
          <w:szCs w:val="24"/>
          <w:lang w:val="sq-AL"/>
        </w:rPr>
      </w:pPr>
      <w:r w:rsidRPr="00993C76">
        <w:rPr>
          <w:rFonts w:ascii="Garamond" w:hAnsi="Garamond"/>
          <w:sz w:val="24"/>
          <w:szCs w:val="24"/>
          <w:lang w:val="sq-AL"/>
        </w:rPr>
        <w:t>4. Në rastin kur periudha raportuese do të jetë më e gjatë se 12 muaj, atëherë momenti i fillimit/mbarimit do të jetë jo më herët/vonë se 3-mujori i fundit/i parë i periudhës paraardhëse /pasardhëse.</w:t>
      </w:r>
    </w:p>
    <w:p w:rsidR="00DF6666" w:rsidRPr="00993C76" w:rsidRDefault="00DF6666" w:rsidP="00DF6666">
      <w:pPr>
        <w:widowControl w:val="0"/>
        <w:spacing w:after="0" w:line="240" w:lineRule="auto"/>
        <w:rPr>
          <w:rFonts w:ascii="Garamond" w:hAnsi="Garamond"/>
          <w:sz w:val="24"/>
          <w:szCs w:val="24"/>
          <w:lang w:val="sq-AL"/>
        </w:rPr>
      </w:pPr>
    </w:p>
    <w:p w:rsidR="00DF6666" w:rsidRPr="00993C76" w:rsidRDefault="00DF6666" w:rsidP="00DF6666">
      <w:pPr>
        <w:pStyle w:val="NeniNr"/>
        <w:keepNext w:val="0"/>
        <w:rPr>
          <w:szCs w:val="24"/>
          <w:lang w:val="sq-AL"/>
        </w:rPr>
      </w:pPr>
      <w:r w:rsidRPr="00993C76">
        <w:rPr>
          <w:szCs w:val="24"/>
          <w:lang w:val="sq-AL"/>
        </w:rPr>
        <w:t>Neni 10</w:t>
      </w:r>
    </w:p>
    <w:p w:rsidR="00DF6666" w:rsidRPr="00993C76" w:rsidRDefault="00DF6666" w:rsidP="00DF6666">
      <w:pPr>
        <w:pStyle w:val="NeniNr"/>
        <w:keepNext w:val="0"/>
        <w:rPr>
          <w:b/>
          <w:szCs w:val="24"/>
          <w:lang w:val="sq-AL"/>
        </w:rPr>
      </w:pPr>
      <w:r w:rsidRPr="00993C76">
        <w:rPr>
          <w:b/>
          <w:szCs w:val="24"/>
          <w:lang w:val="sq-AL"/>
        </w:rPr>
        <w:t>Gjuha dhe njësia monetare e regjistrave kontabël dhe pasqyrave financiare</w:t>
      </w:r>
    </w:p>
    <w:p w:rsidR="00DF6666" w:rsidRPr="00993C76" w:rsidRDefault="00DF6666" w:rsidP="00DF6666">
      <w:pPr>
        <w:widowControl w:val="0"/>
        <w:tabs>
          <w:tab w:val="left" w:pos="1453"/>
        </w:tabs>
        <w:spacing w:after="0" w:line="240" w:lineRule="auto"/>
        <w:jc w:val="center"/>
        <w:rPr>
          <w:rFonts w:ascii="Garamond" w:hAnsi="Garamond"/>
          <w:b/>
          <w:sz w:val="24"/>
          <w:szCs w:val="24"/>
          <w:lang w:val="sq-AL"/>
        </w:rPr>
      </w:pPr>
    </w:p>
    <w:p w:rsidR="00DF6666" w:rsidRPr="00993C76" w:rsidRDefault="00DF6666" w:rsidP="00DF6666">
      <w:pPr>
        <w:widowControl w:val="0"/>
        <w:spacing w:after="0" w:line="240" w:lineRule="auto"/>
        <w:rPr>
          <w:rFonts w:ascii="Garamond" w:hAnsi="Garamond"/>
          <w:sz w:val="24"/>
          <w:szCs w:val="24"/>
          <w:lang w:val="sq-AL"/>
        </w:rPr>
      </w:pPr>
      <w:r w:rsidRPr="00993C76">
        <w:rPr>
          <w:rFonts w:ascii="Garamond" w:hAnsi="Garamond"/>
          <w:sz w:val="24"/>
          <w:szCs w:val="24"/>
          <w:lang w:val="sq-AL"/>
        </w:rPr>
        <w:t>1. Regjistrat kontabël mbahen në gjuhën shqipe dhe vlerat shprehen në monedhën funksionale.</w:t>
      </w:r>
    </w:p>
    <w:p w:rsidR="00DF6666" w:rsidRPr="00993C76" w:rsidRDefault="00DF6666" w:rsidP="00DF6666">
      <w:pPr>
        <w:widowControl w:val="0"/>
        <w:spacing w:after="0" w:line="240" w:lineRule="auto"/>
        <w:rPr>
          <w:rFonts w:ascii="Garamond" w:hAnsi="Garamond"/>
          <w:sz w:val="24"/>
          <w:szCs w:val="24"/>
          <w:lang w:val="sq-AL"/>
        </w:rPr>
      </w:pPr>
      <w:r w:rsidRPr="00993C76">
        <w:rPr>
          <w:rFonts w:ascii="Garamond" w:hAnsi="Garamond"/>
          <w:sz w:val="24"/>
          <w:szCs w:val="24"/>
          <w:lang w:val="sq-AL"/>
        </w:rPr>
        <w:t>2. Pasqyrat financiare paraqiten në gjuhën shqipe dhe vlerat shprehen në njësinë monetare kombëtare.</w:t>
      </w:r>
    </w:p>
    <w:p w:rsidR="00DF6666" w:rsidRPr="00993C76" w:rsidRDefault="00DF6666" w:rsidP="00DF6666">
      <w:pPr>
        <w:widowControl w:val="0"/>
        <w:spacing w:after="0" w:line="240" w:lineRule="auto"/>
        <w:rPr>
          <w:rFonts w:ascii="Garamond" w:hAnsi="Garamond"/>
          <w:sz w:val="24"/>
          <w:szCs w:val="24"/>
          <w:lang w:val="sq-AL"/>
        </w:rPr>
      </w:pPr>
      <w:r w:rsidRPr="00993C76">
        <w:rPr>
          <w:rFonts w:ascii="Garamond" w:hAnsi="Garamond"/>
          <w:sz w:val="24"/>
          <w:szCs w:val="24"/>
          <w:lang w:val="sq-AL"/>
        </w:rPr>
        <w:t>3. Dokumentet e shprehura në gjuhë dhe/ose në njësi monetare të huaja, të ardhura nga/ose të dërguara për njësitë ekonomike të huaja, që nuk kanë seli të përhershme në Republikën e Shqipërisë, duhet të zbatojnë kërkesat e pikës 1 të këtij neni.</w:t>
      </w:r>
    </w:p>
    <w:p w:rsidR="00DF6666" w:rsidRPr="00993C76" w:rsidRDefault="00DF6666" w:rsidP="00DF6666">
      <w:pPr>
        <w:widowControl w:val="0"/>
        <w:spacing w:after="0" w:line="240" w:lineRule="auto"/>
        <w:rPr>
          <w:rFonts w:ascii="Garamond" w:hAnsi="Garamond"/>
          <w:sz w:val="24"/>
          <w:szCs w:val="24"/>
          <w:lang w:val="sq-AL"/>
        </w:rPr>
      </w:pPr>
      <w:r w:rsidRPr="00993C76">
        <w:rPr>
          <w:rFonts w:ascii="Garamond" w:hAnsi="Garamond"/>
          <w:sz w:val="24"/>
          <w:szCs w:val="24"/>
          <w:lang w:val="sq-AL"/>
        </w:rPr>
        <w:t>4. Njësitë ekonomike i regjistrojnë veprimet ekonomike:</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 xml:space="preserve">a) në njësi monetare kombëtare ose në njësi monetare të huaja, kur kjo e fundit është monedha funksionale; ose </w:t>
      </w:r>
    </w:p>
    <w:p w:rsidR="00DF6666" w:rsidRPr="00993C76" w:rsidRDefault="00DF6666" w:rsidP="00DF6666">
      <w:pPr>
        <w:widowControl w:val="0"/>
        <w:spacing w:after="0" w:line="240" w:lineRule="auto"/>
        <w:rPr>
          <w:rFonts w:ascii="Garamond" w:hAnsi="Garamond"/>
          <w:sz w:val="24"/>
          <w:szCs w:val="24"/>
          <w:lang w:val="sq-AL"/>
        </w:rPr>
      </w:pPr>
      <w:r w:rsidRPr="00993C76">
        <w:rPr>
          <w:rFonts w:ascii="Garamond" w:hAnsi="Garamond"/>
          <w:sz w:val="24"/>
          <w:szCs w:val="24"/>
          <w:lang w:val="sq-AL"/>
        </w:rPr>
        <w:t>b) në njësi monetare të huaja, duke i konvertuar ato në njësi monetare kombëtare, në përputhje me standardet kontabël përkatëse, kur kjo e fundit është monedha funksionale.</w:t>
      </w:r>
    </w:p>
    <w:p w:rsidR="00DF6666" w:rsidRPr="00993C76" w:rsidRDefault="00DF6666" w:rsidP="00DF6666">
      <w:pPr>
        <w:widowControl w:val="0"/>
        <w:spacing w:after="0" w:line="240" w:lineRule="auto"/>
        <w:rPr>
          <w:rFonts w:ascii="Garamond" w:hAnsi="Garamond"/>
          <w:sz w:val="24"/>
          <w:szCs w:val="24"/>
          <w:lang w:val="sq-AL"/>
        </w:rPr>
      </w:pPr>
      <w:r w:rsidRPr="00993C76">
        <w:rPr>
          <w:rFonts w:ascii="Garamond" w:hAnsi="Garamond"/>
          <w:sz w:val="24"/>
          <w:szCs w:val="24"/>
          <w:lang w:val="sq-AL"/>
        </w:rPr>
        <w:t>5. Pasqyrat financiare mund të paraqiten në shifra të rrumbullakosura, nëse nuk shkaktohet humbje e të dhënave, që kanë ndikim te përdoruesit e këtyre pasqyrave.</w:t>
      </w:r>
    </w:p>
    <w:p w:rsidR="00DF6666" w:rsidRPr="00993C76" w:rsidRDefault="00DF6666" w:rsidP="00DF6666">
      <w:pPr>
        <w:widowControl w:val="0"/>
        <w:tabs>
          <w:tab w:val="left" w:pos="1453"/>
        </w:tabs>
        <w:spacing w:after="0" w:line="240" w:lineRule="auto"/>
        <w:rPr>
          <w:rFonts w:ascii="Garamond" w:hAnsi="Garamond"/>
          <w:b/>
          <w:sz w:val="24"/>
          <w:szCs w:val="24"/>
          <w:lang w:val="sq-AL"/>
        </w:rPr>
      </w:pPr>
    </w:p>
    <w:p w:rsidR="00DF6666" w:rsidRPr="00993C76" w:rsidRDefault="00DF6666" w:rsidP="00DF6666">
      <w:pPr>
        <w:pStyle w:val="NeniNr"/>
        <w:keepNext w:val="0"/>
        <w:rPr>
          <w:szCs w:val="24"/>
          <w:lang w:val="sq-AL"/>
        </w:rPr>
      </w:pPr>
      <w:r w:rsidRPr="00993C76">
        <w:rPr>
          <w:szCs w:val="24"/>
          <w:lang w:val="sq-AL"/>
        </w:rPr>
        <w:t>KREU III</w:t>
      </w:r>
    </w:p>
    <w:p w:rsidR="00DF6666" w:rsidRPr="00993C76" w:rsidRDefault="00DF6666" w:rsidP="00DF6666">
      <w:pPr>
        <w:pStyle w:val="NeniNr"/>
        <w:keepNext w:val="0"/>
        <w:rPr>
          <w:szCs w:val="24"/>
          <w:lang w:val="sq-AL"/>
        </w:rPr>
      </w:pPr>
      <w:r w:rsidRPr="00993C76">
        <w:rPr>
          <w:szCs w:val="24"/>
          <w:lang w:val="sq-AL"/>
        </w:rPr>
        <w:t>PËRBËRËSIT E PASQYRAVE FINANCIARE</w:t>
      </w:r>
    </w:p>
    <w:p w:rsidR="00DF6666" w:rsidRPr="00993C76" w:rsidRDefault="00DF6666" w:rsidP="00DF6666">
      <w:pPr>
        <w:pStyle w:val="NeniNr"/>
        <w:keepNext w:val="0"/>
        <w:rPr>
          <w:szCs w:val="24"/>
          <w:lang w:val="sq-AL"/>
        </w:rPr>
      </w:pPr>
    </w:p>
    <w:p w:rsidR="00DF6666" w:rsidRPr="00993C76" w:rsidRDefault="00DF6666" w:rsidP="00DF6666">
      <w:pPr>
        <w:pStyle w:val="NeniNr"/>
        <w:keepNext w:val="0"/>
        <w:rPr>
          <w:szCs w:val="24"/>
          <w:lang w:val="sq-AL"/>
        </w:rPr>
      </w:pPr>
      <w:r w:rsidRPr="00993C76">
        <w:rPr>
          <w:szCs w:val="24"/>
          <w:lang w:val="sq-AL"/>
        </w:rPr>
        <w:t>Neni 11</w:t>
      </w:r>
    </w:p>
    <w:p w:rsidR="00DF6666" w:rsidRPr="00993C76" w:rsidRDefault="00DF6666" w:rsidP="00DF6666">
      <w:pPr>
        <w:pStyle w:val="NeniNr"/>
        <w:keepNext w:val="0"/>
        <w:rPr>
          <w:b/>
          <w:szCs w:val="24"/>
          <w:lang w:val="sq-AL"/>
        </w:rPr>
      </w:pPr>
      <w:r w:rsidRPr="00993C76">
        <w:rPr>
          <w:b/>
          <w:szCs w:val="24"/>
          <w:lang w:val="sq-AL"/>
        </w:rPr>
        <w:t>Qëllimi i pasqyrave financiare</w:t>
      </w:r>
    </w:p>
    <w:p w:rsidR="00C133D0" w:rsidRPr="00993C76" w:rsidRDefault="00C133D0" w:rsidP="00C133D0">
      <w:pPr>
        <w:widowControl w:val="0"/>
        <w:spacing w:after="0" w:line="240" w:lineRule="auto"/>
        <w:ind w:firstLine="720"/>
        <w:jc w:val="center"/>
        <w:rPr>
          <w:rFonts w:ascii="Garamond" w:eastAsia="Times New Roman" w:hAnsi="Garamond"/>
          <w:i/>
          <w:sz w:val="24"/>
          <w:szCs w:val="24"/>
        </w:rPr>
      </w:pPr>
      <w:r w:rsidRPr="00993C76">
        <w:rPr>
          <w:rFonts w:ascii="Garamond" w:eastAsia="Times New Roman" w:hAnsi="Garamond"/>
          <w:i/>
          <w:sz w:val="24"/>
          <w:szCs w:val="24"/>
        </w:rPr>
        <w:t>(Ndryshuar togfjal</w:t>
      </w:r>
      <w:r w:rsidR="00993C76">
        <w:rPr>
          <w:rFonts w:ascii="Garamond" w:eastAsia="Times New Roman" w:hAnsi="Garamond"/>
          <w:i/>
          <w:sz w:val="24"/>
          <w:szCs w:val="24"/>
        </w:rPr>
        <w:t>ë</w:t>
      </w:r>
      <w:r w:rsidRPr="00993C76">
        <w:rPr>
          <w:rFonts w:ascii="Garamond" w:eastAsia="Times New Roman" w:hAnsi="Garamond"/>
          <w:i/>
          <w:sz w:val="24"/>
          <w:szCs w:val="24"/>
        </w:rPr>
        <w:t>sh me ligjin nr. 87/2026, datë 16.7.2026)</w:t>
      </w:r>
    </w:p>
    <w:p w:rsidR="00DF6666" w:rsidRPr="00993C76" w:rsidRDefault="00DF6666" w:rsidP="00DF6666">
      <w:pPr>
        <w:widowControl w:val="0"/>
        <w:tabs>
          <w:tab w:val="left" w:pos="1453"/>
        </w:tabs>
        <w:spacing w:after="0" w:line="240" w:lineRule="auto"/>
        <w:jc w:val="center"/>
        <w:rPr>
          <w:rFonts w:ascii="Garamond" w:hAnsi="Garamond"/>
          <w:b/>
          <w:sz w:val="24"/>
          <w:szCs w:val="24"/>
          <w:lang w:val="sq-AL"/>
        </w:rPr>
      </w:pP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z w:val="24"/>
          <w:szCs w:val="24"/>
          <w:lang w:val="sq-AL"/>
        </w:rPr>
        <w:t xml:space="preserve">1. Pasqyrat financiare hartohen në mënyrë të qartë, në përputhje me këtë ligj dhe </w:t>
      </w:r>
      <w:r w:rsidR="00C133D0" w:rsidRPr="00993C76">
        <w:rPr>
          <w:rFonts w:ascii="Garamond" w:hAnsi="Garamond"/>
          <w:color w:val="000000" w:themeColor="text1"/>
          <w:sz w:val="24"/>
          <w:szCs w:val="24"/>
        </w:rPr>
        <w:t>standardet kontabël të raportimit financiar të zbatueshme</w:t>
      </w:r>
      <w:r w:rsidRPr="00993C76">
        <w:rPr>
          <w:rFonts w:ascii="Garamond" w:hAnsi="Garamond"/>
          <w:sz w:val="24"/>
          <w:szCs w:val="24"/>
          <w:lang w:val="sq-AL"/>
        </w:rPr>
        <w:t>, si dhe paraqesin me vërtetësi dhe besueshmëri pozicionin financiar, performancën financiare, ndryshimet në kapital/aktivet neto dhe flukset e mjeteve monetare</w:t>
      </w:r>
      <w:r w:rsidRPr="00993C76">
        <w:rPr>
          <w:rFonts w:ascii="Garamond" w:hAnsi="Garamond"/>
          <w:spacing w:val="-4"/>
          <w:sz w:val="24"/>
          <w:szCs w:val="24"/>
          <w:lang w:val="sq-AL"/>
        </w:rPr>
        <w:t xml:space="preserve"> të njësive ekonomike.</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2. Pasqyrat financiare në këtë ligj u referohen pasqyrave financiare individuale dhe pasqyrave financiare të konsoliduara.</w:t>
      </w:r>
    </w:p>
    <w:p w:rsidR="00DF6666" w:rsidRPr="00993C76" w:rsidRDefault="00DF6666" w:rsidP="00DF6666">
      <w:pPr>
        <w:widowControl w:val="0"/>
        <w:tabs>
          <w:tab w:val="left" w:pos="1453"/>
        </w:tabs>
        <w:spacing w:after="0" w:line="240" w:lineRule="auto"/>
        <w:rPr>
          <w:rFonts w:ascii="Garamond" w:hAnsi="Garamond"/>
          <w:spacing w:val="-4"/>
          <w:sz w:val="24"/>
          <w:szCs w:val="24"/>
          <w:lang w:val="sq-AL"/>
        </w:rPr>
      </w:pPr>
    </w:p>
    <w:p w:rsidR="00DF6666" w:rsidRPr="00993C76" w:rsidRDefault="00DF6666" w:rsidP="00DF6666">
      <w:pPr>
        <w:pStyle w:val="NeniNr"/>
        <w:keepNext w:val="0"/>
        <w:rPr>
          <w:spacing w:val="-4"/>
          <w:szCs w:val="24"/>
          <w:lang w:val="sq-AL"/>
        </w:rPr>
      </w:pPr>
      <w:r w:rsidRPr="00993C76">
        <w:rPr>
          <w:spacing w:val="-4"/>
          <w:szCs w:val="24"/>
          <w:lang w:val="sq-AL"/>
        </w:rPr>
        <w:t>Neni 12</w:t>
      </w:r>
    </w:p>
    <w:p w:rsidR="00DF6666" w:rsidRPr="00993C76" w:rsidRDefault="00DF6666" w:rsidP="00DF6666">
      <w:pPr>
        <w:pStyle w:val="NeniNr"/>
        <w:keepNext w:val="0"/>
        <w:rPr>
          <w:b/>
          <w:spacing w:val="-4"/>
          <w:szCs w:val="24"/>
          <w:lang w:val="sq-AL"/>
        </w:rPr>
      </w:pPr>
      <w:r w:rsidRPr="00993C76">
        <w:rPr>
          <w:b/>
          <w:spacing w:val="-4"/>
          <w:szCs w:val="24"/>
          <w:lang w:val="sq-AL"/>
        </w:rPr>
        <w:t>Pasqyrat financiare të konsoliduara</w:t>
      </w:r>
    </w:p>
    <w:p w:rsidR="00C133D0" w:rsidRPr="00993C76" w:rsidRDefault="00C133D0" w:rsidP="00C133D0">
      <w:pPr>
        <w:widowControl w:val="0"/>
        <w:spacing w:after="0" w:line="240" w:lineRule="auto"/>
        <w:ind w:firstLine="720"/>
        <w:jc w:val="center"/>
        <w:rPr>
          <w:rFonts w:ascii="Garamond" w:eastAsia="Times New Roman" w:hAnsi="Garamond"/>
          <w:i/>
          <w:sz w:val="24"/>
          <w:szCs w:val="24"/>
        </w:rPr>
      </w:pPr>
      <w:r w:rsidRPr="00993C76">
        <w:rPr>
          <w:rFonts w:ascii="Garamond" w:eastAsia="Times New Roman" w:hAnsi="Garamond"/>
          <w:i/>
          <w:sz w:val="24"/>
          <w:szCs w:val="24"/>
        </w:rPr>
        <w:t>(Ndryshuar togfjal</w:t>
      </w:r>
      <w:r w:rsidR="00993C76">
        <w:rPr>
          <w:rFonts w:ascii="Garamond" w:eastAsia="Times New Roman" w:hAnsi="Garamond"/>
          <w:i/>
          <w:sz w:val="24"/>
          <w:szCs w:val="24"/>
        </w:rPr>
        <w:t>ë</w:t>
      </w:r>
      <w:r w:rsidRPr="00993C76">
        <w:rPr>
          <w:rFonts w:ascii="Garamond" w:eastAsia="Times New Roman" w:hAnsi="Garamond"/>
          <w:i/>
          <w:sz w:val="24"/>
          <w:szCs w:val="24"/>
        </w:rPr>
        <w:t>sh n</w:t>
      </w:r>
      <w:r w:rsidR="00993C76">
        <w:rPr>
          <w:rFonts w:ascii="Garamond" w:eastAsia="Times New Roman" w:hAnsi="Garamond"/>
          <w:i/>
          <w:sz w:val="24"/>
          <w:szCs w:val="24"/>
        </w:rPr>
        <w:t>ë</w:t>
      </w:r>
      <w:r w:rsidRPr="00993C76">
        <w:rPr>
          <w:rFonts w:ascii="Garamond" w:eastAsia="Times New Roman" w:hAnsi="Garamond"/>
          <w:i/>
          <w:sz w:val="24"/>
          <w:szCs w:val="24"/>
        </w:rPr>
        <w:t xml:space="preserve"> pik</w:t>
      </w:r>
      <w:r w:rsidR="00993C76">
        <w:rPr>
          <w:rFonts w:ascii="Garamond" w:eastAsia="Times New Roman" w:hAnsi="Garamond"/>
          <w:i/>
          <w:sz w:val="24"/>
          <w:szCs w:val="24"/>
        </w:rPr>
        <w:t>ë</w:t>
      </w:r>
      <w:r w:rsidRPr="00993C76">
        <w:rPr>
          <w:rFonts w:ascii="Garamond" w:eastAsia="Times New Roman" w:hAnsi="Garamond"/>
          <w:i/>
          <w:sz w:val="24"/>
          <w:szCs w:val="24"/>
        </w:rPr>
        <w:t>n 2 dhe shtuar togfjal</w:t>
      </w:r>
      <w:r w:rsidR="00993C76">
        <w:rPr>
          <w:rFonts w:ascii="Garamond" w:eastAsia="Times New Roman" w:hAnsi="Garamond"/>
          <w:i/>
          <w:sz w:val="24"/>
          <w:szCs w:val="24"/>
        </w:rPr>
        <w:t>ë</w:t>
      </w:r>
      <w:r w:rsidRPr="00993C76">
        <w:rPr>
          <w:rFonts w:ascii="Garamond" w:eastAsia="Times New Roman" w:hAnsi="Garamond"/>
          <w:i/>
          <w:sz w:val="24"/>
          <w:szCs w:val="24"/>
        </w:rPr>
        <w:t>sh n</w:t>
      </w:r>
      <w:r w:rsidR="00993C76">
        <w:rPr>
          <w:rFonts w:ascii="Garamond" w:eastAsia="Times New Roman" w:hAnsi="Garamond"/>
          <w:i/>
          <w:sz w:val="24"/>
          <w:szCs w:val="24"/>
        </w:rPr>
        <w:t>ë</w:t>
      </w:r>
      <w:r w:rsidRPr="00993C76">
        <w:rPr>
          <w:rFonts w:ascii="Garamond" w:eastAsia="Times New Roman" w:hAnsi="Garamond"/>
          <w:i/>
          <w:sz w:val="24"/>
          <w:szCs w:val="24"/>
        </w:rPr>
        <w:t xml:space="preserve"> pik</w:t>
      </w:r>
      <w:r w:rsidR="00993C76">
        <w:rPr>
          <w:rFonts w:ascii="Garamond" w:eastAsia="Times New Roman" w:hAnsi="Garamond"/>
          <w:i/>
          <w:sz w:val="24"/>
          <w:szCs w:val="24"/>
        </w:rPr>
        <w:t>ë</w:t>
      </w:r>
      <w:r w:rsidRPr="00993C76">
        <w:rPr>
          <w:rFonts w:ascii="Garamond" w:eastAsia="Times New Roman" w:hAnsi="Garamond"/>
          <w:i/>
          <w:sz w:val="24"/>
          <w:szCs w:val="24"/>
        </w:rPr>
        <w:t>n 1 dhe pika 4 me ligjin nr. 87/2026, datë 16.7.2026)</w:t>
      </w:r>
    </w:p>
    <w:p w:rsidR="00DF6666" w:rsidRPr="00993C76" w:rsidRDefault="00DF6666" w:rsidP="00DF6666">
      <w:pPr>
        <w:widowControl w:val="0"/>
        <w:tabs>
          <w:tab w:val="left" w:pos="1453"/>
        </w:tabs>
        <w:spacing w:after="0" w:line="240" w:lineRule="auto"/>
        <w:jc w:val="center"/>
        <w:rPr>
          <w:rFonts w:ascii="Garamond" w:hAnsi="Garamond"/>
          <w:b/>
          <w:spacing w:val="-4"/>
          <w:sz w:val="24"/>
          <w:szCs w:val="24"/>
          <w:lang w:val="sq-AL"/>
        </w:rPr>
      </w:pPr>
    </w:p>
    <w:p w:rsidR="00DF6666" w:rsidRPr="00993C76" w:rsidRDefault="00DF6666" w:rsidP="00C133D0">
      <w:pPr>
        <w:spacing w:after="0" w:line="240" w:lineRule="auto"/>
        <w:rPr>
          <w:rFonts w:ascii="Garamond" w:hAnsi="Garamond"/>
          <w:spacing w:val="-4"/>
          <w:sz w:val="24"/>
          <w:szCs w:val="24"/>
          <w:lang w:val="sq-AL"/>
        </w:rPr>
      </w:pPr>
      <w:r w:rsidRPr="00993C76">
        <w:rPr>
          <w:rFonts w:ascii="Garamond" w:hAnsi="Garamond"/>
          <w:spacing w:val="-4"/>
          <w:sz w:val="24"/>
          <w:szCs w:val="24"/>
          <w:lang w:val="sq-AL"/>
        </w:rPr>
        <w:t>1. Grupet ekonomike, subjekt i këtij ligji, hartojnë pasqyra financiare të konsoliduara</w:t>
      </w:r>
      <w:r w:rsidR="00C133D0" w:rsidRPr="00993C76">
        <w:rPr>
          <w:rFonts w:ascii="Garamond" w:eastAsiaTheme="minorHAnsi" w:hAnsi="Garamond"/>
          <w:color w:val="000000" w:themeColor="text1"/>
          <w:sz w:val="24"/>
          <w:szCs w:val="24"/>
          <w:lang w:val="sq-AL"/>
        </w:rPr>
        <w:t xml:space="preserve"> sipas standardeve kontabël të raportimit financiar të zbatueshme.</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 xml:space="preserve">2. Grupet e vogla përjashtohen nga detyrimi për të hartuar pasqyra financiare të konsoliduara </w:t>
      </w:r>
      <w:r w:rsidR="00C133D0" w:rsidRPr="00993C76">
        <w:rPr>
          <w:rFonts w:ascii="Garamond" w:hAnsi="Garamond"/>
          <w:spacing w:val="-4"/>
          <w:sz w:val="24"/>
          <w:szCs w:val="24"/>
          <w:lang w:val="sq-AL"/>
        </w:rPr>
        <w:t xml:space="preserve">dhe </w:t>
      </w:r>
      <w:r w:rsidR="00C133D0" w:rsidRPr="00993C76">
        <w:rPr>
          <w:rFonts w:ascii="Garamond" w:hAnsi="Garamond"/>
          <w:color w:val="000000" w:themeColor="text1"/>
          <w:sz w:val="24"/>
          <w:szCs w:val="24"/>
        </w:rPr>
        <w:t>raport të konsoliduar të ecurisë së veprimtarisë</w:t>
      </w:r>
      <w:r w:rsidRPr="00993C76">
        <w:rPr>
          <w:rFonts w:ascii="Garamond" w:hAnsi="Garamond"/>
          <w:spacing w:val="-4"/>
          <w:sz w:val="24"/>
          <w:szCs w:val="24"/>
          <w:lang w:val="sq-AL"/>
        </w:rPr>
        <w:t>, përveç rastit kur ndonjë prej njësive të grupit është njësi ekonomike me interes publik.</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3. Njësia ekonomike mëmë dhe të gjitha njësitë e kontrolluara prej saj duhen përfshirë në konsolidim, pavarësisht se ku operojnë dhe ku i kanë selitë njësitë e kontrolluara.</w:t>
      </w:r>
    </w:p>
    <w:p w:rsidR="00C133D0" w:rsidRPr="00993C76" w:rsidRDefault="00C133D0" w:rsidP="00DF6666">
      <w:pPr>
        <w:widowControl w:val="0"/>
        <w:spacing w:after="0" w:line="240" w:lineRule="auto"/>
        <w:rPr>
          <w:rFonts w:ascii="Garamond" w:hAnsi="Garamond"/>
          <w:spacing w:val="-4"/>
          <w:sz w:val="24"/>
          <w:szCs w:val="24"/>
          <w:lang w:val="sq-AL"/>
        </w:rPr>
      </w:pPr>
    </w:p>
    <w:p w:rsidR="00C133D0" w:rsidRPr="00993C76" w:rsidRDefault="00C133D0" w:rsidP="00C133D0">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lastRenderedPageBreak/>
        <w:t>4. Përjashtimet nga detyrimi për hartimin e pasqyrave financiare të konsoliduara dhe të raportit të konsoliduar të ecurisë së veprimtarisë, të përcaktuara në këtë ligj, zbatohen për aq kohë sa nuk cenohen detyrimet e tjera të përcaktuara nga legjislacioni vendas në fuqi, kur:</w:t>
      </w:r>
    </w:p>
    <w:p w:rsidR="00C133D0" w:rsidRPr="00993C76" w:rsidRDefault="00C133D0" w:rsidP="00C133D0">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a) këto dokumente kërkohen për informimin e punëmarrësve ose të përfaqësuesve të tyre; ose</w:t>
      </w:r>
    </w:p>
    <w:p w:rsidR="00C133D0" w:rsidRPr="00993C76" w:rsidRDefault="00C133D0" w:rsidP="00C133D0">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b) këto dokumente kërkohen nga një autoritet administrativ ose gjyqësor për qëllimet e veta.</w:t>
      </w:r>
    </w:p>
    <w:p w:rsidR="00C133D0" w:rsidRPr="00993C76" w:rsidRDefault="00C133D0" w:rsidP="00C133D0">
      <w:pPr>
        <w:widowControl w:val="0"/>
        <w:spacing w:after="0" w:line="240" w:lineRule="auto"/>
        <w:ind w:firstLine="720"/>
        <w:jc w:val="center"/>
        <w:rPr>
          <w:rFonts w:ascii="Garamond" w:eastAsia="Times New Roman" w:hAnsi="Garamond"/>
          <w:i/>
          <w:sz w:val="24"/>
          <w:szCs w:val="24"/>
        </w:rPr>
      </w:pPr>
    </w:p>
    <w:p w:rsidR="00C133D0" w:rsidRPr="00993C76" w:rsidRDefault="00C133D0" w:rsidP="00C133D0">
      <w:pPr>
        <w:spacing w:after="0" w:line="240" w:lineRule="auto"/>
        <w:jc w:val="center"/>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Neni 12/1</w:t>
      </w:r>
    </w:p>
    <w:p w:rsidR="00C133D0" w:rsidRPr="00993C76" w:rsidRDefault="00C133D0" w:rsidP="00C133D0">
      <w:pPr>
        <w:spacing w:after="0" w:line="240" w:lineRule="auto"/>
        <w:jc w:val="center"/>
        <w:rPr>
          <w:rFonts w:ascii="Garamond" w:eastAsiaTheme="minorHAnsi" w:hAnsi="Garamond"/>
          <w:b/>
          <w:bCs/>
          <w:color w:val="000000" w:themeColor="text1"/>
          <w:sz w:val="24"/>
          <w:szCs w:val="24"/>
          <w:lang w:val="sq-AL"/>
        </w:rPr>
      </w:pPr>
      <w:r w:rsidRPr="00993C76">
        <w:rPr>
          <w:rFonts w:ascii="Garamond" w:eastAsiaTheme="minorHAnsi" w:hAnsi="Garamond"/>
          <w:b/>
          <w:bCs/>
          <w:color w:val="000000" w:themeColor="text1"/>
          <w:sz w:val="24"/>
          <w:szCs w:val="24"/>
          <w:lang w:val="sq-AL"/>
        </w:rPr>
        <w:t>Kërkesa për përgatitjen e pasqyrave financiare të konsoliduara</w:t>
      </w:r>
    </w:p>
    <w:p w:rsidR="00C133D0" w:rsidRPr="00993C76" w:rsidRDefault="00C133D0" w:rsidP="00C133D0">
      <w:pPr>
        <w:widowControl w:val="0"/>
        <w:spacing w:after="0" w:line="240" w:lineRule="auto"/>
        <w:ind w:firstLine="720"/>
        <w:jc w:val="center"/>
        <w:rPr>
          <w:rFonts w:ascii="Garamond" w:eastAsia="Times New Roman" w:hAnsi="Garamond"/>
          <w:i/>
          <w:sz w:val="24"/>
          <w:szCs w:val="24"/>
        </w:rPr>
      </w:pPr>
      <w:r w:rsidRPr="00993C76">
        <w:rPr>
          <w:rFonts w:ascii="Garamond" w:eastAsia="Times New Roman" w:hAnsi="Garamond"/>
          <w:i/>
          <w:sz w:val="24"/>
          <w:szCs w:val="24"/>
        </w:rPr>
        <w:t>(Shtuar me ligjin nr. 87/2026, datë 16.7.2026)</w:t>
      </w:r>
    </w:p>
    <w:p w:rsidR="00C133D0" w:rsidRPr="00993C76" w:rsidRDefault="00C133D0" w:rsidP="00C133D0">
      <w:pPr>
        <w:spacing w:after="0" w:line="240" w:lineRule="auto"/>
        <w:rPr>
          <w:rFonts w:ascii="Garamond" w:eastAsiaTheme="minorHAnsi" w:hAnsi="Garamond"/>
          <w:color w:val="000000" w:themeColor="text1"/>
          <w:sz w:val="24"/>
          <w:szCs w:val="24"/>
          <w:lang w:val="sq-AL"/>
        </w:rPr>
      </w:pPr>
    </w:p>
    <w:p w:rsidR="00C133D0" w:rsidRPr="00993C76" w:rsidRDefault="00C133D0" w:rsidP="00C133D0">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1. Çdo njësi ekonomike, përveç atyre të përjashtuara, sipas nenit 12 të këtij ligji, e rregulluar nga legjislacioni shqiptar, harton pasqyra financiare të konsoliduara dhe një raport të konsoliduar të ecurisë së veprimtarisë kur kjo njësi:</w:t>
      </w:r>
    </w:p>
    <w:p w:rsidR="00C133D0" w:rsidRPr="00993C76" w:rsidRDefault="00C133D0" w:rsidP="00C133D0">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a) zotëron shumicën e të drejtave të votës së aksionarëve ose anëtarëve të një njësie tjetër (njësi e kontrolluar);</w:t>
      </w:r>
    </w:p>
    <w:p w:rsidR="00C133D0" w:rsidRPr="00993C76" w:rsidRDefault="00C133D0" w:rsidP="00C133D0">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b) ka të drejtë të emërojë ose të largojë shumicën e anëtarëve të organeve ekzekutive, drejtuese ose mbikëqyrëse të një njësie tjetër (njësi e kontrolluar) dhe është në të njëjtën kohë aksionare ose anëtare në atë njësi;</w:t>
      </w:r>
    </w:p>
    <w:p w:rsidR="00C133D0" w:rsidRPr="00993C76" w:rsidRDefault="00C133D0" w:rsidP="00C133D0">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c) ka të drejtë të ushtrojë kontroll përmes një ndikimi dominues mbi një njësi të kontrolluar në të cilën është aksionare ose anëtare në bazë të një kontrate të lidhur me atë njësi ose të një dispozite në aktin e themelimit apo statutin e saj, kur legjislacioni i njësisë së kontrolluar e lejon një marrëdhënie të tillë;</w:t>
      </w:r>
    </w:p>
    <w:p w:rsidR="00C133D0" w:rsidRPr="00993C76" w:rsidRDefault="00C133D0" w:rsidP="00C133D0">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ç) është aksionare ose anëtare e një njësie tjetër dhe:</w:t>
      </w:r>
    </w:p>
    <w:p w:rsidR="00C133D0" w:rsidRPr="00993C76" w:rsidRDefault="00C133D0" w:rsidP="00C133D0">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i. shumica e anëtarëve të organeve ekzekutive, drejtuese ose mbikëqyrëse të asaj njësie, të cilët kanë ushtruar funksionin e tyre gjatë vitit financiar, gjatë vitit financiar të mëparshëm dhe deri në kohën e hartimit të pasqyrave financiare të konsoliduara, janë emëruar vetëm si rezultat i ushtrimit të të drejtave të saj të votës; ose</w:t>
      </w:r>
    </w:p>
    <w:p w:rsidR="00C133D0" w:rsidRPr="00993C76" w:rsidRDefault="00C133D0" w:rsidP="00C133D0">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ii. kontrollon e vetme shumicën e të drejtave të votës së aksionarëve ose anëtarëve të asaj njësie, në përputhje me një marrëveshje me aksionarët ose anëtarët e tjerë të asaj njësie.</w:t>
      </w:r>
    </w:p>
    <w:p w:rsidR="00C133D0" w:rsidRPr="00993C76" w:rsidRDefault="00C133D0" w:rsidP="00C133D0">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Nënndarja “i” e shkronjës “ç” të kësaj pike nuk zbatohet kur të drejtat e përcaktuara në shkronjat “a”, “b” ose “c” të kësaj pike, në lidhje me atë njësi, zotërohen nga një palë e tretë.</w:t>
      </w:r>
    </w:p>
    <w:p w:rsidR="00C133D0" w:rsidRPr="00993C76" w:rsidRDefault="00C133D0" w:rsidP="00C133D0">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2. Përveç rasteve të përcaktuara në pikën 1 të këtij neni, njësia ekonomike harton pasqyra financiare të konsoliduara dhe një raport të konsoliduar të ecurisë së veprimtarisë edhe kur:</w:t>
      </w:r>
    </w:p>
    <w:p w:rsidR="00C133D0" w:rsidRPr="00993C76" w:rsidRDefault="00C133D0" w:rsidP="00C133D0">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a) kjo njësi ekonomike (mëma) ka kompetencën të ushtrojë ose ushtron faktikisht kontroll, përmes një ndikimi dominues, mbi një njësi tjetër (njësi e kontrolluar); ose</w:t>
      </w:r>
    </w:p>
    <w:p w:rsidR="00C133D0" w:rsidRPr="00993C76" w:rsidRDefault="00C133D0" w:rsidP="00C133D0">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b) kjo njësi ekonomike (mëma) dhe një njësi ekonomike tjetër (njësi e kontrolluar) drejtohen në mënyrë të unifikuar nga kjo njësi ekonomike mëmë.</w:t>
      </w:r>
    </w:p>
    <w:p w:rsidR="00C133D0" w:rsidRPr="00993C76" w:rsidRDefault="00C133D0" w:rsidP="00C133D0">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3. Për qëllimet e shkronjave “a”, “b” dhe “ç” të pikës 1 të këtij neni, të drejtat e votës dhe të drejtat e emërimit apo largimit që zotërohen nga një njësi e kontrolluar tjetër ose nga çdo person që vepron në emër të vet, por për llogari të njësisë mëmë ose të një njësie tjetër të kontrolluar, u shtohen të drejtave të njësisë mëmë.</w:t>
      </w:r>
    </w:p>
    <w:p w:rsidR="00C133D0" w:rsidRPr="00993C76" w:rsidRDefault="00C133D0" w:rsidP="00C133D0">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4. Për qëllimet e shkronjave “a”, “b” dhe “ç” të pikës 1 të këtij neni, të drejtat e parashikuara në pikën 3 të këtij neni nuk zbatohen kur ato burojnë nga:</w:t>
      </w:r>
    </w:p>
    <w:p w:rsidR="00C133D0" w:rsidRPr="00993C76" w:rsidRDefault="00C133D0" w:rsidP="00C133D0">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a) aksione të mbajtura për llogari të një personi që nuk është as njësi mëmë, as njësi e kontrolluar e saj; ose</w:t>
      </w:r>
    </w:p>
    <w:p w:rsidR="00C133D0" w:rsidRPr="00993C76" w:rsidRDefault="00C133D0" w:rsidP="00C133D0">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b) aksione, të cilat:</w:t>
      </w:r>
    </w:p>
    <w:p w:rsidR="00C133D0" w:rsidRPr="00993C76" w:rsidRDefault="00C133D0" w:rsidP="00C133D0">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i. mbahen si kolateral, nëse të drejtat ushtrohen sipas udhëzimeve të dhëna; ose</w:t>
      </w:r>
    </w:p>
    <w:p w:rsidR="00C133D0" w:rsidRPr="00993C76" w:rsidRDefault="00C133D0" w:rsidP="00C133D0">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ii. mbahen për dhënien e huave, si pjesë e veprimtarisë së zakonshme të biznesit, nëse të drejtat e votës ushtrohen në interes të personit që ka siguruar kolateralin.</w:t>
      </w:r>
    </w:p>
    <w:p w:rsidR="00C133D0" w:rsidRPr="00993C76" w:rsidRDefault="00C133D0" w:rsidP="00C133D0">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5. Për qëllimet e shkronjave “a” dhe “ç” të pikës 1 të këtij neni, totali i të drejtave të votës së aksionarëve ose anëtarëve në njësinë e kontrolluar reduktohet duke përjashtuar të drejtat e votës që burojnë nga aksionet e mbajtura nga vetë ajo njësi, nga njësitë e saj të kontrolluara ose nga persona që veprojnë në emër të vet, por për llogari të tyre.</w:t>
      </w:r>
    </w:p>
    <w:p w:rsidR="00C133D0" w:rsidRPr="00993C76" w:rsidRDefault="00C133D0" w:rsidP="00C133D0">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6. Rregullat e hollësishme për vlerësimin, paraqitjen dhe metodat e konsolidimit përcaktohen nga standardet kontabël të zbatueshme të raportimit financiar.</w:t>
      </w:r>
    </w:p>
    <w:p w:rsidR="00C133D0" w:rsidRPr="00993C76" w:rsidRDefault="00C133D0" w:rsidP="00C133D0">
      <w:pPr>
        <w:spacing w:after="0" w:line="240" w:lineRule="auto"/>
        <w:rPr>
          <w:rFonts w:ascii="Garamond" w:eastAsiaTheme="minorHAnsi" w:hAnsi="Garamond"/>
          <w:color w:val="000000" w:themeColor="text1"/>
          <w:sz w:val="24"/>
          <w:szCs w:val="24"/>
          <w:lang w:val="sq-AL"/>
        </w:rPr>
      </w:pPr>
    </w:p>
    <w:p w:rsidR="00C133D0" w:rsidRPr="00993C76" w:rsidRDefault="00C133D0" w:rsidP="00C133D0">
      <w:pPr>
        <w:spacing w:after="0" w:line="240" w:lineRule="auto"/>
        <w:jc w:val="center"/>
        <w:rPr>
          <w:rFonts w:ascii="Garamond" w:eastAsiaTheme="minorHAnsi" w:hAnsi="Garamond"/>
          <w:color w:val="000000" w:themeColor="text1"/>
          <w:sz w:val="24"/>
          <w:szCs w:val="24"/>
          <w:lang w:val="sq-AL"/>
        </w:rPr>
      </w:pPr>
    </w:p>
    <w:p w:rsidR="00C133D0" w:rsidRPr="00993C76" w:rsidRDefault="00C133D0" w:rsidP="00DF6666">
      <w:pPr>
        <w:pStyle w:val="NeniNr"/>
        <w:keepNext w:val="0"/>
        <w:rPr>
          <w:spacing w:val="-4"/>
          <w:szCs w:val="24"/>
          <w:lang w:val="sq-AL"/>
        </w:rPr>
      </w:pPr>
    </w:p>
    <w:p w:rsidR="00DF6666" w:rsidRPr="00993C76" w:rsidRDefault="00DF6666" w:rsidP="00DF6666">
      <w:pPr>
        <w:pStyle w:val="NeniNr"/>
        <w:keepNext w:val="0"/>
        <w:rPr>
          <w:spacing w:val="-4"/>
          <w:szCs w:val="24"/>
          <w:lang w:val="sq-AL"/>
        </w:rPr>
      </w:pPr>
      <w:r w:rsidRPr="00993C76">
        <w:rPr>
          <w:spacing w:val="-4"/>
          <w:szCs w:val="24"/>
          <w:lang w:val="sq-AL"/>
        </w:rPr>
        <w:lastRenderedPageBreak/>
        <w:t>Neni 13</w:t>
      </w:r>
    </w:p>
    <w:p w:rsidR="00DF6666" w:rsidRPr="00993C76" w:rsidRDefault="00DF6666" w:rsidP="00DF6666">
      <w:pPr>
        <w:pStyle w:val="NeniNr"/>
        <w:keepNext w:val="0"/>
        <w:rPr>
          <w:b/>
          <w:spacing w:val="-4"/>
          <w:szCs w:val="24"/>
          <w:lang w:val="sq-AL"/>
        </w:rPr>
      </w:pPr>
      <w:r w:rsidRPr="00993C76">
        <w:rPr>
          <w:b/>
          <w:spacing w:val="-4"/>
          <w:szCs w:val="24"/>
          <w:lang w:val="sq-AL"/>
        </w:rPr>
        <w:t>Përbërësit e pasqyrave financiare</w:t>
      </w:r>
    </w:p>
    <w:p w:rsidR="00570251" w:rsidRPr="00993C76" w:rsidRDefault="00570251" w:rsidP="00570251">
      <w:pPr>
        <w:widowControl w:val="0"/>
        <w:spacing w:after="0" w:line="240" w:lineRule="auto"/>
        <w:ind w:firstLine="720"/>
        <w:jc w:val="center"/>
        <w:rPr>
          <w:rFonts w:ascii="Garamond" w:eastAsia="Times New Roman" w:hAnsi="Garamond"/>
          <w:i/>
          <w:sz w:val="24"/>
          <w:szCs w:val="24"/>
        </w:rPr>
      </w:pPr>
      <w:r w:rsidRPr="00993C76">
        <w:rPr>
          <w:rFonts w:ascii="Garamond" w:eastAsia="Times New Roman" w:hAnsi="Garamond"/>
          <w:i/>
          <w:sz w:val="24"/>
          <w:szCs w:val="24"/>
        </w:rPr>
        <w:t>(Ndryshuar togfjal</w:t>
      </w:r>
      <w:r w:rsidR="00993C76">
        <w:rPr>
          <w:rFonts w:ascii="Garamond" w:eastAsia="Times New Roman" w:hAnsi="Garamond"/>
          <w:i/>
          <w:sz w:val="24"/>
          <w:szCs w:val="24"/>
        </w:rPr>
        <w:t>ë</w:t>
      </w:r>
      <w:r w:rsidRPr="00993C76">
        <w:rPr>
          <w:rFonts w:ascii="Garamond" w:eastAsia="Times New Roman" w:hAnsi="Garamond"/>
          <w:i/>
          <w:sz w:val="24"/>
          <w:szCs w:val="24"/>
        </w:rPr>
        <w:t>sh n</w:t>
      </w:r>
      <w:r w:rsidR="00993C76">
        <w:rPr>
          <w:rFonts w:ascii="Garamond" w:eastAsia="Times New Roman" w:hAnsi="Garamond"/>
          <w:i/>
          <w:sz w:val="24"/>
          <w:szCs w:val="24"/>
        </w:rPr>
        <w:t>ë</w:t>
      </w:r>
      <w:r w:rsidRPr="00993C76">
        <w:rPr>
          <w:rFonts w:ascii="Garamond" w:eastAsia="Times New Roman" w:hAnsi="Garamond"/>
          <w:i/>
          <w:sz w:val="24"/>
          <w:szCs w:val="24"/>
        </w:rPr>
        <w:t xml:space="preserve"> pik</w:t>
      </w:r>
      <w:r w:rsidR="00993C76">
        <w:rPr>
          <w:rFonts w:ascii="Garamond" w:eastAsia="Times New Roman" w:hAnsi="Garamond"/>
          <w:i/>
          <w:sz w:val="24"/>
          <w:szCs w:val="24"/>
        </w:rPr>
        <w:t>ë</w:t>
      </w:r>
      <w:r w:rsidRPr="00993C76">
        <w:rPr>
          <w:rFonts w:ascii="Garamond" w:eastAsia="Times New Roman" w:hAnsi="Garamond"/>
          <w:i/>
          <w:sz w:val="24"/>
          <w:szCs w:val="24"/>
        </w:rPr>
        <w:t>n 1 me ligjin nr. 87/2026, datë 16.7.2026)</w:t>
      </w:r>
    </w:p>
    <w:p w:rsidR="00DF6666" w:rsidRPr="00993C76" w:rsidRDefault="00DF6666" w:rsidP="00DF6666">
      <w:pPr>
        <w:widowControl w:val="0"/>
        <w:tabs>
          <w:tab w:val="left" w:pos="1453"/>
        </w:tabs>
        <w:spacing w:after="0" w:line="240" w:lineRule="auto"/>
        <w:jc w:val="center"/>
        <w:rPr>
          <w:rFonts w:ascii="Garamond" w:hAnsi="Garamond"/>
          <w:b/>
          <w:spacing w:val="-4"/>
          <w:sz w:val="24"/>
          <w:szCs w:val="24"/>
          <w:lang w:val="sq-AL"/>
        </w:rPr>
      </w:pP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 xml:space="preserve">1. Pasqyrat financiare vjetore, përveç rasteve që parashikohen në mënyrë specifike nga Standardet Kombëtare të Kontabilitetit apo </w:t>
      </w:r>
      <w:r w:rsidR="00570251" w:rsidRPr="00993C76">
        <w:rPr>
          <w:rFonts w:ascii="Garamond" w:hAnsi="Garamond"/>
          <w:color w:val="000000" w:themeColor="text1"/>
          <w:sz w:val="24"/>
          <w:szCs w:val="24"/>
        </w:rPr>
        <w:t>standardet kontabël ndërkombëtare të raportimit financiar</w:t>
      </w:r>
      <w:r w:rsidRPr="00993C76">
        <w:rPr>
          <w:rFonts w:ascii="Garamond" w:hAnsi="Garamond"/>
          <w:spacing w:val="-4"/>
          <w:sz w:val="24"/>
          <w:szCs w:val="24"/>
          <w:lang w:val="sq-AL"/>
        </w:rPr>
        <w:t>, minimalisht duhet të përmbajnë:</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a) pasqyrën e pozicionit financiar;</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b) pasqyrën e performancës (pasqyrën e të ardhurave dhe të shpenzimeve);</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c) shënimet e pasqyrave financiare.</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2. Njësitë ekonomike të mesme, të mëdha dhe ato me interes publik, përveç sa parashikohet në pikën 1, të këtij neni, hartojnë edhe pasqyrat, si më poshtë:</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a) pasqyrën e të ardhurave gjithëpërfshirëse;</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b) pasqyrën e flukseve të mjeteve monetare;</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c) pasqyrën e ndryshimeve në kapitalet e veta.</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3. Mikronjësitë, ndryshe nga sa parashikohet në pikat 1 dhe 2, të këtij neni, duhet të hartojnë:</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a) një pasqyrë të shkurtuar të pozicionit financiar;</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b) një pasqyrë të shkurtuar të performancës (pasqyrën e të ardhurave dhe të shpenzimeve);</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c) shënime të shkurtuara të pasqyrave financiare.</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4. Rregullat për mikronjësitë, sipas pikës 3, të këtij neni, nuk zbatohen kundrejt njësive ekonomike të investimeve ose njësive ekonomike financiare tip “</w:t>
      </w:r>
      <w:r w:rsidRPr="00993C76">
        <w:rPr>
          <w:rFonts w:ascii="Garamond" w:hAnsi="Garamond"/>
          <w:i/>
          <w:spacing w:val="-4"/>
          <w:sz w:val="24"/>
          <w:szCs w:val="24"/>
          <w:lang w:val="sq-AL"/>
        </w:rPr>
        <w:t>holding</w:t>
      </w:r>
      <w:r w:rsidRPr="00993C76">
        <w:rPr>
          <w:rFonts w:ascii="Garamond" w:hAnsi="Garamond"/>
          <w:spacing w:val="-4"/>
          <w:sz w:val="24"/>
          <w:szCs w:val="24"/>
          <w:lang w:val="sq-AL"/>
        </w:rPr>
        <w:t>”.</w:t>
      </w:r>
    </w:p>
    <w:p w:rsidR="00DF6666" w:rsidRPr="00993C76" w:rsidRDefault="00DF6666" w:rsidP="00DF6666">
      <w:pPr>
        <w:widowControl w:val="0"/>
        <w:spacing w:after="0" w:line="240" w:lineRule="auto"/>
        <w:rPr>
          <w:rFonts w:ascii="Garamond" w:hAnsi="Garamond"/>
          <w:sz w:val="24"/>
          <w:szCs w:val="24"/>
          <w:lang w:val="sq-AL"/>
        </w:rPr>
      </w:pPr>
      <w:r w:rsidRPr="00993C76">
        <w:rPr>
          <w:rFonts w:ascii="Garamond" w:hAnsi="Garamond"/>
          <w:sz w:val="24"/>
          <w:szCs w:val="24"/>
          <w:lang w:val="sq-AL"/>
        </w:rPr>
        <w:t>5. Njësitë ekonomike jofitimprurëse (OJF) hartojnë pasqyrat financiare si më poshtë:</w:t>
      </w:r>
    </w:p>
    <w:p w:rsidR="00DF6666" w:rsidRPr="00993C76" w:rsidRDefault="00DF6666" w:rsidP="00DF6666">
      <w:pPr>
        <w:widowControl w:val="0"/>
        <w:spacing w:after="0" w:line="240" w:lineRule="auto"/>
        <w:rPr>
          <w:rFonts w:ascii="Garamond" w:hAnsi="Garamond"/>
          <w:sz w:val="24"/>
          <w:szCs w:val="24"/>
          <w:lang w:val="sq-AL"/>
        </w:rPr>
      </w:pPr>
      <w:r w:rsidRPr="00993C76">
        <w:rPr>
          <w:rFonts w:ascii="Garamond" w:hAnsi="Garamond"/>
          <w:sz w:val="24"/>
          <w:szCs w:val="24"/>
          <w:lang w:val="sq-AL"/>
        </w:rPr>
        <w:t>a) pasqyrën e pozicionit financiar;</w:t>
      </w:r>
    </w:p>
    <w:p w:rsidR="00DF6666" w:rsidRPr="00993C76" w:rsidRDefault="00DF6666" w:rsidP="00DF6666">
      <w:pPr>
        <w:widowControl w:val="0"/>
        <w:spacing w:after="0" w:line="240" w:lineRule="auto"/>
        <w:rPr>
          <w:rFonts w:ascii="Garamond" w:hAnsi="Garamond"/>
          <w:sz w:val="24"/>
          <w:szCs w:val="24"/>
          <w:lang w:val="sq-AL"/>
        </w:rPr>
      </w:pPr>
      <w:r w:rsidRPr="00993C76">
        <w:rPr>
          <w:rFonts w:ascii="Garamond" w:hAnsi="Garamond"/>
          <w:sz w:val="24"/>
          <w:szCs w:val="24"/>
          <w:lang w:val="sq-AL"/>
        </w:rPr>
        <w:t>b) pasqyrën e aktiviteteve;</w:t>
      </w:r>
    </w:p>
    <w:p w:rsidR="00DF6666" w:rsidRPr="00993C76" w:rsidRDefault="00DF6666" w:rsidP="00DF6666">
      <w:pPr>
        <w:widowControl w:val="0"/>
        <w:spacing w:after="0" w:line="240" w:lineRule="auto"/>
        <w:rPr>
          <w:rFonts w:ascii="Garamond" w:hAnsi="Garamond"/>
          <w:sz w:val="24"/>
          <w:szCs w:val="24"/>
          <w:lang w:val="sq-AL"/>
        </w:rPr>
      </w:pPr>
      <w:r w:rsidRPr="00993C76">
        <w:rPr>
          <w:rFonts w:ascii="Garamond" w:hAnsi="Garamond"/>
          <w:sz w:val="24"/>
          <w:szCs w:val="24"/>
          <w:lang w:val="sq-AL"/>
        </w:rPr>
        <w:t>c) pasqyrën e fluksit të mjeteve monetare;</w:t>
      </w:r>
    </w:p>
    <w:p w:rsidR="00DF6666" w:rsidRPr="00993C76" w:rsidRDefault="00DF6666" w:rsidP="00DF6666">
      <w:pPr>
        <w:widowControl w:val="0"/>
        <w:spacing w:after="0" w:line="240" w:lineRule="auto"/>
        <w:jc w:val="left"/>
        <w:rPr>
          <w:rFonts w:ascii="Garamond" w:hAnsi="Garamond"/>
          <w:sz w:val="24"/>
          <w:szCs w:val="24"/>
          <w:lang w:val="sq-AL"/>
        </w:rPr>
      </w:pPr>
      <w:r w:rsidRPr="00993C76">
        <w:rPr>
          <w:rFonts w:ascii="Garamond" w:hAnsi="Garamond"/>
          <w:sz w:val="24"/>
          <w:szCs w:val="24"/>
          <w:lang w:val="sq-AL"/>
        </w:rPr>
        <w:t>ç) shënimet shpjeguese.</w:t>
      </w:r>
    </w:p>
    <w:p w:rsidR="00DF6666" w:rsidRPr="00993C76" w:rsidRDefault="00DF6666" w:rsidP="00DF6666">
      <w:pPr>
        <w:widowControl w:val="0"/>
        <w:tabs>
          <w:tab w:val="left" w:pos="1453"/>
        </w:tabs>
        <w:spacing w:after="0" w:line="240" w:lineRule="auto"/>
        <w:jc w:val="left"/>
        <w:rPr>
          <w:rFonts w:ascii="Garamond" w:hAnsi="Garamond"/>
          <w:sz w:val="24"/>
          <w:szCs w:val="24"/>
          <w:lang w:val="sq-AL"/>
        </w:rPr>
      </w:pPr>
    </w:p>
    <w:p w:rsidR="00DF6666" w:rsidRPr="00993C76" w:rsidRDefault="00DF6666" w:rsidP="00DF6666">
      <w:pPr>
        <w:pStyle w:val="NeniNr"/>
        <w:keepNext w:val="0"/>
        <w:rPr>
          <w:szCs w:val="24"/>
          <w:lang w:val="sq-AL"/>
        </w:rPr>
      </w:pPr>
      <w:r w:rsidRPr="00993C76">
        <w:rPr>
          <w:szCs w:val="24"/>
          <w:lang w:val="sq-AL"/>
        </w:rPr>
        <w:t>Neni 14</w:t>
      </w:r>
    </w:p>
    <w:p w:rsidR="00DF6666" w:rsidRPr="00993C76" w:rsidRDefault="00DF6666" w:rsidP="00DF6666">
      <w:pPr>
        <w:pStyle w:val="NeniNr"/>
        <w:keepNext w:val="0"/>
        <w:rPr>
          <w:b/>
          <w:szCs w:val="24"/>
          <w:lang w:val="sq-AL"/>
        </w:rPr>
      </w:pPr>
      <w:r w:rsidRPr="00993C76">
        <w:rPr>
          <w:b/>
          <w:szCs w:val="24"/>
          <w:lang w:val="sq-AL"/>
        </w:rPr>
        <w:t xml:space="preserve">Rregullime të veçanta për pasqyrën e pozicionit financiar </w:t>
      </w:r>
    </w:p>
    <w:p w:rsidR="00DF6666" w:rsidRPr="00993C76" w:rsidRDefault="00DF6666" w:rsidP="00DF6666">
      <w:pPr>
        <w:widowControl w:val="0"/>
        <w:tabs>
          <w:tab w:val="left" w:pos="1453"/>
        </w:tabs>
        <w:spacing w:after="0" w:line="240" w:lineRule="auto"/>
        <w:jc w:val="center"/>
        <w:rPr>
          <w:rFonts w:ascii="Garamond" w:hAnsi="Garamond"/>
          <w:b/>
          <w:sz w:val="24"/>
          <w:szCs w:val="24"/>
          <w:lang w:val="sq-AL"/>
        </w:rPr>
      </w:pPr>
    </w:p>
    <w:p w:rsidR="00DF6666" w:rsidRPr="00993C76" w:rsidRDefault="00DF6666" w:rsidP="00DF6666">
      <w:pPr>
        <w:widowControl w:val="0"/>
        <w:spacing w:after="0" w:line="240" w:lineRule="auto"/>
        <w:rPr>
          <w:rFonts w:ascii="Garamond" w:hAnsi="Garamond"/>
          <w:sz w:val="24"/>
          <w:szCs w:val="24"/>
          <w:lang w:val="sq-AL"/>
        </w:rPr>
      </w:pPr>
      <w:r w:rsidRPr="00993C76">
        <w:rPr>
          <w:rFonts w:ascii="Garamond" w:hAnsi="Garamond"/>
          <w:sz w:val="24"/>
          <w:szCs w:val="24"/>
          <w:lang w:val="sq-AL"/>
        </w:rPr>
        <w:t>1. Kur lejohet që kostot e zhvillimit të përfshihen tek “Aktivet” dhe vlera e tyre nuk është amortizuar plotësisht, nuk lejohet shpërndarja e fitimit, nëse totali i rezervave dhe fitimit të pashpërndarë nuk është të paktën i barabartë me vlerën e paamortizuar të kostove të zhvillimit.</w:t>
      </w:r>
    </w:p>
    <w:p w:rsidR="00DF6666" w:rsidRPr="00993C76" w:rsidRDefault="00DF6666" w:rsidP="00DF6666">
      <w:pPr>
        <w:widowControl w:val="0"/>
        <w:spacing w:after="0" w:line="240" w:lineRule="auto"/>
        <w:rPr>
          <w:rFonts w:ascii="Garamond" w:hAnsi="Garamond"/>
          <w:sz w:val="24"/>
          <w:szCs w:val="24"/>
          <w:lang w:val="sq-AL"/>
        </w:rPr>
      </w:pPr>
      <w:r w:rsidRPr="00993C76">
        <w:rPr>
          <w:rFonts w:ascii="Garamond" w:hAnsi="Garamond"/>
          <w:sz w:val="24"/>
          <w:szCs w:val="24"/>
          <w:lang w:val="sq-AL"/>
        </w:rPr>
        <w:t>2. Kur fitimi i siguruar nga interesi në pjesëmarrje, njohur në pasqyrën e performancës, tejkalon shumën e dividendit të arkëtuar apo për t’u arkëtuar, diferenca që vendoset në rezerva, nuk u shpërndahet aksionarëve.</w:t>
      </w:r>
    </w:p>
    <w:p w:rsidR="00DF6666" w:rsidRPr="00993C76" w:rsidRDefault="00DF6666" w:rsidP="00DF6666">
      <w:pPr>
        <w:widowControl w:val="0"/>
        <w:tabs>
          <w:tab w:val="left" w:pos="1453"/>
        </w:tabs>
        <w:spacing w:after="0" w:line="240" w:lineRule="auto"/>
        <w:rPr>
          <w:rFonts w:ascii="Garamond" w:hAnsi="Garamond"/>
          <w:sz w:val="24"/>
          <w:szCs w:val="24"/>
          <w:lang w:val="sq-AL"/>
        </w:rPr>
      </w:pPr>
    </w:p>
    <w:p w:rsidR="00DF6666" w:rsidRPr="00993C76" w:rsidRDefault="00DF6666" w:rsidP="00DF6666">
      <w:pPr>
        <w:pStyle w:val="NeniNr"/>
        <w:keepNext w:val="0"/>
        <w:rPr>
          <w:szCs w:val="24"/>
          <w:lang w:val="sq-AL"/>
        </w:rPr>
      </w:pPr>
      <w:r w:rsidRPr="00993C76">
        <w:rPr>
          <w:szCs w:val="24"/>
          <w:lang w:val="sq-AL"/>
        </w:rPr>
        <w:t>Neni 15</w:t>
      </w:r>
    </w:p>
    <w:p w:rsidR="00DF6666" w:rsidRPr="00993C76" w:rsidRDefault="00DF6666" w:rsidP="00DF6666">
      <w:pPr>
        <w:pStyle w:val="NeniNr"/>
        <w:keepNext w:val="0"/>
        <w:rPr>
          <w:b/>
          <w:szCs w:val="24"/>
          <w:lang w:val="sq-AL"/>
        </w:rPr>
      </w:pPr>
      <w:r w:rsidRPr="00993C76">
        <w:rPr>
          <w:b/>
          <w:szCs w:val="24"/>
          <w:lang w:val="sq-AL"/>
        </w:rPr>
        <w:t>Inventari i aktiveve dhe detyrimeve</w:t>
      </w:r>
    </w:p>
    <w:p w:rsidR="00570251" w:rsidRPr="00993C76" w:rsidRDefault="00570251" w:rsidP="00570251">
      <w:pPr>
        <w:widowControl w:val="0"/>
        <w:spacing w:after="0" w:line="240" w:lineRule="auto"/>
        <w:ind w:firstLine="720"/>
        <w:jc w:val="center"/>
        <w:rPr>
          <w:rFonts w:ascii="Garamond" w:eastAsia="Times New Roman" w:hAnsi="Garamond"/>
          <w:i/>
          <w:sz w:val="24"/>
          <w:szCs w:val="24"/>
        </w:rPr>
      </w:pPr>
      <w:r w:rsidRPr="00993C76">
        <w:rPr>
          <w:rFonts w:ascii="Garamond" w:eastAsia="Times New Roman" w:hAnsi="Garamond"/>
          <w:i/>
          <w:sz w:val="24"/>
          <w:szCs w:val="24"/>
        </w:rPr>
        <w:t>(Ndryshuar pika 1 me ligjin nr. 87/2026, datë 16.7.2026)</w:t>
      </w:r>
    </w:p>
    <w:p w:rsidR="00DF6666" w:rsidRPr="00993C76" w:rsidRDefault="00DF6666" w:rsidP="00DF6666">
      <w:pPr>
        <w:widowControl w:val="0"/>
        <w:tabs>
          <w:tab w:val="left" w:pos="1453"/>
        </w:tabs>
        <w:spacing w:after="0" w:line="240" w:lineRule="auto"/>
        <w:jc w:val="center"/>
        <w:rPr>
          <w:rFonts w:ascii="Garamond" w:hAnsi="Garamond"/>
          <w:b/>
          <w:sz w:val="24"/>
          <w:szCs w:val="24"/>
          <w:lang w:val="sq-AL"/>
        </w:rPr>
      </w:pPr>
    </w:p>
    <w:p w:rsidR="00570251" w:rsidRPr="00993C76" w:rsidRDefault="00DF6666" w:rsidP="00570251">
      <w:pPr>
        <w:spacing w:after="0" w:line="240" w:lineRule="auto"/>
        <w:rPr>
          <w:rFonts w:ascii="Garamond" w:eastAsiaTheme="minorHAnsi" w:hAnsi="Garamond"/>
          <w:color w:val="000000" w:themeColor="text1"/>
          <w:sz w:val="24"/>
          <w:szCs w:val="24"/>
          <w:lang w:val="sq-AL"/>
        </w:rPr>
      </w:pPr>
      <w:r w:rsidRPr="00993C76">
        <w:rPr>
          <w:rFonts w:ascii="Garamond" w:hAnsi="Garamond"/>
          <w:sz w:val="24"/>
          <w:szCs w:val="24"/>
          <w:lang w:val="sq-AL"/>
        </w:rPr>
        <w:t xml:space="preserve">1. </w:t>
      </w:r>
      <w:r w:rsidR="00570251" w:rsidRPr="00993C76">
        <w:rPr>
          <w:rFonts w:ascii="Garamond" w:eastAsiaTheme="minorHAnsi" w:hAnsi="Garamond"/>
          <w:color w:val="000000" w:themeColor="text1"/>
          <w:sz w:val="24"/>
          <w:szCs w:val="24"/>
          <w:lang w:val="sq-AL"/>
        </w:rPr>
        <w:t>Njësitë ekonomike, subjekt i këtij ligji, duhet të kontrollojnë, të paktën një herë gjatë periudhës raportuese, ekzistencën dhe vlerësimin e aktiveve, të detyrimeve e të kapitaleve të veta, nëpërmjet inventarizimit të këtyre elementeve dhe dokumenteve kontabël përkatëse.</w:t>
      </w:r>
    </w:p>
    <w:p w:rsidR="00DF6666" w:rsidRPr="00993C76" w:rsidRDefault="00DF6666" w:rsidP="00DF6666">
      <w:pPr>
        <w:widowControl w:val="0"/>
        <w:spacing w:after="0" w:line="240" w:lineRule="auto"/>
        <w:rPr>
          <w:rFonts w:ascii="Garamond" w:hAnsi="Garamond"/>
          <w:sz w:val="24"/>
          <w:szCs w:val="24"/>
          <w:lang w:val="sq-AL"/>
        </w:rPr>
      </w:pPr>
      <w:r w:rsidRPr="00993C76">
        <w:rPr>
          <w:rFonts w:ascii="Garamond" w:hAnsi="Garamond"/>
          <w:sz w:val="24"/>
          <w:szCs w:val="24"/>
          <w:lang w:val="sq-AL"/>
        </w:rPr>
        <w:t>2. Organi i drejtimit të njësisë ekonomike mban përgjegjësi për procedurat e ndjekura për inventarizimin e aktiveve dhe detyrimeve, me qëllim paraqitjen me vërtetësi dhe besueshmëri të elementeve të aktivit dhe detyrimeve në pasqyrat financiare.</w:t>
      </w:r>
    </w:p>
    <w:p w:rsidR="00DF6666" w:rsidRPr="00993C76" w:rsidRDefault="00DF6666" w:rsidP="00DF6666">
      <w:pPr>
        <w:widowControl w:val="0"/>
        <w:spacing w:after="0" w:line="240" w:lineRule="auto"/>
        <w:rPr>
          <w:rFonts w:ascii="Garamond" w:hAnsi="Garamond"/>
          <w:sz w:val="24"/>
          <w:szCs w:val="24"/>
          <w:lang w:val="sq-AL"/>
        </w:rPr>
      </w:pPr>
    </w:p>
    <w:p w:rsidR="00DF6666" w:rsidRPr="00993C76" w:rsidRDefault="00DF6666" w:rsidP="00DF6666">
      <w:pPr>
        <w:pStyle w:val="NeniNr"/>
        <w:keepNext w:val="0"/>
        <w:rPr>
          <w:szCs w:val="24"/>
          <w:lang w:val="sq-AL"/>
        </w:rPr>
      </w:pPr>
      <w:r w:rsidRPr="00993C76">
        <w:rPr>
          <w:szCs w:val="24"/>
          <w:lang w:val="sq-AL"/>
        </w:rPr>
        <w:t>Neni 16</w:t>
      </w:r>
    </w:p>
    <w:p w:rsidR="00DF6666" w:rsidRPr="00993C76" w:rsidRDefault="00DF6666" w:rsidP="00DF6666">
      <w:pPr>
        <w:pStyle w:val="NeniNr"/>
        <w:keepNext w:val="0"/>
        <w:rPr>
          <w:b/>
          <w:szCs w:val="24"/>
          <w:lang w:val="sq-AL"/>
        </w:rPr>
      </w:pPr>
      <w:r w:rsidRPr="00993C76">
        <w:rPr>
          <w:b/>
          <w:szCs w:val="24"/>
          <w:lang w:val="sq-AL"/>
        </w:rPr>
        <w:t>Shënimet shpjeguese</w:t>
      </w:r>
    </w:p>
    <w:p w:rsidR="00570251" w:rsidRPr="00993C76" w:rsidRDefault="00570251" w:rsidP="00570251">
      <w:pPr>
        <w:widowControl w:val="0"/>
        <w:spacing w:after="0" w:line="240" w:lineRule="auto"/>
        <w:ind w:firstLine="720"/>
        <w:jc w:val="center"/>
        <w:rPr>
          <w:rFonts w:ascii="Garamond" w:eastAsia="Times New Roman" w:hAnsi="Garamond"/>
          <w:i/>
          <w:sz w:val="24"/>
          <w:szCs w:val="24"/>
        </w:rPr>
      </w:pPr>
      <w:r w:rsidRPr="00993C76">
        <w:rPr>
          <w:rFonts w:ascii="Garamond" w:eastAsia="Times New Roman" w:hAnsi="Garamond"/>
          <w:i/>
          <w:sz w:val="24"/>
          <w:szCs w:val="24"/>
        </w:rPr>
        <w:t>(Ndryshuar togfjal</w:t>
      </w:r>
      <w:r w:rsidR="00993C76">
        <w:rPr>
          <w:rFonts w:ascii="Garamond" w:eastAsia="Times New Roman" w:hAnsi="Garamond"/>
          <w:i/>
          <w:sz w:val="24"/>
          <w:szCs w:val="24"/>
        </w:rPr>
        <w:t>ë</w:t>
      </w:r>
      <w:r w:rsidRPr="00993C76">
        <w:rPr>
          <w:rFonts w:ascii="Garamond" w:eastAsia="Times New Roman" w:hAnsi="Garamond"/>
          <w:i/>
          <w:sz w:val="24"/>
          <w:szCs w:val="24"/>
        </w:rPr>
        <w:t>sh n</w:t>
      </w:r>
      <w:r w:rsidR="00993C76">
        <w:rPr>
          <w:rFonts w:ascii="Garamond" w:eastAsia="Times New Roman" w:hAnsi="Garamond"/>
          <w:i/>
          <w:sz w:val="24"/>
          <w:szCs w:val="24"/>
        </w:rPr>
        <w:t>ë</w:t>
      </w:r>
      <w:r w:rsidRPr="00993C76">
        <w:rPr>
          <w:rFonts w:ascii="Garamond" w:eastAsia="Times New Roman" w:hAnsi="Garamond"/>
          <w:i/>
          <w:sz w:val="24"/>
          <w:szCs w:val="24"/>
        </w:rPr>
        <w:t xml:space="preserve"> pik</w:t>
      </w:r>
      <w:r w:rsidR="00993C76">
        <w:rPr>
          <w:rFonts w:ascii="Garamond" w:eastAsia="Times New Roman" w:hAnsi="Garamond"/>
          <w:i/>
          <w:sz w:val="24"/>
          <w:szCs w:val="24"/>
        </w:rPr>
        <w:t>ë</w:t>
      </w:r>
      <w:r w:rsidRPr="00993C76">
        <w:rPr>
          <w:rFonts w:ascii="Garamond" w:eastAsia="Times New Roman" w:hAnsi="Garamond"/>
          <w:i/>
          <w:sz w:val="24"/>
          <w:szCs w:val="24"/>
        </w:rPr>
        <w:t>n 3 dhe 4, pika 2 dhe shtuar pika 5 me ligjin nr. 87/2026, datë 16.7.2026)</w:t>
      </w:r>
    </w:p>
    <w:p w:rsidR="00DF6666" w:rsidRPr="00993C76" w:rsidRDefault="00DF6666" w:rsidP="00DF6666">
      <w:pPr>
        <w:widowControl w:val="0"/>
        <w:tabs>
          <w:tab w:val="left" w:pos="1453"/>
        </w:tabs>
        <w:spacing w:after="0" w:line="240" w:lineRule="auto"/>
        <w:jc w:val="center"/>
        <w:rPr>
          <w:rFonts w:ascii="Garamond" w:hAnsi="Garamond"/>
          <w:b/>
          <w:sz w:val="24"/>
          <w:szCs w:val="24"/>
          <w:lang w:val="sq-AL"/>
        </w:rPr>
      </w:pPr>
    </w:p>
    <w:p w:rsidR="00DF6666" w:rsidRPr="00993C76" w:rsidRDefault="00DF6666" w:rsidP="00DF6666">
      <w:pPr>
        <w:widowControl w:val="0"/>
        <w:spacing w:after="0" w:line="240" w:lineRule="auto"/>
        <w:rPr>
          <w:rFonts w:ascii="Garamond" w:hAnsi="Garamond"/>
          <w:sz w:val="24"/>
          <w:szCs w:val="24"/>
          <w:lang w:val="sq-AL"/>
        </w:rPr>
      </w:pPr>
      <w:r w:rsidRPr="00993C76">
        <w:rPr>
          <w:rFonts w:ascii="Garamond" w:hAnsi="Garamond"/>
          <w:sz w:val="24"/>
          <w:szCs w:val="24"/>
          <w:lang w:val="sq-AL"/>
        </w:rPr>
        <w:t xml:space="preserve">1. Shënimet shpjeguese, si rregull, paraqiten sipas renditjes me të cilën janë paraqitur zërat në pasqyrën e pozicionit financiar dhe në pasqyrën e performancës. </w:t>
      </w:r>
    </w:p>
    <w:p w:rsidR="00570251" w:rsidRPr="00993C76" w:rsidRDefault="00DF6666" w:rsidP="00570251">
      <w:pPr>
        <w:spacing w:after="0" w:line="240" w:lineRule="auto"/>
        <w:rPr>
          <w:rFonts w:ascii="Garamond" w:eastAsiaTheme="minorHAnsi" w:hAnsi="Garamond"/>
          <w:color w:val="000000" w:themeColor="text1"/>
          <w:sz w:val="24"/>
          <w:szCs w:val="24"/>
          <w:lang w:val="sq-AL"/>
        </w:rPr>
      </w:pPr>
      <w:r w:rsidRPr="00993C76">
        <w:rPr>
          <w:rFonts w:ascii="Garamond" w:hAnsi="Garamond"/>
          <w:sz w:val="24"/>
          <w:szCs w:val="24"/>
          <w:lang w:val="sq-AL"/>
        </w:rPr>
        <w:t xml:space="preserve">2. </w:t>
      </w:r>
      <w:r w:rsidR="00570251" w:rsidRPr="00993C76">
        <w:rPr>
          <w:rFonts w:ascii="Garamond" w:eastAsiaTheme="minorHAnsi" w:hAnsi="Garamond"/>
          <w:color w:val="000000" w:themeColor="text1"/>
          <w:sz w:val="24"/>
          <w:szCs w:val="24"/>
          <w:lang w:val="sq-AL"/>
        </w:rPr>
        <w:t>Të gjitha njësitë ekonomike, përtej kërkesave të parashikuara në standardet kontabël të raportimit financiar të zbatueshme, në shënimet shpjeguese duhet të paraqesin edhe:</w:t>
      </w:r>
    </w:p>
    <w:p w:rsidR="00570251" w:rsidRPr="00993C76" w:rsidRDefault="00570251" w:rsidP="00570251">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a) numrin mesatar të punëmarrësve gjatë periudhës raportuese;</w:t>
      </w:r>
    </w:p>
    <w:p w:rsidR="00570251" w:rsidRPr="00993C76" w:rsidRDefault="00570251" w:rsidP="00570251">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lastRenderedPageBreak/>
        <w:t>b) shumën e paradhënieve dhe kredive të dhëna anëtarëve të organeve ekzekutive, drejtuese dhe mbikëqyrëse, duke specifikuar normat e interesit, kushtet kryesore, si dhe të gjitha shumat e shlyera, të fshira ose të hequra dorë, si edhe angazhimet e ndërmarra në emër të tyre përmes garancive të çdo lloji, me specifikimin e totalit për secilën kategori;</w:t>
      </w:r>
    </w:p>
    <w:p w:rsidR="00570251" w:rsidRPr="00993C76" w:rsidRDefault="00570251" w:rsidP="00570251">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c) shumat që duhet të paguhen nga njësia ekonomike dhe që janë të detyrueshme për pagesë pas më shumë se 5 vjetësh, si dhe të gjitha detyrimet e saj, të siguruara me garanci të dhëna nga vetë njësia ekonomike, duke specifikuar natyrën dhe formën e garancisë.</w:t>
      </w:r>
    </w:p>
    <w:p w:rsidR="00DF6666" w:rsidRPr="00993C76" w:rsidRDefault="00DF6666" w:rsidP="00DF6666">
      <w:pPr>
        <w:widowControl w:val="0"/>
        <w:spacing w:after="0" w:line="240" w:lineRule="auto"/>
        <w:rPr>
          <w:rFonts w:ascii="Garamond" w:hAnsi="Garamond"/>
          <w:sz w:val="24"/>
          <w:szCs w:val="24"/>
          <w:lang w:val="sq-AL"/>
        </w:rPr>
      </w:pPr>
      <w:r w:rsidRPr="00993C76">
        <w:rPr>
          <w:rFonts w:ascii="Garamond" w:hAnsi="Garamond"/>
          <w:sz w:val="24"/>
          <w:szCs w:val="24"/>
          <w:lang w:val="sq-AL"/>
        </w:rPr>
        <w:t xml:space="preserve">3. Njësitë ekonomike të mesme, të mëdha dhe ato me interes publik, përtej kërkesave të parashikuara në pikën 2, të këtij neni, apo në </w:t>
      </w:r>
      <w:r w:rsidR="00570251" w:rsidRPr="00993C76">
        <w:rPr>
          <w:rFonts w:ascii="Garamond" w:hAnsi="Garamond"/>
          <w:color w:val="000000" w:themeColor="text1"/>
          <w:sz w:val="24"/>
          <w:szCs w:val="24"/>
        </w:rPr>
        <w:t>standardet kontabël të raportimit financiar të zbatueshme</w:t>
      </w:r>
      <w:r w:rsidRPr="00993C76">
        <w:rPr>
          <w:rFonts w:ascii="Garamond" w:hAnsi="Garamond"/>
          <w:sz w:val="24"/>
          <w:szCs w:val="24"/>
          <w:lang w:val="sq-AL"/>
        </w:rPr>
        <w:t>, në shënimet shpjeguese duhet të paraqesin:</w:t>
      </w:r>
    </w:p>
    <w:p w:rsidR="00DF6666" w:rsidRPr="00993C76" w:rsidRDefault="00DF6666" w:rsidP="00DF6666">
      <w:pPr>
        <w:widowControl w:val="0"/>
        <w:spacing w:after="0" w:line="240" w:lineRule="auto"/>
        <w:rPr>
          <w:rFonts w:ascii="Garamond" w:hAnsi="Garamond"/>
          <w:sz w:val="24"/>
          <w:szCs w:val="24"/>
          <w:lang w:val="sq-AL"/>
        </w:rPr>
      </w:pPr>
      <w:r w:rsidRPr="00993C76">
        <w:rPr>
          <w:rFonts w:ascii="Garamond" w:hAnsi="Garamond"/>
          <w:sz w:val="24"/>
          <w:szCs w:val="24"/>
          <w:lang w:val="sq-AL"/>
        </w:rPr>
        <w:t>a) shumën e pagave që u jepet për periudhën raportuese anëtarëve të organeve ekzekutive, drejtuese dhe mbikëqyrëse, për shkak të përgjegjësive të tyre dhe çdo angazhim që lind ose merret përsipër në lidhje me pensionet e ish-anëtarëve të këtyre organeve, duke treguar shumën gjithsej për çdo kategori të organit, nëse dhënia e këtij informacioni nuk do të bënte që të identifikohej gjendja financiare e një anëtari konkret të një organi të tillë;</w:t>
      </w:r>
    </w:p>
    <w:p w:rsidR="00DF6666" w:rsidRPr="00993C76" w:rsidRDefault="00DF6666" w:rsidP="00DF6666">
      <w:pPr>
        <w:widowControl w:val="0"/>
        <w:spacing w:after="0" w:line="240" w:lineRule="auto"/>
        <w:rPr>
          <w:rFonts w:ascii="Garamond" w:hAnsi="Garamond"/>
          <w:sz w:val="24"/>
          <w:szCs w:val="24"/>
          <w:lang w:val="sq-AL"/>
        </w:rPr>
      </w:pPr>
      <w:r w:rsidRPr="00993C76">
        <w:rPr>
          <w:rFonts w:ascii="Garamond" w:hAnsi="Garamond"/>
          <w:sz w:val="24"/>
          <w:szCs w:val="24"/>
          <w:lang w:val="sq-AL"/>
        </w:rPr>
        <w:t>b) numrin mesatar të punëmarrësve gjatë periudhës raportuese, të zbërthyer sipas kategorive dhe, nëse nuk janë paraqitur më vete në pasqyrën e të ardhurave dhe shpenzimeve, kostot e personelit në lidhje me periudhën raportuese, të zbërthyera sipas pagave, kostove të sigurimeve shoqërore dhe kostove të pensionit;</w:t>
      </w:r>
    </w:p>
    <w:p w:rsidR="00DF6666" w:rsidRPr="00993C76" w:rsidRDefault="00DF6666" w:rsidP="00DF6666">
      <w:pPr>
        <w:widowControl w:val="0"/>
        <w:spacing w:after="0" w:line="240" w:lineRule="auto"/>
        <w:rPr>
          <w:rFonts w:ascii="Garamond" w:hAnsi="Garamond"/>
          <w:sz w:val="24"/>
          <w:szCs w:val="24"/>
          <w:lang w:val="sq-AL"/>
        </w:rPr>
      </w:pPr>
      <w:r w:rsidRPr="00993C76">
        <w:rPr>
          <w:rFonts w:ascii="Garamond" w:hAnsi="Garamond"/>
          <w:sz w:val="24"/>
          <w:szCs w:val="24"/>
          <w:lang w:val="sq-AL"/>
        </w:rPr>
        <w:t>c) emrin dhe selinë për secilën prej njësive ekonomike, në të cilat njësia ekonomike, ose vetë, ose përmes një personi që vepron në emër të tij, por për llogari të njësisë ekonomike, zotëron një interes në pjesëmarrje, duke treguar përqindjen e kapitalit të zotëruar, shumën e kapitalit dhe rezervave dhe fitimin ose humbjen për periudhën më të fundit raportuese të njësisë ekonomike në fjalë për të cilën janë miratuar pasqyra financiare.</w:t>
      </w:r>
    </w:p>
    <w:p w:rsidR="00DF6666" w:rsidRPr="00993C76" w:rsidRDefault="00570251" w:rsidP="00570251">
      <w:pPr>
        <w:spacing w:after="0" w:line="240" w:lineRule="auto"/>
        <w:rPr>
          <w:rFonts w:ascii="Garamond" w:hAnsi="Garamond"/>
          <w:sz w:val="24"/>
          <w:szCs w:val="24"/>
          <w:lang w:val="sq-AL"/>
        </w:rPr>
      </w:pPr>
      <w:r w:rsidRPr="00993C76">
        <w:rPr>
          <w:rFonts w:ascii="Garamond" w:eastAsiaTheme="minorHAnsi" w:hAnsi="Garamond"/>
          <w:color w:val="000000" w:themeColor="text1"/>
          <w:sz w:val="24"/>
          <w:szCs w:val="24"/>
          <w:lang w:val="sq-AL"/>
        </w:rPr>
        <w:t xml:space="preserve">Përjashtimisht nga përcaktimet në shkronjat “a”, “b” dhe “c”, të kësaj pike, </w:t>
      </w:r>
      <w:r w:rsidR="00DF6666" w:rsidRPr="00993C76">
        <w:rPr>
          <w:rFonts w:ascii="Garamond" w:hAnsi="Garamond"/>
          <w:sz w:val="24"/>
          <w:szCs w:val="24"/>
          <w:lang w:val="sq-AL"/>
        </w:rPr>
        <w:t>nuk aplikohet nga njësia ekonomike mëmë në rastet kur:</w:t>
      </w:r>
    </w:p>
    <w:p w:rsidR="00DF6666" w:rsidRPr="00993C76" w:rsidRDefault="00DF6666" w:rsidP="00DF6666">
      <w:pPr>
        <w:widowControl w:val="0"/>
        <w:spacing w:after="0" w:line="240" w:lineRule="auto"/>
        <w:contextualSpacing/>
        <w:rPr>
          <w:rFonts w:ascii="Garamond" w:hAnsi="Garamond"/>
          <w:sz w:val="24"/>
          <w:szCs w:val="24"/>
          <w:lang w:val="sq-AL"/>
        </w:rPr>
      </w:pPr>
      <w:r w:rsidRPr="00993C76">
        <w:rPr>
          <w:rFonts w:ascii="Garamond" w:hAnsi="Garamond"/>
          <w:sz w:val="24"/>
          <w:szCs w:val="24"/>
          <w:lang w:val="sq-AL"/>
        </w:rPr>
        <w:t xml:space="preserve">i) njësia ekonomike, në të cilën njësia ekonomike mëmë zotëron interes në pjesëmarrje, përfshihet në pasqyrat financiare të konsoliduara, të përpiluara nga njësia ekonomike mëmë ose në pasqyrat financiare të konsoliduara të një grupi më të madh njësish ekonomike; </w:t>
      </w:r>
    </w:p>
    <w:p w:rsidR="00DF6666" w:rsidRPr="00993C76" w:rsidRDefault="00DF6666" w:rsidP="00DF6666">
      <w:pPr>
        <w:widowControl w:val="0"/>
        <w:spacing w:after="0" w:line="240" w:lineRule="auto"/>
        <w:contextualSpacing/>
        <w:rPr>
          <w:rFonts w:ascii="Garamond" w:hAnsi="Garamond"/>
          <w:sz w:val="24"/>
          <w:szCs w:val="24"/>
          <w:lang w:val="sq-AL"/>
        </w:rPr>
      </w:pPr>
      <w:r w:rsidRPr="00993C76">
        <w:rPr>
          <w:rFonts w:ascii="Garamond" w:hAnsi="Garamond"/>
          <w:sz w:val="24"/>
          <w:szCs w:val="24"/>
          <w:lang w:val="sq-AL"/>
        </w:rPr>
        <w:t>ii) ky interes në pjesëmarrje është trajtuar nga njësia ekonomike mëmë në pasqyrat financiare vjetore të saj;</w:t>
      </w:r>
    </w:p>
    <w:p w:rsidR="00DF6666" w:rsidRPr="00993C76" w:rsidRDefault="00DF6666" w:rsidP="00DF6666">
      <w:pPr>
        <w:widowControl w:val="0"/>
        <w:spacing w:after="0" w:line="240" w:lineRule="auto"/>
        <w:rPr>
          <w:rFonts w:ascii="Garamond" w:hAnsi="Garamond"/>
          <w:sz w:val="24"/>
          <w:szCs w:val="24"/>
          <w:lang w:val="sq-AL"/>
        </w:rPr>
      </w:pPr>
      <w:r w:rsidRPr="00993C76">
        <w:rPr>
          <w:rFonts w:ascii="Garamond" w:hAnsi="Garamond"/>
          <w:sz w:val="24"/>
          <w:szCs w:val="24"/>
          <w:lang w:val="sq-AL"/>
        </w:rPr>
        <w:t>ç) ekzistencën e ndonjë certifikate pjesëmarrjeje, borxhi të konvertueshëm, të drejte blerjeje aksionesh, opsionesh ose letrash me vlerë apo të drejtash të ngjashme, duke treguar numrin e tyre dhe të drejtat që japin ato;</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z w:val="24"/>
          <w:szCs w:val="24"/>
          <w:lang w:val="sq-AL"/>
        </w:rPr>
        <w:t>d) emrin, selinë dhe formën juridike të secilës prej njësive ekonomike, te të cilat njësia</w:t>
      </w:r>
      <w:r w:rsidRPr="00993C76">
        <w:rPr>
          <w:rFonts w:ascii="Garamond" w:hAnsi="Garamond"/>
          <w:spacing w:val="-4"/>
          <w:sz w:val="24"/>
          <w:szCs w:val="24"/>
          <w:lang w:val="sq-AL"/>
        </w:rPr>
        <w:t xml:space="preserve"> ekonomike është ortake me përgjegjësi të pakufizuar;</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dh) emrin dhe selinë e njësisë ekonomike që përpilon pasqyrat financiare të konsoliduara të grupit më të madh të njësive ekonomike, tek i cili njësia bën pjesë si njësi e kontrolluar;</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e) emrin dhe selinë e njësisë ekonomike që përpilon pasqyrat financiare të konsoliduara të grupit më të vogël të njësive ekonomike, tek i cili njësia ekonomike bën pjesë si njësi e kontrolluar, e cila është e përfshirë, gjithashtu, në grupin e njësive ekonomike të përmendura në shkronjën “dh”, të kësaj pike;</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ë) vendin ku mund të merren kopje të pasqyrave financiare të konsoliduara, të përmendura në shkronjat “dh” dhe “e”, të kësaj pike, me kusht që të jenë të disponueshme.</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 xml:space="preserve">4. Njësitë ekonomike të mesme, të mëdha dhe ato me interes publik, përtej kërkesave të parashikuara në pikat 2 dhe 3, të këtij neni apo në </w:t>
      </w:r>
      <w:r w:rsidR="00570251" w:rsidRPr="00993C76">
        <w:rPr>
          <w:rFonts w:ascii="Garamond" w:hAnsi="Garamond"/>
          <w:color w:val="000000" w:themeColor="text1"/>
          <w:sz w:val="24"/>
          <w:szCs w:val="24"/>
        </w:rPr>
        <w:t>standardet kontabël të raportimit financiar të zbatueshme</w:t>
      </w:r>
      <w:r w:rsidR="00570251" w:rsidRPr="00993C76">
        <w:rPr>
          <w:rFonts w:ascii="Garamond" w:hAnsi="Garamond"/>
          <w:spacing w:val="-4"/>
          <w:sz w:val="24"/>
          <w:szCs w:val="24"/>
          <w:lang w:val="sq-AL"/>
        </w:rPr>
        <w:t xml:space="preserve">, </w:t>
      </w:r>
      <w:r w:rsidRPr="00993C76">
        <w:rPr>
          <w:rFonts w:ascii="Garamond" w:hAnsi="Garamond"/>
          <w:spacing w:val="-4"/>
          <w:sz w:val="24"/>
          <w:szCs w:val="24"/>
          <w:lang w:val="sq-AL"/>
        </w:rPr>
        <w:t>në shënimet shpjeguese duhet të paraqesin tarifat gjithsej për periudhën raportuese, të kërkuara nga secili auditues ligjor apo firmë auditimi lidhur me auditimin ligjor të pasqyrave financiare vjetore dhe tarifat gjithsej të kërkuara nga secili auditues ligjor ose firmë auditimi për shërbime të dhënies së sigurisë, për shërbime këshillimore tatimore dhe për shërbime të tjera joauditimi.</w:t>
      </w:r>
    </w:p>
    <w:p w:rsidR="00570251" w:rsidRPr="00993C76" w:rsidRDefault="00570251" w:rsidP="00570251">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5. Të gjitha njësitë ekonomike duhet të japin informacion për kategoritë kryesore të të ardhurave të shfrytëzimit, të ndara sipas llojit të aktivitetit ekonomik.</w:t>
      </w:r>
    </w:p>
    <w:p w:rsidR="00570251" w:rsidRPr="00993C76" w:rsidRDefault="00570251" w:rsidP="00DF6666">
      <w:pPr>
        <w:widowControl w:val="0"/>
        <w:spacing w:after="0" w:line="240" w:lineRule="auto"/>
        <w:rPr>
          <w:rFonts w:ascii="Garamond" w:hAnsi="Garamond"/>
          <w:spacing w:val="-4"/>
          <w:sz w:val="24"/>
          <w:szCs w:val="24"/>
          <w:lang w:val="sq-AL"/>
        </w:rPr>
      </w:pPr>
    </w:p>
    <w:p w:rsidR="00DF6666" w:rsidRPr="00993C76" w:rsidRDefault="00DF6666" w:rsidP="00DF6666">
      <w:pPr>
        <w:pStyle w:val="NeniNr"/>
        <w:keepNext w:val="0"/>
        <w:rPr>
          <w:spacing w:val="-4"/>
          <w:szCs w:val="24"/>
          <w:lang w:val="sq-AL"/>
        </w:rPr>
      </w:pPr>
      <w:r w:rsidRPr="00993C76">
        <w:rPr>
          <w:spacing w:val="-4"/>
          <w:szCs w:val="24"/>
          <w:lang w:val="sq-AL"/>
        </w:rPr>
        <w:t>Neni 17</w:t>
      </w:r>
    </w:p>
    <w:p w:rsidR="00DF6666" w:rsidRPr="00993C76" w:rsidRDefault="00DF6666" w:rsidP="00DF6666">
      <w:pPr>
        <w:pStyle w:val="NeniNr"/>
        <w:keepNext w:val="0"/>
        <w:rPr>
          <w:b/>
          <w:spacing w:val="-4"/>
          <w:szCs w:val="24"/>
          <w:lang w:val="sq-AL"/>
        </w:rPr>
      </w:pPr>
      <w:r w:rsidRPr="00993C76">
        <w:rPr>
          <w:b/>
          <w:spacing w:val="-4"/>
          <w:szCs w:val="24"/>
          <w:lang w:val="sq-AL"/>
        </w:rPr>
        <w:t>Raporti i ecurisë së veprimtarisë</w:t>
      </w:r>
    </w:p>
    <w:p w:rsidR="00570251" w:rsidRPr="00993C76" w:rsidRDefault="00570251" w:rsidP="00570251">
      <w:pPr>
        <w:widowControl w:val="0"/>
        <w:spacing w:after="0" w:line="240" w:lineRule="auto"/>
        <w:ind w:firstLine="720"/>
        <w:jc w:val="center"/>
        <w:rPr>
          <w:rFonts w:ascii="Garamond" w:eastAsia="Times New Roman" w:hAnsi="Garamond"/>
          <w:i/>
          <w:sz w:val="24"/>
          <w:szCs w:val="24"/>
        </w:rPr>
      </w:pPr>
      <w:r w:rsidRPr="00993C76">
        <w:rPr>
          <w:rFonts w:ascii="Garamond" w:eastAsia="Times New Roman" w:hAnsi="Garamond"/>
          <w:i/>
          <w:sz w:val="24"/>
          <w:szCs w:val="24"/>
        </w:rPr>
        <w:t>(Ndryshuar togfjal</w:t>
      </w:r>
      <w:r w:rsidR="00993C76">
        <w:rPr>
          <w:rFonts w:ascii="Garamond" w:eastAsia="Times New Roman" w:hAnsi="Garamond"/>
          <w:i/>
          <w:sz w:val="24"/>
          <w:szCs w:val="24"/>
        </w:rPr>
        <w:t>ë</w:t>
      </w:r>
      <w:r w:rsidRPr="00993C76">
        <w:rPr>
          <w:rFonts w:ascii="Garamond" w:eastAsia="Times New Roman" w:hAnsi="Garamond"/>
          <w:i/>
          <w:sz w:val="24"/>
          <w:szCs w:val="24"/>
        </w:rPr>
        <w:t>sh n</w:t>
      </w:r>
      <w:r w:rsidR="00993C76">
        <w:rPr>
          <w:rFonts w:ascii="Garamond" w:eastAsia="Times New Roman" w:hAnsi="Garamond"/>
          <w:i/>
          <w:sz w:val="24"/>
          <w:szCs w:val="24"/>
        </w:rPr>
        <w:t>ë</w:t>
      </w:r>
      <w:r w:rsidRPr="00993C76">
        <w:rPr>
          <w:rFonts w:ascii="Garamond" w:eastAsia="Times New Roman" w:hAnsi="Garamond"/>
          <w:i/>
          <w:sz w:val="24"/>
          <w:szCs w:val="24"/>
        </w:rPr>
        <w:t xml:space="preserve"> pik</w:t>
      </w:r>
      <w:r w:rsidR="00993C76">
        <w:rPr>
          <w:rFonts w:ascii="Garamond" w:eastAsia="Times New Roman" w:hAnsi="Garamond"/>
          <w:i/>
          <w:sz w:val="24"/>
          <w:szCs w:val="24"/>
        </w:rPr>
        <w:t>ë</w:t>
      </w:r>
      <w:r w:rsidRPr="00993C76">
        <w:rPr>
          <w:rFonts w:ascii="Garamond" w:eastAsia="Times New Roman" w:hAnsi="Garamond"/>
          <w:i/>
          <w:sz w:val="24"/>
          <w:szCs w:val="24"/>
        </w:rPr>
        <w:t xml:space="preserve">n </w:t>
      </w:r>
      <w:r w:rsidR="00FC7F11" w:rsidRPr="00993C76">
        <w:rPr>
          <w:rFonts w:ascii="Garamond" w:eastAsia="Times New Roman" w:hAnsi="Garamond"/>
          <w:i/>
          <w:sz w:val="24"/>
          <w:szCs w:val="24"/>
        </w:rPr>
        <w:t>1</w:t>
      </w:r>
      <w:r w:rsidR="005A1B8E" w:rsidRPr="00993C76">
        <w:rPr>
          <w:rFonts w:ascii="Garamond" w:eastAsia="Times New Roman" w:hAnsi="Garamond"/>
          <w:i/>
          <w:sz w:val="24"/>
          <w:szCs w:val="24"/>
        </w:rPr>
        <w:t>,</w:t>
      </w:r>
      <w:r w:rsidRPr="00993C76">
        <w:rPr>
          <w:rFonts w:ascii="Garamond" w:eastAsia="Times New Roman" w:hAnsi="Garamond"/>
          <w:i/>
          <w:sz w:val="24"/>
          <w:szCs w:val="24"/>
        </w:rPr>
        <w:t xml:space="preserve"> </w:t>
      </w:r>
      <w:r w:rsidR="00FC7F11" w:rsidRPr="00993C76">
        <w:rPr>
          <w:rFonts w:ascii="Garamond" w:eastAsia="Times New Roman" w:hAnsi="Garamond"/>
          <w:i/>
          <w:sz w:val="24"/>
          <w:szCs w:val="24"/>
        </w:rPr>
        <w:t>shtuar pika 1/1</w:t>
      </w:r>
      <w:r w:rsidRPr="00993C76">
        <w:rPr>
          <w:rFonts w:ascii="Garamond" w:eastAsia="Times New Roman" w:hAnsi="Garamond"/>
          <w:i/>
          <w:sz w:val="24"/>
          <w:szCs w:val="24"/>
        </w:rPr>
        <w:t xml:space="preserve"> </w:t>
      </w:r>
      <w:r w:rsidR="005A1B8E" w:rsidRPr="00993C76">
        <w:rPr>
          <w:rFonts w:ascii="Garamond" w:eastAsia="Times New Roman" w:hAnsi="Garamond"/>
          <w:i/>
          <w:sz w:val="24"/>
          <w:szCs w:val="24"/>
        </w:rPr>
        <w:t>dhe shfuqizuar shkronja “c” e pik</w:t>
      </w:r>
      <w:r w:rsidR="00993C76">
        <w:rPr>
          <w:rFonts w:ascii="Garamond" w:eastAsia="Times New Roman" w:hAnsi="Garamond"/>
          <w:i/>
          <w:sz w:val="24"/>
          <w:szCs w:val="24"/>
        </w:rPr>
        <w:t>ë</w:t>
      </w:r>
      <w:r w:rsidR="005A1B8E" w:rsidRPr="00993C76">
        <w:rPr>
          <w:rFonts w:ascii="Garamond" w:eastAsia="Times New Roman" w:hAnsi="Garamond"/>
          <w:i/>
          <w:sz w:val="24"/>
          <w:szCs w:val="24"/>
        </w:rPr>
        <w:t xml:space="preserve">s 3 </w:t>
      </w:r>
      <w:r w:rsidRPr="00993C76">
        <w:rPr>
          <w:rFonts w:ascii="Garamond" w:eastAsia="Times New Roman" w:hAnsi="Garamond"/>
          <w:i/>
          <w:sz w:val="24"/>
          <w:szCs w:val="24"/>
        </w:rPr>
        <w:t>me ligjin nr. 87/2026, datë 16.7.2026)</w:t>
      </w:r>
    </w:p>
    <w:p w:rsidR="00570251" w:rsidRPr="00993C76" w:rsidRDefault="00570251" w:rsidP="00570251">
      <w:pPr>
        <w:widowControl w:val="0"/>
        <w:tabs>
          <w:tab w:val="left" w:pos="1453"/>
        </w:tabs>
        <w:spacing w:after="0" w:line="240" w:lineRule="auto"/>
        <w:jc w:val="center"/>
        <w:rPr>
          <w:rFonts w:ascii="Garamond" w:hAnsi="Garamond"/>
          <w:b/>
          <w:sz w:val="24"/>
          <w:szCs w:val="24"/>
          <w:lang w:val="sq-AL"/>
        </w:rPr>
      </w:pPr>
    </w:p>
    <w:p w:rsidR="00DF6666" w:rsidRPr="00993C76" w:rsidRDefault="00DF6666" w:rsidP="00DF6666">
      <w:pPr>
        <w:pStyle w:val="NeniNr"/>
        <w:keepNext w:val="0"/>
        <w:rPr>
          <w:b/>
          <w:spacing w:val="-4"/>
          <w:szCs w:val="24"/>
          <w:lang w:val="sq-AL"/>
        </w:rPr>
      </w:pPr>
    </w:p>
    <w:p w:rsidR="00DF6666" w:rsidRPr="00993C76" w:rsidRDefault="00FC7F11" w:rsidP="00FC7F11">
      <w:pPr>
        <w:widowControl w:val="0"/>
        <w:spacing w:after="0" w:line="240" w:lineRule="auto"/>
        <w:rPr>
          <w:rFonts w:ascii="Garamond" w:hAnsi="Garamond"/>
          <w:spacing w:val="-4"/>
          <w:sz w:val="24"/>
          <w:szCs w:val="24"/>
          <w:lang w:val="sq-AL"/>
        </w:rPr>
      </w:pPr>
      <w:r w:rsidRPr="00993C76">
        <w:rPr>
          <w:rFonts w:ascii="Garamond" w:hAnsi="Garamond"/>
          <w:color w:val="000000" w:themeColor="text1"/>
          <w:spacing w:val="-4"/>
          <w:sz w:val="24"/>
          <w:szCs w:val="24"/>
          <w:lang w:val="sq-AL"/>
        </w:rPr>
        <w:t>1.</w:t>
      </w:r>
      <w:r w:rsidRPr="00993C76">
        <w:rPr>
          <w:rFonts w:ascii="Garamond" w:hAnsi="Garamond"/>
          <w:color w:val="000000" w:themeColor="text1"/>
          <w:sz w:val="24"/>
          <w:szCs w:val="24"/>
        </w:rPr>
        <w:t xml:space="preserve"> </w:t>
      </w:r>
      <w:r w:rsidR="00570251" w:rsidRPr="00993C76">
        <w:rPr>
          <w:rFonts w:ascii="Garamond" w:hAnsi="Garamond"/>
          <w:color w:val="000000" w:themeColor="text1"/>
          <w:sz w:val="24"/>
          <w:szCs w:val="24"/>
        </w:rPr>
        <w:t>Njësitë ekonomike fitimprurëse</w:t>
      </w:r>
      <w:r w:rsidR="00DF6666" w:rsidRPr="00993C76">
        <w:rPr>
          <w:rFonts w:ascii="Garamond" w:hAnsi="Garamond"/>
          <w:spacing w:val="-4"/>
          <w:sz w:val="24"/>
          <w:szCs w:val="24"/>
          <w:lang w:val="sq-AL"/>
        </w:rPr>
        <w:t xml:space="preserve">, subjekt i këtij ligji, përgatitin raportin e ecurisë së veprimtarisë, i cili, nëpërmjet një analize gjithëpërfshirëse, paraqet në mënyrë të drejtë zhvillimin dhe performancën e njësisë ekonomike, shoqëruar me një përshkrim të risqeve dhe pasigurive kryesore, me të cilat njësia mund të përballet. Me qëllim paraqitjen sa më të kuptueshme të zhvillimit, performancës dhe pozicionit të njësisë, raporti duhet të përmbajë treguesit kryesorë të performancës financiare dhe, nëse është e mundur, jofinanciare, të lidhur me aktivitetin, duke përfshirë informacion për çështjet e mjedisit dhe punonjësve. Analiza duhet, kur është e mundur, të përfshijë referenca dhe shpjegime shtesë për shumat e raportuara në pasqyrat financiare të periudhës raportuese. </w:t>
      </w:r>
    </w:p>
    <w:p w:rsidR="00FC7F11" w:rsidRPr="00993C76" w:rsidRDefault="00FC7F11" w:rsidP="00FC7F11">
      <w:pPr>
        <w:spacing w:after="0" w:line="240" w:lineRule="auto"/>
        <w:rPr>
          <w:rFonts w:ascii="Garamond" w:hAnsi="Garamond"/>
          <w:sz w:val="24"/>
          <w:szCs w:val="24"/>
          <w:lang w:val="sq-AL"/>
        </w:rPr>
      </w:pPr>
      <w:r w:rsidRPr="00993C76">
        <w:rPr>
          <w:rFonts w:ascii="Garamond" w:eastAsiaTheme="minorHAnsi" w:hAnsi="Garamond"/>
          <w:color w:val="000000" w:themeColor="text1"/>
          <w:sz w:val="24"/>
          <w:szCs w:val="24"/>
          <w:lang w:val="sq-AL"/>
        </w:rPr>
        <w:t>1/1. Njësitë ekonomike, të cilat në datën e raportimit tejkalojnë vlerën prej 45 000 000 000 lekësh të të ardhurave të shfrytëzimit dhe kanë një numër mesatar prej më shumë se 1 000 punonjësish gjatë vitit financiar, raportojnë informacion për aktivet e tyre jomateriale dhe shpjegojnë se si modeli i biznesit të njësisë ekonomike varet në mënyrë thelbësore nga këto aktive dhe si këto aktive përbëjnë një burim të krijimit të vlerës për njësinë ekonomike.</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2. Raporti i ecurisë së veprimtarisë duhet të tregojë gjithashtu edhe:</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a) zhvillimet e mundshme, të ardhshme, të njësisë ekonomike;</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b) aktivitetet në fushën e kërkimit dhe zhvillimit;</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c) informacionet që kanë të bëjnë me marrjen e aksioneve të veta;</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 xml:space="preserve">ç) ekzistencën e degëve të njësisë ekonomike; </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d) për përdorimin e instrumenteve financiare nga ana e njësisë ekonomike dhe kur është materiale për vlerësimin e aktiveve, detyrimeve, pozicionit financiar, fitimit dhe humbjes:</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i) politikat dhe objektivat e menaxhimit të riskut financiar;</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ii) ekspozimin e njësisë ekonomike ndaj riskut të çmimit, riskut të kreditit, riskut të likuiditetit dhe riskut të flukseve monetare.</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3. Përjashtohen nga detyrimi për përgatitjen e raportit të ecurisë së veprimtarisë:</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a) mikronjësitë;</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b) njësitë e vogla ekonomike, me kushtin që të japin në shënimet shpjeguese të dhënat mbi blerjen e aksioneve të veta;</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 xml:space="preserve">c) </w:t>
      </w:r>
      <w:r w:rsidR="00FC7F11" w:rsidRPr="00993C76">
        <w:rPr>
          <w:rFonts w:ascii="Garamond" w:hAnsi="Garamond"/>
          <w:spacing w:val="-4"/>
          <w:sz w:val="24"/>
          <w:szCs w:val="24"/>
          <w:lang w:val="sq-AL"/>
        </w:rPr>
        <w:t>shfuqizuar.</w:t>
      </w:r>
    </w:p>
    <w:p w:rsidR="00DF6666" w:rsidRPr="00993C76" w:rsidRDefault="00DF6666" w:rsidP="00DF6666">
      <w:pPr>
        <w:widowControl w:val="0"/>
        <w:tabs>
          <w:tab w:val="left" w:pos="1453"/>
        </w:tabs>
        <w:spacing w:after="0" w:line="240" w:lineRule="auto"/>
        <w:jc w:val="center"/>
        <w:rPr>
          <w:rFonts w:ascii="Garamond" w:hAnsi="Garamond"/>
          <w:b/>
          <w:spacing w:val="-4"/>
          <w:sz w:val="24"/>
          <w:szCs w:val="24"/>
          <w:lang w:val="sq-AL"/>
        </w:rPr>
      </w:pPr>
    </w:p>
    <w:p w:rsidR="00DF6666" w:rsidRPr="00993C76" w:rsidRDefault="00DF6666" w:rsidP="00DF6666">
      <w:pPr>
        <w:pStyle w:val="NeniNr"/>
        <w:keepNext w:val="0"/>
        <w:rPr>
          <w:spacing w:val="-4"/>
          <w:szCs w:val="24"/>
          <w:lang w:val="sq-AL"/>
        </w:rPr>
      </w:pPr>
      <w:r w:rsidRPr="00993C76">
        <w:rPr>
          <w:spacing w:val="-4"/>
          <w:szCs w:val="24"/>
          <w:lang w:val="sq-AL"/>
        </w:rPr>
        <w:t>Neni 18</w:t>
      </w:r>
    </w:p>
    <w:p w:rsidR="00DF6666" w:rsidRPr="00993C76" w:rsidRDefault="00DF6666" w:rsidP="00DF6666">
      <w:pPr>
        <w:pStyle w:val="NeniNr"/>
        <w:keepNext w:val="0"/>
        <w:rPr>
          <w:b/>
          <w:spacing w:val="-4"/>
          <w:szCs w:val="24"/>
          <w:lang w:val="sq-AL"/>
        </w:rPr>
      </w:pPr>
      <w:r w:rsidRPr="00993C76">
        <w:rPr>
          <w:b/>
          <w:spacing w:val="-4"/>
          <w:szCs w:val="24"/>
          <w:lang w:val="sq-AL"/>
        </w:rPr>
        <w:t>Raporti jofinanciar</w:t>
      </w:r>
    </w:p>
    <w:p w:rsidR="0031380A" w:rsidRPr="00993C76" w:rsidRDefault="0031380A" w:rsidP="0031380A">
      <w:pPr>
        <w:widowControl w:val="0"/>
        <w:spacing w:after="0" w:line="240" w:lineRule="auto"/>
        <w:ind w:firstLine="720"/>
        <w:jc w:val="center"/>
        <w:rPr>
          <w:rFonts w:ascii="Garamond" w:eastAsia="Times New Roman" w:hAnsi="Garamond"/>
          <w:i/>
          <w:sz w:val="24"/>
          <w:szCs w:val="24"/>
        </w:rPr>
      </w:pPr>
      <w:r w:rsidRPr="00993C76">
        <w:rPr>
          <w:rFonts w:ascii="Garamond" w:eastAsia="Times New Roman" w:hAnsi="Garamond"/>
          <w:i/>
          <w:sz w:val="24"/>
          <w:szCs w:val="24"/>
        </w:rPr>
        <w:t>(</w:t>
      </w:r>
      <w:r w:rsidR="00196BD3" w:rsidRPr="00993C76">
        <w:rPr>
          <w:rFonts w:ascii="Garamond" w:eastAsia="Times New Roman" w:hAnsi="Garamond"/>
          <w:i/>
          <w:sz w:val="24"/>
          <w:szCs w:val="24"/>
        </w:rPr>
        <w:t>Hequr fjal</w:t>
      </w:r>
      <w:r w:rsidR="00993C76">
        <w:rPr>
          <w:rFonts w:ascii="Garamond" w:eastAsia="Times New Roman" w:hAnsi="Garamond"/>
          <w:i/>
          <w:sz w:val="24"/>
          <w:szCs w:val="24"/>
        </w:rPr>
        <w:t>ë</w:t>
      </w:r>
      <w:r w:rsidR="00196BD3" w:rsidRPr="00993C76">
        <w:rPr>
          <w:rFonts w:ascii="Garamond" w:eastAsia="Times New Roman" w:hAnsi="Garamond"/>
          <w:i/>
          <w:sz w:val="24"/>
          <w:szCs w:val="24"/>
        </w:rPr>
        <w:t xml:space="preserve"> n</w:t>
      </w:r>
      <w:r w:rsidR="00993C76">
        <w:rPr>
          <w:rFonts w:ascii="Garamond" w:eastAsia="Times New Roman" w:hAnsi="Garamond"/>
          <w:i/>
          <w:sz w:val="24"/>
          <w:szCs w:val="24"/>
        </w:rPr>
        <w:t>ë</w:t>
      </w:r>
      <w:r w:rsidR="00196BD3" w:rsidRPr="00993C76">
        <w:rPr>
          <w:rFonts w:ascii="Garamond" w:eastAsia="Times New Roman" w:hAnsi="Garamond"/>
          <w:i/>
          <w:sz w:val="24"/>
          <w:szCs w:val="24"/>
        </w:rPr>
        <w:t xml:space="preserve"> pik</w:t>
      </w:r>
      <w:r w:rsidR="00993C76">
        <w:rPr>
          <w:rFonts w:ascii="Garamond" w:eastAsia="Times New Roman" w:hAnsi="Garamond"/>
          <w:i/>
          <w:sz w:val="24"/>
          <w:szCs w:val="24"/>
        </w:rPr>
        <w:t>ë</w:t>
      </w:r>
      <w:r w:rsidR="00196BD3" w:rsidRPr="00993C76">
        <w:rPr>
          <w:rFonts w:ascii="Garamond" w:eastAsia="Times New Roman" w:hAnsi="Garamond"/>
          <w:i/>
          <w:sz w:val="24"/>
          <w:szCs w:val="24"/>
        </w:rPr>
        <w:t>n 1 dhe n</w:t>
      </w:r>
      <w:r w:rsidRPr="00993C76">
        <w:rPr>
          <w:rFonts w:ascii="Garamond" w:eastAsia="Times New Roman" w:hAnsi="Garamond"/>
          <w:i/>
          <w:sz w:val="24"/>
          <w:szCs w:val="24"/>
        </w:rPr>
        <w:t>dryshuar pik</w:t>
      </w:r>
      <w:r w:rsidR="00196BD3" w:rsidRPr="00993C76">
        <w:rPr>
          <w:rFonts w:ascii="Garamond" w:eastAsia="Times New Roman" w:hAnsi="Garamond"/>
          <w:i/>
          <w:sz w:val="24"/>
          <w:szCs w:val="24"/>
        </w:rPr>
        <w:t>a 5</w:t>
      </w:r>
      <w:r w:rsidRPr="00993C76">
        <w:rPr>
          <w:rFonts w:ascii="Garamond" w:eastAsia="Times New Roman" w:hAnsi="Garamond"/>
          <w:i/>
          <w:sz w:val="24"/>
          <w:szCs w:val="24"/>
        </w:rPr>
        <w:t xml:space="preserve"> me ligjin nr. 87/2026, datë 16.7.2026)</w:t>
      </w:r>
    </w:p>
    <w:p w:rsidR="00DF6666" w:rsidRPr="00993C76" w:rsidRDefault="00DF6666" w:rsidP="00DF6666">
      <w:pPr>
        <w:widowControl w:val="0"/>
        <w:tabs>
          <w:tab w:val="left" w:pos="1453"/>
        </w:tabs>
        <w:spacing w:after="0" w:line="240" w:lineRule="auto"/>
        <w:jc w:val="center"/>
        <w:rPr>
          <w:rFonts w:ascii="Garamond" w:hAnsi="Garamond"/>
          <w:b/>
          <w:spacing w:val="-4"/>
          <w:sz w:val="24"/>
          <w:szCs w:val="24"/>
          <w:lang w:val="sq-AL"/>
        </w:rPr>
      </w:pP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1. Njësitë e mëdha ekonomike, të cilat e tejkalojnë kriterin e numrit mesatar prej 500 të punësuarish, gjatë periudhës raportuese, duhet të përfshijnë në raportin e ecurisë së veprimtarisë një raport jofinanciar, i cili përmban informacionin e nevojshëm për një kuptim më të mirë të zhvillimit të vetë njësisë ekonomike, performancës, pozicionit dhe ndikimin e aktivitetit të saj lidhur me mjedisin, çështjet sociale dhe ato të punësimit, respektimin e të drejtave të njeriut, antikorrupsionin dhe çështje të ryshfetit, duke përfshirë:</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a) një përshkrim të shkurtër të modelit të biznesit të njësisë ekonomike;</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b) një përshkrim të politikave të ndjekura nga njësia ekonomike në lidhje me këto çështje, përfshirë zbatimin e procesit të kërkimit dhe verifikimit sistematik të saktësisë së pasqyrave financiare (</w:t>
      </w:r>
      <w:r w:rsidRPr="00993C76">
        <w:rPr>
          <w:rFonts w:ascii="Garamond" w:hAnsi="Garamond"/>
          <w:i/>
          <w:spacing w:val="-4"/>
          <w:sz w:val="24"/>
          <w:szCs w:val="24"/>
          <w:lang w:val="sq-AL"/>
        </w:rPr>
        <w:t>due diligence</w:t>
      </w:r>
      <w:r w:rsidRPr="00993C76">
        <w:rPr>
          <w:rFonts w:ascii="Garamond" w:hAnsi="Garamond"/>
          <w:spacing w:val="-4"/>
          <w:sz w:val="24"/>
          <w:szCs w:val="24"/>
          <w:lang w:val="sq-AL"/>
        </w:rPr>
        <w:t>);</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c) përfitimet e këtyre politikave;</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ç) riskun kryesor lidhur me çështjet që kanë të bëjnë me aktivitetin e shfrytëzimit të njësisë ekonomike, duke përfshirë, kur është e nevojshme, lidhjet e biznesit, produktet ose shërbimet, të cilat kanë të ngjarë të shkaktojnë ndikim të ndërsjellë dhe se si njësia ekonomike e menaxhon riskun e tyre;</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d) treguesit kryesorë të performancës jofinanciare në lidhje me biznese të veçanta.</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2. Kur njësia ekonomike nuk ndjek politika në lidhje me një ose disa nga çështjet e mësipërme, raporti jofinanciar duhet të japë një shpjegim të qartë dhe të arsyeshëm se përse është vepruar kështu.</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3. Raporti jofinanciar, referuar pikës 1, të këtij neni, nëse është e mundur, duhet të japë referenca dhe shpjegime shtesë të vlerave të raportuara në pasqyrat financiare vjetore.</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4. Një njësi ekonomike, e cila është njësi e kontrolluar, do të përjashtohet nga detyrimi i parashikuar në pikën 1, të këtij neni, nëse kjo njësi ekonomike dhe njësitë e saj bija janë të përfshira në raportin e konsoliduar të ecurisë së veprimtarisë të një njësie tjetër ekonomike.</w:t>
      </w:r>
    </w:p>
    <w:p w:rsidR="00196BD3" w:rsidRPr="00993C76" w:rsidRDefault="00DF6666" w:rsidP="00196BD3">
      <w:pPr>
        <w:spacing w:after="0" w:line="240" w:lineRule="auto"/>
        <w:rPr>
          <w:rFonts w:ascii="Garamond" w:eastAsiaTheme="minorHAnsi" w:hAnsi="Garamond"/>
          <w:color w:val="000000" w:themeColor="text1"/>
          <w:sz w:val="24"/>
          <w:szCs w:val="24"/>
          <w:lang w:val="sq-AL"/>
        </w:rPr>
      </w:pPr>
      <w:r w:rsidRPr="00993C76">
        <w:rPr>
          <w:rFonts w:ascii="Garamond" w:hAnsi="Garamond"/>
          <w:spacing w:val="-4"/>
          <w:sz w:val="24"/>
          <w:szCs w:val="24"/>
          <w:lang w:val="sq-AL"/>
        </w:rPr>
        <w:t xml:space="preserve">5. </w:t>
      </w:r>
      <w:r w:rsidR="00196BD3" w:rsidRPr="00993C76">
        <w:rPr>
          <w:rFonts w:ascii="Garamond" w:eastAsiaTheme="minorHAnsi" w:hAnsi="Garamond"/>
          <w:color w:val="000000" w:themeColor="text1"/>
          <w:sz w:val="24"/>
          <w:szCs w:val="24"/>
          <w:lang w:val="sq-AL"/>
        </w:rPr>
        <w:t>Audituesit ligjorë dhe shoqëritë e auditimit, bazuar në standardet ndërkombëtare të auditimit dhe sigurisë, të shpallura të detyrueshme për zbatim, japin siguri për raportin jofinanciar të hartuar nga njësitë ekonomike, në përputhje me kërkesat e legjislacionit në fuqi për kontabilitetin dhe pasqyrat financiare.</w:t>
      </w:r>
    </w:p>
    <w:p w:rsidR="00DF6666" w:rsidRPr="00993C76" w:rsidRDefault="00DF6666" w:rsidP="00196BD3">
      <w:pPr>
        <w:widowControl w:val="0"/>
        <w:spacing w:after="0" w:line="240" w:lineRule="auto"/>
        <w:rPr>
          <w:rFonts w:ascii="Garamond" w:hAnsi="Garamond"/>
          <w:spacing w:val="-4"/>
          <w:sz w:val="24"/>
          <w:szCs w:val="24"/>
          <w:lang w:val="sq-AL"/>
        </w:rPr>
      </w:pPr>
    </w:p>
    <w:p w:rsidR="00196BD3" w:rsidRPr="00993C76" w:rsidRDefault="00196BD3" w:rsidP="00196BD3">
      <w:pPr>
        <w:spacing w:after="0" w:line="240" w:lineRule="auto"/>
        <w:jc w:val="center"/>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Neni 18/1</w:t>
      </w:r>
    </w:p>
    <w:p w:rsidR="00196BD3" w:rsidRPr="00993C76" w:rsidRDefault="00196BD3" w:rsidP="00196BD3">
      <w:pPr>
        <w:spacing w:after="0" w:line="240" w:lineRule="auto"/>
        <w:jc w:val="center"/>
        <w:rPr>
          <w:rFonts w:ascii="Garamond" w:eastAsiaTheme="minorHAnsi" w:hAnsi="Garamond"/>
          <w:b/>
          <w:bCs/>
          <w:color w:val="000000" w:themeColor="text1"/>
          <w:sz w:val="24"/>
          <w:szCs w:val="24"/>
          <w:lang w:val="sq-AL"/>
        </w:rPr>
      </w:pPr>
      <w:r w:rsidRPr="00993C76">
        <w:rPr>
          <w:rFonts w:ascii="Garamond" w:eastAsiaTheme="minorHAnsi" w:hAnsi="Garamond"/>
          <w:b/>
          <w:bCs/>
          <w:color w:val="000000" w:themeColor="text1"/>
          <w:sz w:val="24"/>
          <w:szCs w:val="24"/>
          <w:lang w:val="sq-AL"/>
        </w:rPr>
        <w:t>Raportimi i qëndrueshmërisë</w:t>
      </w:r>
    </w:p>
    <w:p w:rsidR="00196BD3" w:rsidRPr="00993C76" w:rsidRDefault="00196BD3" w:rsidP="00196BD3">
      <w:pPr>
        <w:widowControl w:val="0"/>
        <w:spacing w:after="0" w:line="240" w:lineRule="auto"/>
        <w:ind w:firstLine="720"/>
        <w:jc w:val="center"/>
        <w:rPr>
          <w:rFonts w:ascii="Garamond" w:eastAsia="Times New Roman" w:hAnsi="Garamond"/>
          <w:i/>
          <w:sz w:val="24"/>
          <w:szCs w:val="24"/>
        </w:rPr>
      </w:pPr>
      <w:bookmarkStart w:id="4" w:name="_Hlk237944337"/>
      <w:r w:rsidRPr="00993C76">
        <w:rPr>
          <w:rFonts w:ascii="Garamond" w:eastAsia="Times New Roman" w:hAnsi="Garamond"/>
          <w:i/>
          <w:sz w:val="24"/>
          <w:szCs w:val="24"/>
        </w:rPr>
        <w:t>(Shtuar me ligjin nr. 87/2026, datë 16.7.2026)</w:t>
      </w:r>
    </w:p>
    <w:bookmarkEnd w:id="4"/>
    <w:p w:rsidR="00196BD3" w:rsidRPr="00993C76" w:rsidRDefault="00196BD3" w:rsidP="00196BD3">
      <w:pPr>
        <w:widowControl w:val="0"/>
        <w:tabs>
          <w:tab w:val="left" w:pos="1453"/>
        </w:tabs>
        <w:spacing w:after="0" w:line="240" w:lineRule="auto"/>
        <w:jc w:val="center"/>
        <w:rPr>
          <w:rFonts w:ascii="Garamond" w:hAnsi="Garamond"/>
          <w:b/>
          <w:spacing w:val="-4"/>
          <w:sz w:val="24"/>
          <w:szCs w:val="24"/>
          <w:lang w:val="sq-AL"/>
        </w:rPr>
      </w:pPr>
    </w:p>
    <w:p w:rsidR="00196BD3" w:rsidRPr="00993C76" w:rsidRDefault="00196BD3" w:rsidP="00196BD3">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1. Njësitë ekonomike, të cilat në datën e raportimit tejkalojnë njëkohësisht një mesatare vjetore prej 1 000 punonjësish dhe të ardhura të shfrytëzimit prej 45 000 000 000 lekësh gjatë vitit financiar, duhet të përfshijnë në raportin e ecurisë së veprimtarisë informacionin e nevojshëm për të kuptuar ndikimet e veprimtarisë së njësisë ekonomike për çështjet e qëndrueshmërisë, si dhe informacionin e nevojshëm për të kuptuar se si çështjet e qëndrueshmërisë ndikojnë në zhvillimin, performancën dhe pozicionin e njësisë ekonomike.</w:t>
      </w:r>
    </w:p>
    <w:p w:rsidR="00196BD3" w:rsidRPr="00993C76" w:rsidRDefault="00196BD3" w:rsidP="00196BD3">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2. Raporti i qëndrueshmërisë përmban:</w:t>
      </w:r>
    </w:p>
    <w:p w:rsidR="00196BD3" w:rsidRPr="00993C76" w:rsidRDefault="00196BD3" w:rsidP="00196BD3">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a) përshkrim të modelit dhe strategjisë së biznesit të njësisë, duke përfshirë:</w:t>
      </w:r>
    </w:p>
    <w:p w:rsidR="00196BD3" w:rsidRPr="00993C76" w:rsidRDefault="00196BD3" w:rsidP="00196BD3">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i. fleksibilitetin e tyre ndaj rreziqeve që lidhen me çështjet e qëndrueshmërisë;</w:t>
      </w:r>
    </w:p>
    <w:p w:rsidR="00196BD3" w:rsidRPr="00993C76" w:rsidRDefault="00196BD3" w:rsidP="00196BD3">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ii. mundësitë në lidhje me çështjet e qëndrueshmërisë;</w:t>
      </w:r>
    </w:p>
    <w:p w:rsidR="00196BD3" w:rsidRPr="00993C76" w:rsidRDefault="00196BD3" w:rsidP="00196BD3">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iii. planet e njësisë, përfshirë masat zbatuese dhe planet financiare e të investimeve, për të siguruar harmonizimin e modelit dhe strategjisë me kalimin drejt një ekonomie të qëndrueshme dhe me kufizimin e ngrohjes globale në 1,5°C, në pajtueshmëri me marrëveshjen e Parisit, sipas Konventës kuadër të Kombeve të Bashkuara për Ndryshimet Klimatike, si dhe objektivat afatgjatë të neutralitetit klimatik dhe, sipas rastit, ekspozimin e njësisë ndaj veprimtarive të lidhura me qymyrin, naftën dhe gazin;</w:t>
      </w:r>
    </w:p>
    <w:p w:rsidR="00196BD3" w:rsidRPr="00993C76" w:rsidRDefault="00196BD3" w:rsidP="00196BD3">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iv. mënyrën se si merren parasysh interesat e grupeve të interesit dhe ndikimet e njësisë në çështjet e qëndrueshmërisë;</w:t>
      </w:r>
    </w:p>
    <w:p w:rsidR="00196BD3" w:rsidRPr="00993C76" w:rsidRDefault="00196BD3" w:rsidP="00196BD3">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v. mënyrën e zbatimit të strategjisë për çështjet e qëndrueshmërisë.</w:t>
      </w:r>
    </w:p>
    <w:p w:rsidR="00196BD3" w:rsidRPr="00993C76" w:rsidRDefault="00196BD3" w:rsidP="00196BD3">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b) përshkrim të objektivave të përcaktuar nga njësia në lidhje me çështjet e qëndrueshmërisë, duke përfshirë objektivat për reduktimin e shkarkimeve të gazeve me efekt serë, të paktën për vitet 2030 dhe 2050, progresin e bërë drejt arritjes së tyre, si dhe një deklaratë ku të specifikohet nëse këta objektiva në lidhje me faktorët mjedisorë bazohen në të dhëna shkencore të verifikuara;</w:t>
      </w:r>
    </w:p>
    <w:p w:rsidR="00196BD3" w:rsidRPr="00993C76" w:rsidRDefault="00196BD3" w:rsidP="00196BD3">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c) përshkrim të rolit të organeve drejtuese dhe mbikëqyrëse në lidhje me çështjet e qëndrueshmërisë, si dhe të ekspertizës dhe aftësive të tyre në këtë drejtim;</w:t>
      </w:r>
    </w:p>
    <w:p w:rsidR="00196BD3" w:rsidRPr="00993C76" w:rsidRDefault="00196BD3" w:rsidP="00196BD3">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ç) përshkrim të politikave të ndjekura nga njësia për çështjet e qëndrueshmërisë;</w:t>
      </w:r>
    </w:p>
    <w:p w:rsidR="00196BD3" w:rsidRPr="00993C76" w:rsidRDefault="00196BD3" w:rsidP="00196BD3">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d) informacion për ekzistencën e skemave nxitëse lidhur me çështjet e qëndrueshmërisë për anëtarët e organeve drejtuese e mbikëqyrëse;</w:t>
      </w:r>
    </w:p>
    <w:p w:rsidR="00196BD3" w:rsidRPr="00993C76" w:rsidRDefault="00196BD3" w:rsidP="00196BD3">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dh) përshkrim të:</w:t>
      </w:r>
    </w:p>
    <w:p w:rsidR="00196BD3" w:rsidRPr="00993C76" w:rsidRDefault="00196BD3" w:rsidP="00196BD3">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i. procesit të kujdesit të duhur, të zbatuar nga njësia për çështjet e qëndrueshmërisë;</w:t>
      </w:r>
    </w:p>
    <w:p w:rsidR="00196BD3" w:rsidRPr="00993C76" w:rsidRDefault="00196BD3" w:rsidP="00196BD3">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ii. ndikimeve kryesore negative, aktuale ose të mundshme, që lidhen me veprimtarinë e saj dhe zinxhirin e vlerës, duke përfshirë produktet, shërbimet, marrëdhëniet e biznesit dhe zinxhirin e saj të furnizimit, si dhe masat e marra për t’i identifikuar, për t’i monitoruar dhe për t’i menaxhuar ato;</w:t>
      </w:r>
    </w:p>
    <w:p w:rsidR="00196BD3" w:rsidRPr="00993C76" w:rsidRDefault="00196BD3" w:rsidP="00196BD3">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iii. masave të marra për të parandaluar, për të zbutur, për të korrigjuar ose për të eliminuar ndikimet negative, aktuale ose të mundshme, dhe rezultatet e këtyre masave.</w:t>
      </w:r>
    </w:p>
    <w:p w:rsidR="00196BD3" w:rsidRPr="00993C76" w:rsidRDefault="00196BD3" w:rsidP="00196BD3">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 xml:space="preserve">e) përshkrim të rreziqeve kryesore lidhur me çështjet e qëndrueshmërisë, përfshirë ndërvarësitë kryesore të njësisë dhe mënyrën e menaxhimit të tyre; </w:t>
      </w:r>
    </w:p>
    <w:p w:rsidR="00196BD3" w:rsidRPr="00993C76" w:rsidRDefault="00196BD3" w:rsidP="00196BD3">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ë) treguesit kryesorë të performancës për çështjet e raportuara në shkronjat “a” deri në “e” të kësaj pike.</w:t>
      </w:r>
    </w:p>
    <w:p w:rsidR="00196BD3" w:rsidRPr="00993C76" w:rsidRDefault="00196BD3" w:rsidP="00196BD3">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Njësitë ekonomike raportojnë procesin e ndjekur për identifikimin e informacionit të përfshirë në raportin e ecurisë së veprimtarisë, në përputhje me pikën 1 të këtij neni. Ky informacion përfshin, sipas rastit, të dhëna që lidhen me periudha kohore afatshkurtra, afatmesme dhe afatgjata.</w:t>
      </w:r>
    </w:p>
    <w:p w:rsidR="00196BD3" w:rsidRPr="00993C76" w:rsidRDefault="00196BD3" w:rsidP="00196BD3">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3. Kur raporton informacionin e përmendur në pikat 1 dhe 2 të këtij neni, njësia ekonomike mund të mos përfshijë informacionin e mëposhtëm:</w:t>
      </w:r>
    </w:p>
    <w:p w:rsidR="00196BD3" w:rsidRPr="00993C76" w:rsidRDefault="00196BD3" w:rsidP="00196BD3">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a) në raste të jashtëzakonshme, informacionin, dhënia e të cilit do të dëmtonte rëndë pozitën tregtare të njësisë ekonomike, me kusht që:</w:t>
      </w:r>
    </w:p>
    <w:p w:rsidR="00196BD3" w:rsidRPr="00993C76" w:rsidRDefault="00196BD3" w:rsidP="00196BD3">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i. një mospërfshirje e tillë të mos pengojë një kuptim të drejtë dhe të ekuilibruar të zhvillimit, performancës dhe pozicionit të njësisë ekonomike ose të rreziqeve kryesore apo ndikimeve kryesore të saj;</w:t>
      </w:r>
    </w:p>
    <w:p w:rsidR="00196BD3" w:rsidRPr="00993C76" w:rsidRDefault="00196BD3" w:rsidP="00196BD3">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ii. njësia ekonomike të ketë vlerësuar se informacioni nuk mund të jepet në një mënyrë që do të përmbushte objektivat e kërkesës për dhënie informacioni, pa dëmtuar rëndë pozitën e saj tregtare, duke përfshirë, sipas rastit, edhe dhënien e tij në formë të agreguar;</w:t>
      </w:r>
    </w:p>
    <w:p w:rsidR="00196BD3" w:rsidRPr="00993C76" w:rsidRDefault="00196BD3" w:rsidP="00196BD3">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 xml:space="preserve">iii. njësia ekonomike të bëjë të ditur se ka përdorur këtë përjashtim; </w:t>
      </w:r>
    </w:p>
    <w:p w:rsidR="00196BD3" w:rsidRPr="00993C76" w:rsidRDefault="00196BD3" w:rsidP="00196BD3">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lastRenderedPageBreak/>
        <w:t>iv. njësia ekonomike të rivlerësojë në çdo datë raportimi nëse informacioni mund të vazhdojë të mos përfshihet.</w:t>
      </w:r>
    </w:p>
    <w:p w:rsidR="00196BD3" w:rsidRPr="00993C76" w:rsidRDefault="00196BD3" w:rsidP="00196BD3">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b) informacionin që lidhet me kapitalin intelektual, pronësinë intelektuale, njohuritë e specializuara, informacionin teknologjik ose rezultatet e inovacionit, të cilat përbëjnë sekret tregtar, sipas legjislacionit në fuqi, me kusht që:</w:t>
      </w:r>
    </w:p>
    <w:p w:rsidR="00196BD3" w:rsidRPr="00993C76" w:rsidRDefault="00196BD3" w:rsidP="00196BD3">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 xml:space="preserve">i. njësia ekonomike të bëjë të ditur se ka përdorur këtë përjashtim; </w:t>
      </w:r>
    </w:p>
    <w:p w:rsidR="00196BD3" w:rsidRPr="00993C76" w:rsidRDefault="00196BD3" w:rsidP="00196BD3">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ii. njësia ekonomike të rivlerësojë në çdo datë raportimi nëse informacioni mund të vazhdojë të mos përfshihet.</w:t>
      </w:r>
    </w:p>
    <w:p w:rsidR="00196BD3" w:rsidRPr="00993C76" w:rsidRDefault="00196BD3" w:rsidP="00196BD3">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c) informacionin e klasifikuar sipas legjislacionit të zbatueshëm, me kusht që:</w:t>
      </w:r>
    </w:p>
    <w:p w:rsidR="00196BD3" w:rsidRPr="00993C76" w:rsidRDefault="00196BD3" w:rsidP="00196BD3">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 xml:space="preserve">i. njësia ekonomike të bëjë të ditur se ka përdorur këtë përjashtim; </w:t>
      </w:r>
    </w:p>
    <w:p w:rsidR="00196BD3" w:rsidRPr="00993C76" w:rsidRDefault="00196BD3" w:rsidP="00196BD3">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ii. njësia ekonomike të rivlerësojë në çdo datë raportimi nëse informacioni mund të vazhdojë të mos përfshihet;</w:t>
      </w:r>
    </w:p>
    <w:p w:rsidR="00196BD3" w:rsidRPr="00993C76" w:rsidRDefault="00196BD3" w:rsidP="00196BD3">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ç) informacione të tjera që duhet të mbrohen nga aksesi ose përhapja e paautorizuar, për shkak të detyrimeve të përcaktuara nga legjislacioni në fuqi ose për të mbrojtur privatësinë apo sigurinë e një personi fizik ose sigurinë e një personi juridik, me kusht që:</w:t>
      </w:r>
    </w:p>
    <w:p w:rsidR="00196BD3" w:rsidRPr="00993C76" w:rsidRDefault="00196BD3" w:rsidP="00196BD3">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i. njësia ekonomike të bëjë të ditur se ka përdorur këtë përjashtim;</w:t>
      </w:r>
    </w:p>
    <w:p w:rsidR="00196BD3" w:rsidRPr="00993C76" w:rsidRDefault="00196BD3" w:rsidP="00196BD3">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ii. njësia ekonomike të rivlerësojë në çdo datë raportimi nëse informacioni mund të vazhdojë të mos përfshihet.</w:t>
      </w:r>
    </w:p>
    <w:p w:rsidR="00196BD3" w:rsidRPr="00993C76" w:rsidRDefault="00196BD3" w:rsidP="00196BD3">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4. Drejtuesit e njësisë informojnë përfaqësuesit e punonjësve dhe diskutojnë me ta informacionin për çështjet e qëndrueshmërisë dhe mjetet e sigurimit e verifikimit të tij. Opinioni i përfaqësuesve të punonjësve u komunikohet, sipas rastit, organeve përkatëse ekzekutive, drejtuese ose mbikëqyrëse.</w:t>
      </w:r>
    </w:p>
    <w:p w:rsidR="00196BD3" w:rsidRPr="00993C76" w:rsidRDefault="00196BD3" w:rsidP="00196BD3">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5. Raporti i qëndrueshmërisë, i përgatitur në përputhje me pikat 1 deri 4 të këtij neni, si dhe raportimi i kufizuar, i parashikuar për njësitë e përfshira në pikën 6 të këtij neni, konsiderohen se plotësojnë detyrimin për raportimin e informacionit, të parashikuar në pikën 2 të nenit 17 të këtij ligji.</w:t>
      </w:r>
    </w:p>
    <w:p w:rsidR="00196BD3" w:rsidRPr="00993C76" w:rsidRDefault="00196BD3" w:rsidP="00196BD3">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 xml:space="preserve">6. Njësitë ekonomike të kontrolluara përjashtohen nga detyrimi për të hartuar raport të veçantë të qëndrueshmërisë, nëse ato dhe njësitë e tyre të kontrolluara përfshihen në raportin e konsoliduar të ecurisë së veprimtarisë ose në raportin e konsoliduar të qëndrueshmërisë së njësisë mëmë të përgatitur në përputhje me standardet e raportimit të qëndrueshmërisë ose standardeve të barasvlershme me to, sipas përcaktimeve të akteve nënligjore për njohjen e barasvlershmërisë së këtyre standardeve. </w:t>
      </w:r>
    </w:p>
    <w:p w:rsidR="00196BD3" w:rsidRPr="00993C76" w:rsidRDefault="00196BD3" w:rsidP="00196BD3">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Një njësi e kontrolluar e një njësie mëmë, kur kjo e fundit është e themeluar në një juridiksion tjetër, përjashtohet gjithashtu nga ky detyrim, nëse ajo dhe njësitë e saj të kontrolluara përfshihen në raportin e konsoliduar të qëndrueshmërisë të përgatitur nga njësia mëmë në atë juridiksion dhe ky raport përgatitet në përputhje me standardet e raportimit të qëndrueshmërisë ose standardeve të barasvlershme me to, sipas përcaktimeve të akteve nënligjore për njohjen e barasvlershmërisë së këtyre standardeve.</w:t>
      </w:r>
    </w:p>
    <w:p w:rsidR="00196BD3" w:rsidRPr="00993C76" w:rsidRDefault="00196BD3" w:rsidP="00196BD3">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Përjashtimi në këtë pikë është objekt i kushteve të mëposhtme:</w:t>
      </w:r>
    </w:p>
    <w:p w:rsidR="00196BD3" w:rsidRPr="00993C76" w:rsidRDefault="00196BD3" w:rsidP="00196BD3">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a) raporti i ecurisë së veprimtarisë së njësisë së kontrolluar që përjashtohet përmban:</w:t>
      </w:r>
    </w:p>
    <w:p w:rsidR="00196BD3" w:rsidRPr="00993C76" w:rsidRDefault="00196BD3" w:rsidP="00196BD3">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i. emrin dhe selinë e regjistruar të njësisë mëmë që raporton;</w:t>
      </w:r>
    </w:p>
    <w:p w:rsidR="00196BD3" w:rsidRPr="00993C76" w:rsidRDefault="00196BD3" w:rsidP="00196BD3">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 xml:space="preserve">ii. lidhjen në </w:t>
      </w:r>
      <w:r w:rsidRPr="00993C76">
        <w:rPr>
          <w:rFonts w:ascii="Garamond" w:eastAsiaTheme="minorHAnsi" w:hAnsi="Garamond"/>
          <w:i/>
          <w:iCs/>
          <w:color w:val="000000" w:themeColor="text1"/>
          <w:sz w:val="24"/>
          <w:szCs w:val="24"/>
          <w:lang w:val="sq-AL"/>
        </w:rPr>
        <w:t>web</w:t>
      </w:r>
      <w:r w:rsidRPr="00993C76">
        <w:rPr>
          <w:rFonts w:ascii="Garamond" w:eastAsiaTheme="minorHAnsi" w:hAnsi="Garamond"/>
          <w:color w:val="000000" w:themeColor="text1"/>
          <w:sz w:val="24"/>
          <w:szCs w:val="24"/>
          <w:lang w:val="sq-AL"/>
        </w:rPr>
        <w:t xml:space="preserve"> që drejton te raporti i qëndrueshmërisë i konsoliduar i njësisë mëmë dhe te opinioni i dhënies së sigurisë për raportin;</w:t>
      </w:r>
    </w:p>
    <w:p w:rsidR="00196BD3" w:rsidRPr="00993C76" w:rsidRDefault="00196BD3" w:rsidP="00196BD3">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iii. deklarimin se njësia është e përjashtuar nga detyrimi për raportim të veçantë të qëndrueshmërisë.</w:t>
      </w:r>
    </w:p>
    <w:p w:rsidR="00196BD3" w:rsidRPr="00993C76" w:rsidRDefault="00196BD3" w:rsidP="00196BD3">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b) kur njësia mëmë është themeluar në një juridiksion tjetër, raporti i saj i qëndrueshmërisë i konsoliduar dhe opinioni i dhënies së sigurisë për raportin e qëndrueshmërisë së konsoliduar publikohen në përputhje me legjislacionin vendas për publikimin e pasqyrave financiare dhe në përputhje me legjislacionin e shtetit, ku është regjistruar njësia e kontrolluar e përjashtuar.</w:t>
      </w:r>
    </w:p>
    <w:p w:rsidR="00196BD3" w:rsidRPr="00993C76" w:rsidRDefault="00196BD3" w:rsidP="00196BD3">
      <w:pPr>
        <w:spacing w:after="0" w:line="240" w:lineRule="auto"/>
        <w:rPr>
          <w:rFonts w:ascii="Garamond" w:eastAsiaTheme="minorHAnsi" w:hAnsi="Garamond"/>
          <w:color w:val="000000" w:themeColor="text1"/>
          <w:sz w:val="24"/>
          <w:szCs w:val="24"/>
          <w:lang w:val="sq-AL"/>
        </w:rPr>
      </w:pPr>
    </w:p>
    <w:p w:rsidR="00196BD3" w:rsidRPr="00993C76" w:rsidRDefault="00196BD3" w:rsidP="00196BD3">
      <w:pPr>
        <w:spacing w:after="0" w:line="240" w:lineRule="auto"/>
        <w:jc w:val="center"/>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Neni 18/2</w:t>
      </w:r>
    </w:p>
    <w:p w:rsidR="00196BD3" w:rsidRPr="00993C76" w:rsidRDefault="00196BD3" w:rsidP="00196BD3">
      <w:pPr>
        <w:spacing w:after="0" w:line="240" w:lineRule="auto"/>
        <w:jc w:val="center"/>
        <w:rPr>
          <w:rFonts w:ascii="Garamond" w:eastAsiaTheme="minorHAnsi" w:hAnsi="Garamond"/>
          <w:b/>
          <w:bCs/>
          <w:color w:val="000000" w:themeColor="text1"/>
          <w:sz w:val="24"/>
          <w:szCs w:val="24"/>
          <w:lang w:val="sq-AL"/>
        </w:rPr>
      </w:pPr>
      <w:r w:rsidRPr="00993C76">
        <w:rPr>
          <w:rFonts w:ascii="Garamond" w:eastAsiaTheme="minorHAnsi" w:hAnsi="Garamond"/>
          <w:b/>
          <w:bCs/>
          <w:color w:val="000000" w:themeColor="text1"/>
          <w:sz w:val="24"/>
          <w:szCs w:val="24"/>
          <w:lang w:val="sq-AL"/>
        </w:rPr>
        <w:t>Informacioni në lidhje me zinxhirin e vlerës për qëllimet e raportimit të qëndrueshmërisë</w:t>
      </w:r>
    </w:p>
    <w:p w:rsidR="00196BD3" w:rsidRPr="00993C76" w:rsidRDefault="00196BD3" w:rsidP="00196BD3">
      <w:pPr>
        <w:widowControl w:val="0"/>
        <w:spacing w:after="0" w:line="240" w:lineRule="auto"/>
        <w:ind w:firstLine="720"/>
        <w:jc w:val="center"/>
        <w:rPr>
          <w:rFonts w:ascii="Garamond" w:eastAsia="Times New Roman" w:hAnsi="Garamond"/>
          <w:i/>
          <w:sz w:val="24"/>
          <w:szCs w:val="24"/>
        </w:rPr>
      </w:pPr>
      <w:r w:rsidRPr="00993C76">
        <w:rPr>
          <w:rFonts w:ascii="Garamond" w:eastAsia="Times New Roman" w:hAnsi="Garamond"/>
          <w:i/>
          <w:sz w:val="24"/>
          <w:szCs w:val="24"/>
        </w:rPr>
        <w:t>(Shtuar me ligjin nr. 87/2026, datë 16.7.2026)</w:t>
      </w:r>
    </w:p>
    <w:p w:rsidR="00196BD3" w:rsidRPr="00993C76" w:rsidRDefault="00196BD3" w:rsidP="00196BD3">
      <w:pPr>
        <w:spacing w:after="0" w:line="240" w:lineRule="auto"/>
        <w:rPr>
          <w:rFonts w:ascii="Garamond" w:eastAsiaTheme="minorHAnsi" w:hAnsi="Garamond"/>
          <w:color w:val="000000" w:themeColor="text1"/>
          <w:sz w:val="24"/>
          <w:szCs w:val="24"/>
          <w:lang w:val="sq-AL"/>
        </w:rPr>
      </w:pPr>
    </w:p>
    <w:p w:rsidR="00196BD3" w:rsidRPr="00993C76" w:rsidRDefault="00196BD3" w:rsidP="00196BD3">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1. Kur është e zbatueshme, informacioni i përmendur në pikat 1 dhe 2 të nenit 18/1 të këtij ligji duhet të përfshijë informacion në lidhje me veprimtarinë e vetë njësisë ekonomike dhe zinxhirin e saj të vlerës, duke përfshirë produktet dhe shërbimet e saj, marrëdhëniet e saj të biznesit dhe zinxhirin e saj të furnizimit.</w:t>
      </w:r>
    </w:p>
    <w:p w:rsidR="00196BD3" w:rsidRPr="00993C76" w:rsidRDefault="00196BD3" w:rsidP="00196BD3">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 xml:space="preserve">2. Njësitë ekonomike raportuese mund të mbështeten në një vetëdeklarim nga njësitë ekonomike në zinxhirin e tyre të vlerës për të përcaktuar nëse ato kualifikohen si njësi ekonomike të mbrojtura. Njësitë ekonomike raportuese nuk kanë detyrimin të ndërmarrin hapa për të verifikuar informacionin e përfshirë </w:t>
      </w:r>
      <w:r w:rsidRPr="00993C76">
        <w:rPr>
          <w:rFonts w:ascii="Garamond" w:eastAsiaTheme="minorHAnsi" w:hAnsi="Garamond"/>
          <w:color w:val="000000" w:themeColor="text1"/>
          <w:sz w:val="24"/>
          <w:szCs w:val="24"/>
          <w:lang w:val="sq-AL"/>
        </w:rPr>
        <w:lastRenderedPageBreak/>
        <w:t>në një vetëdeklarim të tillë. Ato nuk duhet të mbështeten në vetëdeklarim nëse e dinë ose mund të pritet në mënyrë të arsyeshme të dinë se deklarata është qartazi e pasaktë.</w:t>
      </w:r>
    </w:p>
    <w:p w:rsidR="00196BD3" w:rsidRPr="00993C76" w:rsidRDefault="00196BD3" w:rsidP="00196BD3">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3. Njësitë ekonomike të mbrojtura kanë të drejtën të refuzojnë dhënien e informacionit që tejkalon informacionin e specifikuar në standardet vullnetare, në përgjigje të një kërkese të bërë për qëllime të raportimit të qëndrueshmërisë, sipas këtij ligji. Për më tepër:</w:t>
      </w:r>
    </w:p>
    <w:p w:rsidR="00196BD3" w:rsidRPr="00993C76" w:rsidRDefault="00196BD3" w:rsidP="00196BD3">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a) kur vendosen marrëveshje kontraktuale ose të tjera për qëllime të përmbushjes së kërkesave të raportimit të qëndrueshmërisë, sipas këtij ligji, njësitë ekonomike raportuese nuk duhet të kërkojnë nga njësitë ekonomike të mbrojtura të japin informacion që tejkalon informacionin e përcaktuar në standardet vullnetare;</w:t>
      </w:r>
    </w:p>
    <w:p w:rsidR="00196BD3" w:rsidRPr="00993C76" w:rsidRDefault="00196BD3" w:rsidP="00196BD3">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b) çdo dispozitë kontraktuale që bie ndesh me shkronjën “a” të kësaj pike nuk do të jetë detyruese, pa cenuar vlefshmërinë e pjesëve të tjera të kontratës;</w:t>
      </w:r>
    </w:p>
    <w:p w:rsidR="00196BD3" w:rsidRPr="00993C76" w:rsidRDefault="00196BD3" w:rsidP="00196BD3">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c) kur një njësi ekonomike raportuese kërkon informacion, drejtpërdrejt ose tërthorazi, nga njësi ekonomike të mbrojtura, për qëllime të raportimit të qëndrueshmërisë, dhe një pjesë ose i gjithë ai informacion tejkalon informacionin e përcaktuar në standardet vullnetare, ajo njësi ekonomike raportuese duhet të sigurojë që njësia ekonomike e mbrojtur të informohet për:</w:t>
      </w:r>
    </w:p>
    <w:p w:rsidR="00196BD3" w:rsidRPr="00993C76" w:rsidRDefault="00196BD3" w:rsidP="00196BD3">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i. informacionin që tejkalon informacionin e përcaktuar në standardet vullnetare;</w:t>
      </w:r>
    </w:p>
    <w:p w:rsidR="00196BD3" w:rsidRPr="00993C76" w:rsidRDefault="00196BD3" w:rsidP="00196BD3">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ii. të drejtën ligjore të njësisë ekonomike të mbrojtur për të refuzuar dhënien e këtij informacioni.</w:t>
      </w:r>
    </w:p>
    <w:p w:rsidR="00196BD3" w:rsidRPr="00993C76" w:rsidRDefault="00196BD3" w:rsidP="00196BD3">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ç) njësitë ekonomike raportuese, të cilat raportojnë informacionin e nevojshëm në lidhje me zinxhirin e tyre të vlerës, pa u kërkuar njësive ekonomike të mbrojtura të japin informacion që tejkalon informacionin e përcaktuar në standardet vullnetare, konsiderohen se kanë përmbushur detyrimin për të raportuar informacionin në lidhje me zinxhirin e vlerës.</w:t>
      </w:r>
    </w:p>
    <w:p w:rsidR="00196BD3" w:rsidRPr="00993C76" w:rsidRDefault="00196BD3" w:rsidP="00196BD3">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4. Dispozitat e këtij neni nuk duhet:</w:t>
      </w:r>
    </w:p>
    <w:p w:rsidR="00196BD3" w:rsidRPr="00993C76" w:rsidRDefault="00196BD3" w:rsidP="00196BD3">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a) të ndikojnë në kërkesat për informacion, të bëra për qëllime të tjera nga raportimi i qëndrueshmërisë, sipas këtij ligji, përfshirë kërkesat për përmbushjen e detyrimeve ligjore në lidhje me proceset e kujdesit të duhur; ose</w:t>
      </w:r>
    </w:p>
    <w:p w:rsidR="00196BD3" w:rsidRPr="00993C76" w:rsidRDefault="00196BD3" w:rsidP="00196BD3">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b) të vendosin ose të nënkuptojnë ndonjë detyrim për ndonjë njësi ekonomike në zinxhirin e vlerës për të dhënë informacion për qëndrueshmërinë.</w:t>
      </w:r>
    </w:p>
    <w:p w:rsidR="00196BD3" w:rsidRPr="00993C76" w:rsidRDefault="00196BD3" w:rsidP="00196BD3">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5. Për 3 vjetët e para, gjatë të cilave një njësi ekonomike bëhet subjekt i kërkesave të raportimit të qëndrueshmërisë, në përputhje me pikën 1 të nenit 18/1 të këtij ligji, dhe kur jo i gjithë informacioni i nevojshëm në lidhje me zinxhirin e saj të vlerës është i disponueshëm, njësia ekonomike duhet:</w:t>
      </w:r>
    </w:p>
    <w:p w:rsidR="00196BD3" w:rsidRPr="00993C76" w:rsidRDefault="00196BD3" w:rsidP="00196BD3">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a) të shpjegojë përpjekjet e bëra për të siguruar informacionin e nevojshëm në lidhje me zinxhirin e vlerës;</w:t>
      </w:r>
    </w:p>
    <w:p w:rsidR="00196BD3" w:rsidRPr="00993C76" w:rsidRDefault="00196BD3" w:rsidP="00196BD3">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 xml:space="preserve">b) të shpjegojë arsyet pse nuk është siguruar i gjithë informacioni i nevojshëm; </w:t>
      </w:r>
    </w:p>
    <w:p w:rsidR="00196BD3" w:rsidRPr="00993C76" w:rsidRDefault="00196BD3" w:rsidP="00196BD3">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c) të përshkruajë planet e saj për të siguruar informacionin në të ardhmen.</w:t>
      </w:r>
    </w:p>
    <w:p w:rsidR="00196BD3" w:rsidRPr="00993C76" w:rsidRDefault="00196BD3" w:rsidP="00196BD3">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6. Pas përfundimit të periudhës tranzitore 3-vjeçare, të përmendur në pikën 5 të këtij neni, njësia ekonomike duhet të përmbushë detyrimin për të raportuar informacionin në lidhje me zinxhirin e vlerës, duke përdorur informacion të marrë drejtpërdrejt nga njësi ekonomike, brenda zinxhirit të saj të vlerës ose, sipas rastit, vlerësime të këtij informacioni.</w:t>
      </w:r>
    </w:p>
    <w:p w:rsidR="00196BD3" w:rsidRPr="00993C76" w:rsidRDefault="00196BD3" w:rsidP="00196BD3">
      <w:pPr>
        <w:spacing w:after="0" w:line="240" w:lineRule="auto"/>
        <w:rPr>
          <w:rFonts w:ascii="Garamond" w:eastAsiaTheme="minorHAnsi" w:hAnsi="Garamond"/>
          <w:color w:val="000000" w:themeColor="text1"/>
          <w:sz w:val="24"/>
          <w:szCs w:val="24"/>
          <w:lang w:val="sq-AL"/>
        </w:rPr>
      </w:pPr>
    </w:p>
    <w:p w:rsidR="00DF6666" w:rsidRPr="00993C76" w:rsidRDefault="00DF6666" w:rsidP="00DF6666">
      <w:pPr>
        <w:pStyle w:val="NeniNr"/>
        <w:keepNext w:val="0"/>
        <w:rPr>
          <w:spacing w:val="-4"/>
          <w:szCs w:val="24"/>
          <w:lang w:val="sq-AL"/>
        </w:rPr>
      </w:pPr>
      <w:r w:rsidRPr="00993C76">
        <w:rPr>
          <w:spacing w:val="-4"/>
          <w:szCs w:val="24"/>
          <w:lang w:val="sq-AL"/>
        </w:rPr>
        <w:t xml:space="preserve">Neni 19 </w:t>
      </w:r>
    </w:p>
    <w:p w:rsidR="00DF6666" w:rsidRPr="00993C76" w:rsidRDefault="00DF6666" w:rsidP="00DF6666">
      <w:pPr>
        <w:pStyle w:val="NeniNr"/>
        <w:keepNext w:val="0"/>
        <w:rPr>
          <w:b/>
          <w:spacing w:val="-4"/>
          <w:szCs w:val="24"/>
          <w:lang w:val="sq-AL"/>
        </w:rPr>
      </w:pPr>
      <w:r w:rsidRPr="00993C76">
        <w:rPr>
          <w:b/>
          <w:spacing w:val="-4"/>
          <w:szCs w:val="24"/>
          <w:lang w:val="sq-AL"/>
        </w:rPr>
        <w:t>Raporti i drejtimit të brendshëm</w:t>
      </w:r>
    </w:p>
    <w:p w:rsidR="00196BD3" w:rsidRPr="00993C76" w:rsidRDefault="00196BD3" w:rsidP="00196BD3">
      <w:pPr>
        <w:widowControl w:val="0"/>
        <w:spacing w:after="0" w:line="240" w:lineRule="auto"/>
        <w:ind w:firstLine="720"/>
        <w:jc w:val="center"/>
        <w:rPr>
          <w:rFonts w:ascii="Garamond" w:eastAsia="Times New Roman" w:hAnsi="Garamond"/>
          <w:i/>
          <w:sz w:val="24"/>
          <w:szCs w:val="24"/>
        </w:rPr>
      </w:pPr>
      <w:r w:rsidRPr="00993C76">
        <w:rPr>
          <w:rFonts w:ascii="Garamond" w:eastAsia="Times New Roman" w:hAnsi="Garamond"/>
          <w:i/>
          <w:sz w:val="24"/>
          <w:szCs w:val="24"/>
        </w:rPr>
        <w:t>(Shtuar togfjal</w:t>
      </w:r>
      <w:r w:rsidR="00993C76">
        <w:rPr>
          <w:rFonts w:ascii="Garamond" w:eastAsia="Times New Roman" w:hAnsi="Garamond"/>
          <w:i/>
          <w:sz w:val="24"/>
          <w:szCs w:val="24"/>
        </w:rPr>
        <w:t>ë</w:t>
      </w:r>
      <w:r w:rsidRPr="00993C76">
        <w:rPr>
          <w:rFonts w:ascii="Garamond" w:eastAsia="Times New Roman" w:hAnsi="Garamond"/>
          <w:i/>
          <w:sz w:val="24"/>
          <w:szCs w:val="24"/>
        </w:rPr>
        <w:t>sh n</w:t>
      </w:r>
      <w:r w:rsidR="00993C76">
        <w:rPr>
          <w:rFonts w:ascii="Garamond" w:eastAsia="Times New Roman" w:hAnsi="Garamond"/>
          <w:i/>
          <w:sz w:val="24"/>
          <w:szCs w:val="24"/>
        </w:rPr>
        <w:t>ë</w:t>
      </w:r>
      <w:r w:rsidRPr="00993C76">
        <w:rPr>
          <w:rFonts w:ascii="Garamond" w:eastAsia="Times New Roman" w:hAnsi="Garamond"/>
          <w:i/>
          <w:sz w:val="24"/>
          <w:szCs w:val="24"/>
        </w:rPr>
        <w:t xml:space="preserve"> pik</w:t>
      </w:r>
      <w:r w:rsidR="00993C76">
        <w:rPr>
          <w:rFonts w:ascii="Garamond" w:eastAsia="Times New Roman" w:hAnsi="Garamond"/>
          <w:i/>
          <w:sz w:val="24"/>
          <w:szCs w:val="24"/>
        </w:rPr>
        <w:t>ë</w:t>
      </w:r>
      <w:r w:rsidRPr="00993C76">
        <w:rPr>
          <w:rFonts w:ascii="Garamond" w:eastAsia="Times New Roman" w:hAnsi="Garamond"/>
          <w:i/>
          <w:sz w:val="24"/>
          <w:szCs w:val="24"/>
        </w:rPr>
        <w:t>n 1, paragraf</w:t>
      </w:r>
      <w:r w:rsidRPr="00993C76">
        <w:rPr>
          <w:rFonts w:ascii="Garamond" w:hAnsi="Garamond"/>
          <w:sz w:val="24"/>
          <w:szCs w:val="24"/>
        </w:rPr>
        <w:t xml:space="preserve"> </w:t>
      </w:r>
      <w:r w:rsidRPr="00993C76">
        <w:rPr>
          <w:rFonts w:ascii="Garamond" w:eastAsia="Times New Roman" w:hAnsi="Garamond"/>
          <w:i/>
          <w:sz w:val="24"/>
          <w:szCs w:val="24"/>
        </w:rPr>
        <w:t>pas nënndarjes “iii” t</w:t>
      </w:r>
      <w:r w:rsidR="00993C76">
        <w:rPr>
          <w:rFonts w:ascii="Garamond" w:eastAsia="Times New Roman" w:hAnsi="Garamond"/>
          <w:i/>
          <w:sz w:val="24"/>
          <w:szCs w:val="24"/>
        </w:rPr>
        <w:t>ë</w:t>
      </w:r>
      <w:r w:rsidRPr="00993C76">
        <w:rPr>
          <w:rFonts w:ascii="Garamond" w:eastAsia="Times New Roman" w:hAnsi="Garamond"/>
          <w:i/>
          <w:sz w:val="24"/>
          <w:szCs w:val="24"/>
        </w:rPr>
        <w:t xml:space="preserve"> shkronj</w:t>
      </w:r>
      <w:r w:rsidR="00993C76">
        <w:rPr>
          <w:rFonts w:ascii="Garamond" w:eastAsia="Times New Roman" w:hAnsi="Garamond"/>
          <w:i/>
          <w:sz w:val="24"/>
          <w:szCs w:val="24"/>
        </w:rPr>
        <w:t>ë</w:t>
      </w:r>
      <w:r w:rsidRPr="00993C76">
        <w:rPr>
          <w:rFonts w:ascii="Garamond" w:eastAsia="Times New Roman" w:hAnsi="Garamond"/>
          <w:i/>
          <w:sz w:val="24"/>
          <w:szCs w:val="24"/>
        </w:rPr>
        <w:t>s “a”</w:t>
      </w:r>
      <w:r w:rsidR="001A3A9F" w:rsidRPr="00993C76">
        <w:rPr>
          <w:rFonts w:ascii="Garamond" w:eastAsia="Times New Roman" w:hAnsi="Garamond"/>
          <w:i/>
          <w:sz w:val="24"/>
          <w:szCs w:val="24"/>
        </w:rPr>
        <w:t xml:space="preserve"> dhe shtuar fjali n</w:t>
      </w:r>
      <w:r w:rsidR="00993C76">
        <w:rPr>
          <w:rFonts w:ascii="Garamond" w:eastAsia="Times New Roman" w:hAnsi="Garamond"/>
          <w:i/>
          <w:sz w:val="24"/>
          <w:szCs w:val="24"/>
        </w:rPr>
        <w:t>ë</w:t>
      </w:r>
      <w:r w:rsidR="001A3A9F" w:rsidRPr="00993C76">
        <w:rPr>
          <w:rFonts w:ascii="Garamond" w:eastAsia="Times New Roman" w:hAnsi="Garamond"/>
          <w:i/>
          <w:sz w:val="24"/>
          <w:szCs w:val="24"/>
        </w:rPr>
        <w:t xml:space="preserve"> fund t</w:t>
      </w:r>
      <w:r w:rsidR="00993C76">
        <w:rPr>
          <w:rFonts w:ascii="Garamond" w:eastAsia="Times New Roman" w:hAnsi="Garamond"/>
          <w:i/>
          <w:sz w:val="24"/>
          <w:szCs w:val="24"/>
        </w:rPr>
        <w:t>ë</w:t>
      </w:r>
      <w:r w:rsidR="001A3A9F" w:rsidRPr="00993C76">
        <w:rPr>
          <w:rFonts w:ascii="Garamond" w:eastAsia="Times New Roman" w:hAnsi="Garamond"/>
          <w:i/>
          <w:sz w:val="24"/>
          <w:szCs w:val="24"/>
        </w:rPr>
        <w:t xml:space="preserve"> shkronj</w:t>
      </w:r>
      <w:r w:rsidR="00993C76">
        <w:rPr>
          <w:rFonts w:ascii="Garamond" w:eastAsia="Times New Roman" w:hAnsi="Garamond"/>
          <w:i/>
          <w:sz w:val="24"/>
          <w:szCs w:val="24"/>
        </w:rPr>
        <w:t>ë</w:t>
      </w:r>
      <w:r w:rsidR="001A3A9F" w:rsidRPr="00993C76">
        <w:rPr>
          <w:rFonts w:ascii="Garamond" w:eastAsia="Times New Roman" w:hAnsi="Garamond"/>
          <w:i/>
          <w:sz w:val="24"/>
          <w:szCs w:val="24"/>
        </w:rPr>
        <w:t>s “ç”, ndryshuar fjal</w:t>
      </w:r>
      <w:r w:rsidR="00993C76">
        <w:rPr>
          <w:rFonts w:ascii="Garamond" w:eastAsia="Times New Roman" w:hAnsi="Garamond"/>
          <w:i/>
          <w:sz w:val="24"/>
          <w:szCs w:val="24"/>
        </w:rPr>
        <w:t>ë</w:t>
      </w:r>
      <w:r w:rsidR="001A3A9F" w:rsidRPr="00993C76">
        <w:rPr>
          <w:rFonts w:ascii="Garamond" w:eastAsia="Times New Roman" w:hAnsi="Garamond"/>
          <w:i/>
          <w:sz w:val="24"/>
          <w:szCs w:val="24"/>
        </w:rPr>
        <w:t xml:space="preserve"> n</w:t>
      </w:r>
      <w:r w:rsidR="00993C76">
        <w:rPr>
          <w:rFonts w:ascii="Garamond" w:eastAsia="Times New Roman" w:hAnsi="Garamond"/>
          <w:i/>
          <w:sz w:val="24"/>
          <w:szCs w:val="24"/>
        </w:rPr>
        <w:t>ë</w:t>
      </w:r>
      <w:r w:rsidR="001A3A9F" w:rsidRPr="00993C76">
        <w:rPr>
          <w:rFonts w:ascii="Garamond" w:eastAsia="Times New Roman" w:hAnsi="Garamond"/>
          <w:i/>
          <w:sz w:val="24"/>
          <w:szCs w:val="24"/>
        </w:rPr>
        <w:t xml:space="preserve"> shkronj</w:t>
      </w:r>
      <w:r w:rsidR="00993C76">
        <w:rPr>
          <w:rFonts w:ascii="Garamond" w:eastAsia="Times New Roman" w:hAnsi="Garamond"/>
          <w:i/>
          <w:sz w:val="24"/>
          <w:szCs w:val="24"/>
        </w:rPr>
        <w:t>ë</w:t>
      </w:r>
      <w:r w:rsidR="001A3A9F" w:rsidRPr="00993C76">
        <w:rPr>
          <w:rFonts w:ascii="Garamond" w:eastAsia="Times New Roman" w:hAnsi="Garamond"/>
          <w:i/>
          <w:sz w:val="24"/>
          <w:szCs w:val="24"/>
        </w:rPr>
        <w:t>n “ç”</w:t>
      </w:r>
      <w:r w:rsidR="005A1B8E" w:rsidRPr="00993C76">
        <w:rPr>
          <w:rFonts w:ascii="Garamond" w:eastAsia="Times New Roman" w:hAnsi="Garamond"/>
          <w:i/>
          <w:sz w:val="24"/>
          <w:szCs w:val="24"/>
        </w:rPr>
        <w:t xml:space="preserve"> t</w:t>
      </w:r>
      <w:r w:rsidR="00993C76">
        <w:rPr>
          <w:rFonts w:ascii="Garamond" w:eastAsia="Times New Roman" w:hAnsi="Garamond"/>
          <w:i/>
          <w:sz w:val="24"/>
          <w:szCs w:val="24"/>
        </w:rPr>
        <w:t>ë</w:t>
      </w:r>
      <w:r w:rsidR="005A1B8E" w:rsidRPr="00993C76">
        <w:rPr>
          <w:rFonts w:ascii="Garamond" w:eastAsia="Times New Roman" w:hAnsi="Garamond"/>
          <w:i/>
          <w:sz w:val="24"/>
          <w:szCs w:val="24"/>
        </w:rPr>
        <w:t xml:space="preserve"> pik</w:t>
      </w:r>
      <w:r w:rsidR="00993C76">
        <w:rPr>
          <w:rFonts w:ascii="Garamond" w:eastAsia="Times New Roman" w:hAnsi="Garamond"/>
          <w:i/>
          <w:sz w:val="24"/>
          <w:szCs w:val="24"/>
        </w:rPr>
        <w:t>ë</w:t>
      </w:r>
      <w:r w:rsidR="005A1B8E" w:rsidRPr="00993C76">
        <w:rPr>
          <w:rFonts w:ascii="Garamond" w:eastAsia="Times New Roman" w:hAnsi="Garamond"/>
          <w:i/>
          <w:sz w:val="24"/>
          <w:szCs w:val="24"/>
        </w:rPr>
        <w:t xml:space="preserve">s 1 </w:t>
      </w:r>
      <w:r w:rsidRPr="00993C76">
        <w:rPr>
          <w:rFonts w:ascii="Garamond" w:eastAsia="Times New Roman" w:hAnsi="Garamond"/>
          <w:i/>
          <w:sz w:val="24"/>
          <w:szCs w:val="24"/>
        </w:rPr>
        <w:t>me ligjin nr. 87/2026, datë 16.7.2026)</w:t>
      </w:r>
    </w:p>
    <w:p w:rsidR="00DF6666" w:rsidRPr="00993C76" w:rsidRDefault="00DF6666" w:rsidP="00DF6666">
      <w:pPr>
        <w:widowControl w:val="0"/>
        <w:tabs>
          <w:tab w:val="left" w:pos="1453"/>
        </w:tabs>
        <w:spacing w:after="0" w:line="240" w:lineRule="auto"/>
        <w:jc w:val="center"/>
        <w:rPr>
          <w:rFonts w:ascii="Garamond" w:hAnsi="Garamond"/>
          <w:b/>
          <w:spacing w:val="-4"/>
          <w:sz w:val="24"/>
          <w:szCs w:val="24"/>
          <w:lang w:val="sq-AL"/>
        </w:rPr>
      </w:pP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 xml:space="preserve">1. Njësitë ekonomike me interes publik </w:t>
      </w:r>
      <w:r w:rsidR="00196BD3" w:rsidRPr="00993C76">
        <w:rPr>
          <w:rFonts w:ascii="Garamond" w:hAnsi="Garamond"/>
          <w:spacing w:val="-4"/>
          <w:sz w:val="24"/>
          <w:szCs w:val="24"/>
          <w:lang w:val="sq-AL"/>
        </w:rPr>
        <w:t xml:space="preserve">përjashtuar mikronjësitë </w:t>
      </w:r>
      <w:r w:rsidRPr="00993C76">
        <w:rPr>
          <w:rFonts w:ascii="Garamond" w:hAnsi="Garamond"/>
          <w:spacing w:val="-4"/>
          <w:sz w:val="24"/>
          <w:szCs w:val="24"/>
          <w:lang w:val="sq-AL"/>
        </w:rPr>
        <w:t>përfshijnë në raportin e ecurisë së veprimtarisë një raport për drejtimin e brendshëm të njësisë ekonomike. Ky raport përmban, të paktën, informacionet e mëposhtme:</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a) referimin, si më poshtë, sipas rastit:</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i) rregullat/kodet për drejtimin e brendshëm të njësisë ekonomike, objekt i të cilave është njësia;</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ii) rregullat/kodet për drejtimin e brendshëm të njësisë ekonomike, që njësia ka vendosur vullnetarisht të zbatojë;</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iii) të gjitha informacionet përkatëse për praktikat e drejtimit të brendshëm të njësisë ekonomike që zbatohen përtej kërkesave të legjislacionit;</w:t>
      </w:r>
    </w:p>
    <w:p w:rsidR="00196BD3" w:rsidRPr="00993C76" w:rsidRDefault="00196BD3" w:rsidP="00196BD3">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Kur përfshihen referenca të kodit për drejtimin e brendshëm, të përmendura në nënndarjet “i” ose “ii” të kësaj shkronje, njësia ekonomike përcakton edhe se ku gjenden të publikuara tekstet përkatëse. Kur përfshihen referenca të informacionit, të përmendura në nënndarjen “iii” të kësaj shkronje, njësia ekonomike vë në dispozicion të publikut detaje të praktikave të saj të drejtimit të brendshëm;</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lastRenderedPageBreak/>
        <w:t>b) një përshkrim të tipareve kryesore të sistemeve të kontrollit të brendshëm dhe menaxhimit të riskut të njësisë ekonomike lidhur me raportimin financiar;</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c) përbërjen dhe funksionimin e organeve ekzekutive drejtuese dhe mbikëqyrëse dhe të komiteteve të tyre;</w:t>
      </w:r>
    </w:p>
    <w:p w:rsidR="00DF6666" w:rsidRPr="00993C76" w:rsidRDefault="00DF6666" w:rsidP="00196BD3">
      <w:pPr>
        <w:spacing w:after="0" w:line="240" w:lineRule="auto"/>
        <w:rPr>
          <w:rFonts w:ascii="Garamond" w:hAnsi="Garamond"/>
          <w:spacing w:val="-4"/>
          <w:sz w:val="24"/>
          <w:szCs w:val="24"/>
          <w:lang w:val="sq-AL"/>
        </w:rPr>
      </w:pPr>
      <w:r w:rsidRPr="00993C76">
        <w:rPr>
          <w:rFonts w:ascii="Garamond" w:hAnsi="Garamond"/>
          <w:spacing w:val="-4"/>
          <w:sz w:val="24"/>
          <w:szCs w:val="24"/>
          <w:lang w:val="sq-AL"/>
        </w:rPr>
        <w:t xml:space="preserve">ç) një përshkrim të politikave </w:t>
      </w:r>
      <w:r w:rsidR="00196BD3" w:rsidRPr="00993C76">
        <w:rPr>
          <w:rFonts w:ascii="Garamond" w:hAnsi="Garamond"/>
          <w:color w:val="000000" w:themeColor="text1"/>
          <w:sz w:val="24"/>
          <w:szCs w:val="24"/>
        </w:rPr>
        <w:t>të diversitetit</w:t>
      </w:r>
      <w:r w:rsidR="00196BD3" w:rsidRPr="00993C76">
        <w:rPr>
          <w:rFonts w:ascii="Garamond" w:hAnsi="Garamond"/>
          <w:spacing w:val="-4"/>
          <w:sz w:val="24"/>
          <w:szCs w:val="24"/>
          <w:lang w:val="sq-AL"/>
        </w:rPr>
        <w:t xml:space="preserve"> </w:t>
      </w:r>
      <w:r w:rsidRPr="00993C76">
        <w:rPr>
          <w:rFonts w:ascii="Garamond" w:hAnsi="Garamond"/>
          <w:spacing w:val="-4"/>
          <w:sz w:val="24"/>
          <w:szCs w:val="24"/>
          <w:lang w:val="sq-AL"/>
        </w:rPr>
        <w:t>të zbatuara lidhur me organet ekzekutive drejtuese dhe mbikëqyrëse të njësisë ekonomike për aspekte të tilla, si: mosha, gjinia apo prejardhja arsimore dhe profesionale, objektivat e këtyre politikave të ndryshme, si janë zbatuar dhe rezultatet për periudhën raportuese.</w:t>
      </w:r>
      <w:r w:rsidR="00196BD3" w:rsidRPr="00993C76">
        <w:rPr>
          <w:rFonts w:ascii="Garamond" w:hAnsi="Garamond"/>
          <w:spacing w:val="-4"/>
          <w:sz w:val="24"/>
          <w:szCs w:val="24"/>
          <w:lang w:val="sq-AL"/>
        </w:rPr>
        <w:t xml:space="preserve"> </w:t>
      </w:r>
      <w:r w:rsidR="00196BD3" w:rsidRPr="00993C76">
        <w:rPr>
          <w:rFonts w:ascii="Garamond" w:eastAsiaTheme="minorHAnsi" w:hAnsi="Garamond"/>
          <w:color w:val="000000" w:themeColor="text1"/>
          <w:sz w:val="24"/>
          <w:szCs w:val="24"/>
          <w:lang w:val="sq-AL"/>
        </w:rPr>
        <w:t>Nëse nuk zbatohet një politikë e tillë, raporti duhet të përmbajë një shpjegim të arsyeve përkatëse. Njësitë ekonomike që përgatitin raport mbi qëndrueshmërinë, në përputhje me këtë ligj, konsiderohen se e kanë përmbushur këtë detyrim kur informacioni i kërkuar përfshihet në atë raport dhe bëhet referencë për të në raportin e drejtimit të brendshëm.</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2. Kur njësia ekonomike nuk vepron sipas rregullave/kodit të drejtimit të brendshëm të shoqërisë, që përmendet në pikën 1, shkronja “a”, nënpikat “i” dhe “ii”, njësia ekonomike duhet të japë një shpjegim se cilat janë pjesët e kodit të drejtimit të brendshëm, të cilat nuk i zbaton dhe arsyet për këto shmangie; kur njësia ekonomike ka vendosur të mos bëjë lidhjen me dispozitat e një kodi të drejtimit të brendshëm, të përmendur në pikën 1, shkronja “a”, nënpikat “i” dhe “ii”, të këtij neni, ajo shpjegon arsyet për këtë.</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3. Njësitë e vogla dhe të mesme ekonomike me interes publik janë të përjashtuara nga detyrimet e parashikuara në pikën 1, shkronja “ç”, të këtij neni.</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4. Informacioni i kërkuar nga pika 1, e këtij neni, paraqitet si rubrikë më vete e raportit të ecurisë së veprimtarisë dhe publikohet së bashku me raportin e ecurisë së veprimtarisë.</w:t>
      </w:r>
    </w:p>
    <w:p w:rsidR="00DF6666" w:rsidRPr="00993C76" w:rsidRDefault="00DF6666" w:rsidP="00DF6666">
      <w:pPr>
        <w:widowControl w:val="0"/>
        <w:tabs>
          <w:tab w:val="left" w:pos="1453"/>
        </w:tabs>
        <w:spacing w:after="0" w:line="240" w:lineRule="auto"/>
        <w:rPr>
          <w:rFonts w:ascii="Garamond" w:hAnsi="Garamond"/>
          <w:spacing w:val="-4"/>
          <w:sz w:val="24"/>
          <w:szCs w:val="24"/>
          <w:lang w:val="sq-AL"/>
        </w:rPr>
      </w:pPr>
    </w:p>
    <w:p w:rsidR="00DF6666" w:rsidRPr="00993C76" w:rsidRDefault="00DF6666" w:rsidP="00DF6666">
      <w:pPr>
        <w:pStyle w:val="NeniNr"/>
        <w:keepNext w:val="0"/>
        <w:rPr>
          <w:spacing w:val="-4"/>
          <w:szCs w:val="24"/>
          <w:lang w:val="sq-AL"/>
        </w:rPr>
      </w:pPr>
      <w:r w:rsidRPr="00993C76">
        <w:rPr>
          <w:spacing w:val="-4"/>
          <w:szCs w:val="24"/>
          <w:lang w:val="sq-AL"/>
        </w:rPr>
        <w:t>Neni 20</w:t>
      </w:r>
    </w:p>
    <w:p w:rsidR="00DF6666" w:rsidRPr="00993C76" w:rsidRDefault="00DF6666" w:rsidP="00DF6666">
      <w:pPr>
        <w:pStyle w:val="NeniNr"/>
        <w:keepNext w:val="0"/>
        <w:rPr>
          <w:b/>
          <w:spacing w:val="-4"/>
          <w:szCs w:val="24"/>
          <w:lang w:val="sq-AL"/>
        </w:rPr>
      </w:pPr>
      <w:r w:rsidRPr="00993C76">
        <w:rPr>
          <w:b/>
          <w:spacing w:val="-4"/>
          <w:szCs w:val="24"/>
          <w:lang w:val="sq-AL"/>
        </w:rPr>
        <w:t xml:space="preserve"> Raporti i konsoliduar i ecurisë së veprimtarisë</w:t>
      </w:r>
    </w:p>
    <w:p w:rsidR="001A3A9F" w:rsidRPr="00993C76" w:rsidRDefault="001A3A9F" w:rsidP="001A3A9F">
      <w:pPr>
        <w:widowControl w:val="0"/>
        <w:spacing w:after="0" w:line="240" w:lineRule="auto"/>
        <w:ind w:firstLine="720"/>
        <w:jc w:val="center"/>
        <w:rPr>
          <w:rFonts w:ascii="Garamond" w:eastAsia="Times New Roman" w:hAnsi="Garamond"/>
          <w:i/>
          <w:sz w:val="24"/>
          <w:szCs w:val="24"/>
        </w:rPr>
      </w:pPr>
      <w:bookmarkStart w:id="5" w:name="_Hlk237944873"/>
      <w:r w:rsidRPr="00993C76">
        <w:rPr>
          <w:rFonts w:ascii="Garamond" w:eastAsia="Times New Roman" w:hAnsi="Garamond"/>
          <w:i/>
          <w:sz w:val="24"/>
          <w:szCs w:val="24"/>
        </w:rPr>
        <w:t>(Shtuar pika 3 me ligjin nr. 87/2026, datë 16.7.2026)</w:t>
      </w:r>
    </w:p>
    <w:bookmarkEnd w:id="5"/>
    <w:p w:rsidR="00DF6666" w:rsidRPr="00993C76" w:rsidRDefault="00DF6666" w:rsidP="00DF6666">
      <w:pPr>
        <w:widowControl w:val="0"/>
        <w:tabs>
          <w:tab w:val="left" w:pos="1453"/>
        </w:tabs>
        <w:spacing w:after="0" w:line="240" w:lineRule="auto"/>
        <w:jc w:val="center"/>
        <w:rPr>
          <w:rFonts w:ascii="Garamond" w:hAnsi="Garamond"/>
          <w:b/>
          <w:spacing w:val="-4"/>
          <w:sz w:val="24"/>
          <w:szCs w:val="24"/>
          <w:lang w:val="sq-AL"/>
        </w:rPr>
      </w:pP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1. Njësia ekonomike mëmë, në rastet kur ka për detyrim të hartojë pasqyra financiare të konsolidura, duhet të hartojë edhe raportin e konsoliduar të ecurisë së veprimtarisë, bazuar në kërkesat e neneve 17, 18 dhe 19, të këtij ligji, duke mbajtur në konsideratë rregullimet thelbësore, në mënyrë të atillë që të mundësojë vlerësimin e pozicionit në tërësi të njësive ekonomike të përfshira në konsolidim.</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2. Në raportin e konsoliduar të ecurisë së veprimtarisë, rregullimet e informacioneve që kërkojnë nenet 17, 18 dhe 19, të këtij ligji, duhet të jepen në mënyrën e mëposhtme:</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 xml:space="preserve">a) gjatë raportimit të të dhënave për aksionet e veta të rimarra, raporti i konsoliduar i ecurisë së veprimtarisë bën të ditur numrin dhe vlerën nominale ose, në mungesë të vlerës nominale, vlerën kontabël të të gjitha aksioneve të njësisë mëmë që i mban kjo njësi mëmë, njësitë e kontrolluara të saj ose një person që vepron në emër të tij, por për llogari të këtyre njësive. Dhënia e këtyre informacioneve duhet të jepet në shënimet e pasqyrave financiare të konsoliduara; </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b) gjatë raportimit për sistemet e kontrollit të brendshëm dhe menaxhimit të riskut, raporti për drejtimin e brendshëm të njësisë ekonomike përmend karakteristikat kryesore të sistemeve të kontrollit të brendshëm dhe menaxhimit të riskut për njësitë ekonomike të përfshira në konsolidim, të marra në tërësi.</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3. Kur krahas raportit të ecurisë së veprimtarisë kërkohet gjithashtu një raport i konsoliduar i ecurisë së veprimtarisë, të dyja raportet mund të paraqiten si një raport i vetëm.</w:t>
      </w:r>
    </w:p>
    <w:p w:rsidR="001A3A9F" w:rsidRPr="00993C76" w:rsidRDefault="001A3A9F" w:rsidP="001A3A9F">
      <w:pPr>
        <w:spacing w:after="0" w:line="240" w:lineRule="auto"/>
        <w:jc w:val="center"/>
        <w:rPr>
          <w:rFonts w:ascii="Garamond" w:eastAsiaTheme="minorHAnsi" w:hAnsi="Garamond"/>
          <w:color w:val="000000" w:themeColor="text1"/>
          <w:sz w:val="24"/>
          <w:szCs w:val="24"/>
          <w:lang w:val="sq-AL"/>
        </w:rPr>
      </w:pPr>
    </w:p>
    <w:p w:rsidR="001A3A9F" w:rsidRPr="00993C76" w:rsidRDefault="001A3A9F" w:rsidP="001A3A9F">
      <w:pPr>
        <w:spacing w:after="0" w:line="240" w:lineRule="auto"/>
        <w:jc w:val="center"/>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Neni 20/1</w:t>
      </w:r>
    </w:p>
    <w:p w:rsidR="001A3A9F" w:rsidRPr="00993C76" w:rsidRDefault="001A3A9F" w:rsidP="001A3A9F">
      <w:pPr>
        <w:spacing w:after="0" w:line="240" w:lineRule="auto"/>
        <w:jc w:val="center"/>
        <w:rPr>
          <w:rFonts w:ascii="Garamond" w:eastAsiaTheme="minorHAnsi" w:hAnsi="Garamond"/>
          <w:b/>
          <w:bCs/>
          <w:color w:val="000000" w:themeColor="text1"/>
          <w:sz w:val="24"/>
          <w:szCs w:val="24"/>
          <w:lang w:val="sq-AL"/>
        </w:rPr>
      </w:pPr>
      <w:r w:rsidRPr="00993C76">
        <w:rPr>
          <w:rFonts w:ascii="Garamond" w:eastAsiaTheme="minorHAnsi" w:hAnsi="Garamond"/>
          <w:b/>
          <w:bCs/>
          <w:color w:val="000000" w:themeColor="text1"/>
          <w:sz w:val="24"/>
          <w:szCs w:val="24"/>
          <w:lang w:val="sq-AL"/>
        </w:rPr>
        <w:t>Raportimi i qëndrueshmërisë i konsoliduar</w:t>
      </w:r>
    </w:p>
    <w:p w:rsidR="001A3A9F" w:rsidRPr="00993C76" w:rsidRDefault="001A3A9F" w:rsidP="001A3A9F">
      <w:pPr>
        <w:widowControl w:val="0"/>
        <w:spacing w:after="0" w:line="240" w:lineRule="auto"/>
        <w:ind w:firstLine="720"/>
        <w:jc w:val="center"/>
        <w:rPr>
          <w:rFonts w:ascii="Garamond" w:eastAsia="Times New Roman" w:hAnsi="Garamond"/>
          <w:i/>
          <w:sz w:val="24"/>
          <w:szCs w:val="24"/>
        </w:rPr>
      </w:pPr>
      <w:r w:rsidRPr="00993C76">
        <w:rPr>
          <w:rFonts w:ascii="Garamond" w:eastAsia="Times New Roman" w:hAnsi="Garamond"/>
          <w:i/>
          <w:sz w:val="24"/>
          <w:szCs w:val="24"/>
        </w:rPr>
        <w:t>(Shtuar me ligjin nr. 87/2026, datë 16.7.2026)</w:t>
      </w:r>
    </w:p>
    <w:p w:rsidR="001A3A9F" w:rsidRPr="00993C76" w:rsidRDefault="001A3A9F" w:rsidP="001A3A9F">
      <w:pPr>
        <w:spacing w:after="0" w:line="240" w:lineRule="auto"/>
        <w:rPr>
          <w:rFonts w:ascii="Garamond" w:eastAsiaTheme="minorHAnsi" w:hAnsi="Garamond"/>
          <w:color w:val="000000" w:themeColor="text1"/>
          <w:sz w:val="24"/>
          <w:szCs w:val="24"/>
          <w:lang w:val="sq-AL"/>
        </w:rPr>
      </w:pP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1. Njësitë ekonomike mëmë të një grupi, të cilat në datën e raportimit, në bazë të konsoliduar, tejkalojnë njëkohësisht të ardhura neto prej 45 000 000 000 lekësh dhe një mesatare vjetore prej 1 000 punonjësish gjatë vitit financiar, duhet të përgatisin dhe të përfshijnë në raportin e konsoliduar të ecurisë së veprimtarisë informacionin e nevojshëm për të kuptuar:</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a) ndikimet e veprimtarive të grupit për çështjet e qëndrueshmërisë;</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b) mënyrën se si çështjet e qëndrueshmërisë ndikojnë në zhvillimin, performancën dhe pozicionin e grupit.</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Informacioni i përmendur në këtë pikë duhet të jetë qartësisht i identifikueshëm brenda raportit të konsoliduar të ecurisë së veprimtarisë, nëpërmjet një seksioni të dedikuar të këtij raporti.</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2. Raporti i qëndrueshmërisë i konsoliduar përmban:</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a) përshkrim të modelit dhe strategjisë së biznesit të grupit, duke përfshirë:</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lastRenderedPageBreak/>
        <w:t>i. fleksibilitetin e modelit dhe strategjisë së biznesit të grupit për sa u përket rreziqeve që lidhen me çështjet e qëndrueshmërisë;</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ii. mundësitë për grupin në lidhje me çështjet e qëndrueshmërisë;</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iii. planet e grupit, përfshirë masat zbatuese dhe planet financiare të investimeve, për të siguruar harmonizimin e modelit dhe strategjisë, me kalimin drejt një ekonomie të qëndrueshme dhe me kufizimin e ngrohjes globale në 1,5°C, në pajtueshmëri me marrëveshjen e Parisit dhe me objektivin e arritjes së neutralitetit klimatik deri në vitin 2050, dhe, sipas rastit, ekspozimin e grupit ndaj veprimtarive të lidhura me qymyrin, naftën dhe gazin;</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iv. mënyrën se si modeli dhe strategjia e biznesit të grupit marrin parasysh interesat e grupeve të interesit dhe ndikimet e grupit në çështjet e qëndrueshmërisë;</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v. mënyrën e zbatimit të strategjisë së grupit në lidhje me çështjet e qëndrueshmërisë.</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b) përshkrim të objektivave të përcaktuar nga grupi lidhur me çështjet e qëndrueshmërisë, përfshirë, sipas rastit, objektivat e reduktimit të shkarkimeve të gazeve me efekt serrë për periudhat afatmesme dhe afatgjata, progresin drejt arritjes së tyre dhe një deklaratë, ku të cilësohet nëse objektivat e grupit në lidhje me faktorët mjedisorë bazohen në të dhëna shkencore të verifikuara;</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c) përshkrim të rolit të organeve ekzekutive, drejtuese dhe mbikëqyrëse, në lidhje me çështjet e qëndrueshmërisë, si dhe të ekspertizës dhe aftësive të tyre në këtë drejtim;</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ç) përshkrim të politikave të ndjekura nga grupi për çështjet e qëndrueshmërisë;</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d) informacion për ekzistencën e skemave nxitëse lidhur me çështjet e qëndrueshmërisë për anëtarët e organeve ekzekutive, drejtuese e mbikëqyrëse;</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dh) përshkrim të:</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i. procesit të kujdesit të duhur, të zbatuar nga grupi për çështjet e qëndrueshmërisë;</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ii. ndikimeve kryesore negative, aktuale ose të mundshme, që lidhen me veprimtarinë e tij dhe zinxhirin e vlerës, duke përfshirë produktet, shërbimet, marrëdhëniet e biznesit dhe zinxhirin e saj të furnizimit, si dhe masat e marra për t’i identifikuar, për t’i monitoruar dhe për t’i menaxhuar ato;</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iii. çdo mase të ndërmarrë nga grupi për të parandaluar, për të zbutur, për të korrigjuar ose për të eliminuar ndikimet negative, aktuale ose të mundshme, dhe të rezultatit të këtyre masave.</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e) përshkrim të rreziqeve kryesore për grupin, sa u përket çështjeve të qëndrueshmërisë, duke përfshirë ndërvarësitë kryesore nga këto çështje dhe mënyrën e menaxhimit të rreziqeve;</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ë) treguesit kryesorë të performancës për çështjet e raportuara në shkronjat “a” deri në “e” të kësaj pike.</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Raporti pasqyron të dhëna afatshkurtra, afatmesme dhe afatgjata, sipas rastit.</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3. Kur raporton informacionin e përmendur në pikat 1 dhe 2 të këtij neni, njësia ekonomike mëmë mund të mos përfshijë informacionin e mëposhtëm:</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a) në raste të jashtëzakonshme, informacionin, dhënia e të cilit do të dëmtonte rëndë pozitën tregtare të grupit, me kusht që:</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i. një mospërfshirje e tillë të mos pengojë një kuptim të drejtë dhe të ekuilibruar të zhvillimit, performancës dhe pozicionit të grupit ose të rreziqeve kryesore apo ndikimeve kryesore të tij;</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ii. njësia ekonomike mëmë të ketë vlerësuar se informacioni nuk mund të jepet në një mënyrë që do të lejonte përmbushjen e objektivave të kërkesës për dhënie informacioni, pa dëmtuar rëndë pozitën tregtare të grupit, duke përfshirë, sipas rastit, edhe dhënien e tij në formë të agreguar;</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 xml:space="preserve">iii. njësia ekonomike mëmë të bëjë të ditur se ka përdorur këtë përjashtim; </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iv. njësia ekonomike mëmë të rivlerësojë në çdo datë raportimi nëse informacioni mund të vazhdojë të mos përfshihet.</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b) informacionin që lidhet me kapitalin intelektual, pronësinë intelektuale, njohuritë e specializuara, informacionin teknologjik ose rezultatet e inovacionit, të cilat përbëjnë sekret tregtar, sipas legjislacionit në fuqi, me kusht që:</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 xml:space="preserve">i. njësia ekonomike mëmë të bëjë të ditur se ka përdorur këtë përjashtim; </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ii. njësia ekonomike mëmë të rivlerësojë në çdo datë raportimi nëse informacioni mund të vazhdojë të mos përfshihet.</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c) informacionin e klasifikuar, sipas legjislacionit të zbatueshëm, me kusht që:</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i. njësia ekonomike mëmë të bëjë të ditur se ka përdorur këtë përjashtim;</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ii. njësia ekonomike mëmë të rivlerësojë në çdo datë raportimi nëse informacioni mund të vazhdojë të mos përfshihet.</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ç) informacione të tjera që duhet të mbrohen nga aksesi ose nga përhapja e paautorizuar për shkak të detyrimeve të përcaktuara nga legjislacioni në fuqi ose për të mbrojtur privatësinë apo sigurinë e një personi fizik ose sigurinë e një personi juridik, me kusht që:</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lastRenderedPageBreak/>
        <w:t>i. njësia ekonomike mëmë të bëjë të ditur se ka përdorur këtë përjashtim;</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ii. njësia ekonomike mëmë të rivlerësojë në çdo datë raportimi nëse informacioni mund të vazhdojë të mos përfshihet.</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4. Në përjashtim nga pika 1 e këtij neni, kur përbërja e grupit ndryshon gjatë vitit financiar si rezultat i blerjes ose bashkimit të njësive ekonomike, njësia ekonomike mëmë mund të vendosë të mos përfshijë në raportin e konsoliduar të ecurisë së veprimtarisë për atë vit financiar informacionin e përmendur në pikën 1 të këtij neni në lidhje me njësitë ekonomike, që janë subjekt i kësaj blerjeje ose bashkimi.</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Njësia ekonomike mëmë mund të vendosë të mos përfshijë në raportin e konsoliduar të ecurisë së veprimtarisë informacionin e përmendur në pikën 1 të këtij neni, në lidhje me një njësi ekonomike të kontrolluar që del nga grupi gjatë vitit financiar.</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Njësia ekonomike mëmë, e cila zbaton mundësitë e parashikuara në këtë pikë, duhet të japë informacion për çdo ngjarje të rëndësishme që prek njësinë ekonomike të kontrolluar gjatë vitit financiar dhe ka efekt mbi ndikimet e grupit për çështjet e qëndrueshmërisë ose në rreziqet apo mundësitë që lidhen me to.</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5. Raporti i qëndrueshmërisë i konsoliduar përgatitet në përputhje me standardet e raportimit të qëndrueshmërisë, të shpallura për zbatim me urdhër nga ministri përgjegjës për financat.</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6. Drejtuesit e njësisë mëmë informojnë përfaqësuesit e punonjësve në nivelin e duhur dhe diskutojnë me ta informacionin përkatës dhe mjetet e sigurimit e verifikimit të informacionit lidhur me qëndrueshmërinë. Opinioni i përfaqësuesve të punonjësve u komunikohet, sipas rastit, organeve kompetente ekzekutive, drejtuese ose mbikëqyrëse.</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7. Njësia mëmë, që përmbush kërkesat e përcaktuara në pikat 1 deri në 5 të këtij neni, konsiderohet se ka përmbushur kërkesat për përfshirjen e informacionit përkatës në raportin e konsoliduar të ecurisë së veprimtarisë dhe në raportimin e qëndrueshmërisë në nivel grupi, sipas këtij ligji.</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 xml:space="preserve">8. Në përjashtim nga pika 1 e këtij neni, njësitë ekonomike mëmë, që janë njësi ekonomike të tipit “shoqëri financiare </w:t>
      </w:r>
      <w:r w:rsidRPr="00993C76">
        <w:rPr>
          <w:rFonts w:ascii="Garamond" w:eastAsiaTheme="minorHAnsi" w:hAnsi="Garamond"/>
          <w:i/>
          <w:iCs/>
          <w:color w:val="000000" w:themeColor="text1"/>
          <w:sz w:val="24"/>
          <w:szCs w:val="24"/>
          <w:lang w:val="sq-AL"/>
        </w:rPr>
        <w:t>holding</w:t>
      </w:r>
      <w:r w:rsidRPr="00993C76">
        <w:rPr>
          <w:rFonts w:ascii="Garamond" w:eastAsiaTheme="minorHAnsi" w:hAnsi="Garamond"/>
          <w:color w:val="000000" w:themeColor="text1"/>
          <w:sz w:val="24"/>
          <w:szCs w:val="24"/>
          <w:lang w:val="sq-AL"/>
        </w:rPr>
        <w:t xml:space="preserve">”, mund të vendosin të mos përfshijnë në raportin e konsoliduar të ecurisë së veprimtarisë informacionin e përmendur në pikën 1 të këtij neni, kur modelet e biznesit dhe veprimtaritë e njësive ekonomike të kontrolluara janë të pavarura nga njëra-tjetra. </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9. Njësia mëmë përjashtohet nga detyrimi për të hartuar raport të konsoliduar të qëndrueshmërisë, kur ajo vetë është njësi e kontrolluar dhe përfshihet, së bashku me njësitë e saj të kontrolluara, në raportin e konsoliduar të ecurisë së veprimtarisë ose në raportin e qëndrueshmërisë të konsoliduar të një njësie mëmë tjetër, të përgatitur në përputhje me standardet e raportimit të qëndrueshmërisë ose standardeve të barasvlershme me to, sipas përcaktimeve të akteve nënligjore për njohjen e barasvlefshmërisë së këtyre standardeve. Përjashtimi vlen edhe kur njësia mëmë tjetër është e themeluar në një juridiksion tjetër, me kusht që raporti i saj i qëndrueshmërisë i konsoliduar të jetë i përgatitur sipas standardeve të raportimit të qëndrueshmërisë ose sipas standardeve të barasvlershme me to, sipas përcaktimeve të akteve nënligjore për njohjen e barasvlershmërisë së këtyre standardeve. Përjashtimi zbatohet vetëm nëse plotësohen kushtet e mëposhtme:</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 xml:space="preserve">a) raporti i ecurisë së veprimtarisë së njësisë mëmë të përjashtuar përmban: </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i. emrin dhe selinë e regjistruar të njësisë mëmë që raporton në nivel grupi;</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 xml:space="preserve">ii. lidhjen në </w:t>
      </w:r>
      <w:r w:rsidRPr="00993C76">
        <w:rPr>
          <w:rFonts w:ascii="Garamond" w:eastAsiaTheme="minorHAnsi" w:hAnsi="Garamond"/>
          <w:i/>
          <w:iCs/>
          <w:color w:val="000000" w:themeColor="text1"/>
          <w:sz w:val="24"/>
          <w:szCs w:val="24"/>
          <w:lang w:val="sq-AL"/>
        </w:rPr>
        <w:t>web</w:t>
      </w:r>
      <w:r w:rsidRPr="00993C76">
        <w:rPr>
          <w:rFonts w:ascii="Garamond" w:eastAsiaTheme="minorHAnsi" w:hAnsi="Garamond"/>
          <w:color w:val="000000" w:themeColor="text1"/>
          <w:sz w:val="24"/>
          <w:szCs w:val="24"/>
          <w:lang w:val="sq-AL"/>
        </w:rPr>
        <w:t xml:space="preserve"> që drejton te raporti i konsoliduar i ecurisë së veprimtarisë së njësisë mëmë ose, sipas rastit, te raporti i saj i qëndrueshmërisë i konsoliduar, si dhe tek opinioni i dhënies së sigurisë për raportin;</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iii. deklarimin se njësia mëmë është e përjashtuar nga detyrimi për raportim të konsoliduar të qëndrueshmërisë, sipas kësaj pike.</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b) kur njësia mëmë është themeluar në një juridiksion tjetër, raporti i qëndrueshmërisë i konsoliduar dhe opinioni i dhënies së sigurisë publikohen në përputhje me kërkesat e këtij ligji për publikimin dhe me legjislacionin e shtetit ku është regjistruar njësia mëmë e përjashtuar;</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c) kur njësia mëmë është themeluar në një juridiksion tjetër, raporti i qëndrueshmërisë i konsoliduar përfshin edhe deklarimet për veprimtaritë e njësive të kontrolluara, sipas kërkesave të legjislacionit për klasifikimin e aktiviteteve të qëndrueshme.</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10. Raporti i qëndrueshmërisë i konsoliduar, hartuar sipas përcaktimeve të pikës 22 të nenit 3 të këtij ligji, dhe, sipas rastit, përkthimet përkatëse publikohen në gjuhën shqipe dhe çdo përkthim i pacertifikuar shoqërohet me deklaratën përkatëse.</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11. Njësitë mëmë të përjashtuara nga përgatitja e raportit të ecurisë së veprimtarisë nuk janë të detyruara të përfshijnë informacionin e përcaktuar në nënndarjet “i” deri në “iii” të shkronjës “a” të pikës 9 të këtij neni, me kusht që të publikojnë raportin e konsoliduar të ecurisë së veprimtarisë, në përputhje me kërkesat e këtij ligji.</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lastRenderedPageBreak/>
        <w:t>Për qëllimet e kësaj pike, institucionet e kreditit, të lidhura në mënyrë të përhershme me një organ qendror që i mbikëqyr, trajtohen si njësi të kontrolluara të atij organi qendror, sipas legjislacionit përkatës. Për grupet e përfshira në sektorin e sigurimeve, të cilat i nënshtrohen mbikëqyrjes së grupit, sipas legjislacionit për sigurimet, njësitë trajtohen si të kontrolluara të njësisë mëmë të grupit.</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Përjashtimi i përcaktuar në këtë pikë vlen edhe për njësitë me interes publik.</w:t>
      </w:r>
    </w:p>
    <w:p w:rsidR="001A3A9F" w:rsidRPr="00993C76" w:rsidRDefault="001A3A9F" w:rsidP="001A3A9F">
      <w:pPr>
        <w:spacing w:after="0" w:line="240" w:lineRule="auto"/>
        <w:rPr>
          <w:rFonts w:ascii="Garamond" w:eastAsiaTheme="minorHAnsi" w:hAnsi="Garamond"/>
          <w:color w:val="000000" w:themeColor="text1"/>
          <w:sz w:val="24"/>
          <w:szCs w:val="24"/>
          <w:lang w:val="sq-AL"/>
        </w:rPr>
      </w:pPr>
    </w:p>
    <w:p w:rsidR="001A3A9F" w:rsidRPr="00993C76" w:rsidRDefault="001A3A9F" w:rsidP="001A3A9F">
      <w:pPr>
        <w:spacing w:after="0" w:line="240" w:lineRule="auto"/>
        <w:jc w:val="center"/>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Neni 20/2</w:t>
      </w:r>
    </w:p>
    <w:p w:rsidR="001A3A9F" w:rsidRPr="00993C76" w:rsidRDefault="001A3A9F" w:rsidP="001A3A9F">
      <w:pPr>
        <w:spacing w:after="0" w:line="240" w:lineRule="auto"/>
        <w:jc w:val="center"/>
        <w:rPr>
          <w:rFonts w:ascii="Garamond" w:eastAsiaTheme="minorHAnsi" w:hAnsi="Garamond"/>
          <w:b/>
          <w:bCs/>
          <w:color w:val="000000" w:themeColor="text1"/>
          <w:sz w:val="24"/>
          <w:szCs w:val="24"/>
          <w:lang w:val="sq-AL"/>
        </w:rPr>
      </w:pPr>
      <w:r w:rsidRPr="00993C76">
        <w:rPr>
          <w:rFonts w:ascii="Garamond" w:eastAsiaTheme="minorHAnsi" w:hAnsi="Garamond"/>
          <w:b/>
          <w:bCs/>
          <w:color w:val="000000" w:themeColor="text1"/>
          <w:sz w:val="24"/>
          <w:szCs w:val="24"/>
          <w:lang w:val="sq-AL"/>
        </w:rPr>
        <w:t xml:space="preserve">Informacioni për zinxhirin e vlerës për qëllimet e raportimit të konsoliduar </w:t>
      </w:r>
    </w:p>
    <w:p w:rsidR="001A3A9F" w:rsidRPr="00993C76" w:rsidRDefault="001A3A9F" w:rsidP="001A3A9F">
      <w:pPr>
        <w:spacing w:after="0" w:line="240" w:lineRule="auto"/>
        <w:jc w:val="center"/>
        <w:rPr>
          <w:rFonts w:ascii="Garamond" w:eastAsiaTheme="minorHAnsi" w:hAnsi="Garamond"/>
          <w:b/>
          <w:bCs/>
          <w:color w:val="000000" w:themeColor="text1"/>
          <w:sz w:val="24"/>
          <w:szCs w:val="24"/>
          <w:lang w:val="sq-AL"/>
        </w:rPr>
      </w:pPr>
      <w:r w:rsidRPr="00993C76">
        <w:rPr>
          <w:rFonts w:ascii="Garamond" w:eastAsiaTheme="minorHAnsi" w:hAnsi="Garamond"/>
          <w:b/>
          <w:bCs/>
          <w:color w:val="000000" w:themeColor="text1"/>
          <w:sz w:val="24"/>
          <w:szCs w:val="24"/>
          <w:lang w:val="sq-AL"/>
        </w:rPr>
        <w:t>të qëndrueshmërisë</w:t>
      </w:r>
    </w:p>
    <w:p w:rsidR="001A3A9F" w:rsidRPr="00993C76" w:rsidRDefault="001A3A9F" w:rsidP="001A3A9F">
      <w:pPr>
        <w:widowControl w:val="0"/>
        <w:spacing w:after="0" w:line="240" w:lineRule="auto"/>
        <w:ind w:firstLine="720"/>
        <w:jc w:val="center"/>
        <w:rPr>
          <w:rFonts w:ascii="Garamond" w:eastAsia="Times New Roman" w:hAnsi="Garamond"/>
          <w:i/>
          <w:sz w:val="24"/>
          <w:szCs w:val="24"/>
        </w:rPr>
      </w:pPr>
      <w:r w:rsidRPr="00993C76">
        <w:rPr>
          <w:rFonts w:ascii="Garamond" w:eastAsia="Times New Roman" w:hAnsi="Garamond"/>
          <w:i/>
          <w:sz w:val="24"/>
          <w:szCs w:val="24"/>
        </w:rPr>
        <w:t>(Shtuar me ligjin nr. 87/2026, datë 16.7.2026)</w:t>
      </w:r>
    </w:p>
    <w:p w:rsidR="001A3A9F" w:rsidRPr="00993C76" w:rsidRDefault="001A3A9F" w:rsidP="001A3A9F">
      <w:pPr>
        <w:spacing w:after="0" w:line="240" w:lineRule="auto"/>
        <w:jc w:val="center"/>
        <w:rPr>
          <w:rFonts w:ascii="Garamond" w:eastAsiaTheme="minorHAnsi" w:hAnsi="Garamond"/>
          <w:color w:val="000000" w:themeColor="text1"/>
          <w:sz w:val="24"/>
          <w:szCs w:val="24"/>
          <w:lang w:val="sq-AL"/>
        </w:rPr>
      </w:pP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1. Kur është i zbatueshëm, informacioni i përmendur në pikat 1 dhe 2 të nenit 20/1 të këtij ligji duhet të përfshijë informacion në lidhje me veprimtarinë e vetë grupit dhe zinxhirin e tij të vlerës, duke përfshirë produktet dhe shërbimet e tij, marrëdhëniet e tij të biznesit dhe zinxhirin e furnizimit.</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2. Njësitë ekonomike raportuese mund të mbështeten në një vetëdeklarim nga njësi ekonomike në zinxhirin e tyre të vlerës, për të përcaktuar nëse ato kualifikohen si njësi ekonomike të mbrojtura. Ato nuk kanë detyrimin të verifikojnë informacionin e përfshirë në vetëdeklarim dhe nuk duhet të mbështeten në vetëdeklarim kur e dinë ose mund të pritet në mënyrë të arsyeshme të dinë se deklarata është qartazi e pasaktë.</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3. Njësitë ekonomike të mbrojtura kanë të drejtën të refuzojnë dhënien e informacionit që tejkalon informacionin e specifikuar në standardet vullnetare, në përgjigje të një kërkese të bërë, për qëllime të raportimit të konsoliduar të qëndrueshmërisë, sipas këtij ligji. Për më tepër:</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a) kur vendosen marrëveshje kontraktuale ose të tjera për të përmbushur kërkesat e raportimit të konsoliduar të qëndrueshmërisë, njësitë ekonomike raportuese nuk duhet të kërkojnë nga njësitë ekonomike të mbrojtura të japin informacion që tejkalon informacionin e përcaktuar në standardet vullnetare;</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b) çdo dispozitë kontraktuale që bie ndesh me shkronjën “a” të kësaj pike nuk do të ketë fuqi detyruese, pa cenuar vlefshmërinë e pjesëve të tjera të kontratës;</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c) kur një njësi ekonomike raportuese kërkon informacion, drejtpërdrejt ose tërthorazi, nga njësi ekonomike të mbrojtura për qëllime të raportimit të konsoliduar të qëndrueshmërisë dhe një pjesë ose i gjithë ai informacion tejkalon informacionin e përcaktuar në standardet vullnetare, ajo duhet të sigurojë që njësia ekonomike e mbrojtur të informohet për:</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i. informacionin që tejkalon informacionin e përcaktuar në standardet vullnetare;</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ii. të drejtën ligjore të njësisë ekonomike të mbrojtur për të refuzuar dhënien e këtij informacioni.</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ç) njësitë ekonomike raportuese të cilat raportojnë informacionin e nevojshëm në lidhje me zinxhirin e tyre të vlerës, pa u kërkuar njësive ekonomike të mbrojtura të japin informacion që tejkalon informacionin e përcaktuar në standardet vullnetare, konsiderohen se kanë përmbushur detyrimin për të raportuar informacionin në lidhje me zinxhirin e vlerës.</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4. Dispozitat e këtij neni nuk duhet:</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a) të ndikojnë në kërkesat për informacion të bëra për qëllime të tjera nga raportimi i konsoliduar i qëndrueshmërisë, sipas këtij ligji, përfshirë kërkesat e lidhura me procesin e kujdesit të duhur; ose</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b) të vendosin ose të nënkuptojnë ndonjë detyrim për ndonjë njësi ekonomike brenda zinxhirit të vlerës për të dhënë informacion për qëndrueshmërinë.</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5. Për 3 vjetët e parë gjatë të cilëve një njësi ekonomike mëmë bëhet subjekt i kërkesave të raportimit të konsoliduar të qëndrueshmërisë, në përputhje me pikën 1 të nenit 20/1 të këtij ligji, dhe kur jo i gjithë informacioni i nevojshëm në lidhje me zinxhirin e saj të vlerës është i disponueshëm, ajo duhet:</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a) të shpjegojë përpjekjet e bëra për të siguruar informacionin e nevojshëm në lidhje me zinxhirin e vlerës;</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 xml:space="preserve">b) të shpjegojë arsyet pse nuk është siguruar i gjithë informacioni i nevojshëm; </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c) të përshkruajë planet e saj për të siguruar këtë informacion në të ardhmen.</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6. Pas përfundimit të periudhës 3-vjeçare të tranzicionit, të përmendur në pikën 5 të këtij neni, njësia ekonomike mëmë duhet të përmbushë detyrimin për të raportuar informacionin e zinxhirit të vlerës, duke përdorur informacion të marrë drejtpërdrejt nga njësitë ekonomike, brenda zinxhirit të saj të vlerës ose, sipas rastit, vlerësime të këtij informacioni.</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 xml:space="preserve">7. Kur është e zbatueshme, informacioni i përmendur në pikat 1 dhe 2 të nenit 20/1 të këtij ligji, duhet të përfshijë gjithashtu referenca dhe shpjegime shtesë në lidhje me informacion tjetër, të përfshirë në </w:t>
      </w:r>
      <w:r w:rsidRPr="00993C76">
        <w:rPr>
          <w:rFonts w:ascii="Garamond" w:eastAsiaTheme="minorHAnsi" w:hAnsi="Garamond"/>
          <w:color w:val="000000" w:themeColor="text1"/>
          <w:sz w:val="24"/>
          <w:szCs w:val="24"/>
          <w:lang w:val="sq-AL"/>
        </w:rPr>
        <w:lastRenderedPageBreak/>
        <w:t>raportin e konsoliduar të ecurisë së veprimtarisë dhe me vlerat e raportuara në pasqyrat financiare të konsoliduara.</w:t>
      </w:r>
    </w:p>
    <w:p w:rsidR="001A3A9F" w:rsidRPr="00993C76" w:rsidRDefault="001A3A9F" w:rsidP="001A3A9F">
      <w:pPr>
        <w:spacing w:after="0" w:line="240" w:lineRule="auto"/>
        <w:jc w:val="center"/>
        <w:rPr>
          <w:rFonts w:ascii="Garamond" w:eastAsiaTheme="minorHAnsi" w:hAnsi="Garamond"/>
          <w:color w:val="000000" w:themeColor="text1"/>
          <w:sz w:val="24"/>
          <w:szCs w:val="24"/>
          <w:lang w:val="sq-AL"/>
        </w:rPr>
      </w:pPr>
    </w:p>
    <w:p w:rsidR="001A3A9F" w:rsidRPr="00993C76" w:rsidRDefault="001A3A9F" w:rsidP="001A3A9F">
      <w:pPr>
        <w:spacing w:after="0" w:line="240" w:lineRule="auto"/>
        <w:jc w:val="center"/>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Neni 20/3</w:t>
      </w:r>
    </w:p>
    <w:p w:rsidR="001A3A9F" w:rsidRPr="00993C76" w:rsidRDefault="001A3A9F" w:rsidP="001A3A9F">
      <w:pPr>
        <w:spacing w:after="0" w:line="240" w:lineRule="auto"/>
        <w:jc w:val="center"/>
        <w:rPr>
          <w:rFonts w:ascii="Garamond" w:eastAsiaTheme="minorHAnsi" w:hAnsi="Garamond"/>
          <w:b/>
          <w:bCs/>
          <w:color w:val="000000" w:themeColor="text1"/>
          <w:sz w:val="24"/>
          <w:szCs w:val="24"/>
          <w:lang w:val="sq-AL"/>
        </w:rPr>
      </w:pPr>
      <w:r w:rsidRPr="00993C76">
        <w:rPr>
          <w:rFonts w:ascii="Garamond" w:eastAsiaTheme="minorHAnsi" w:hAnsi="Garamond"/>
          <w:b/>
          <w:bCs/>
          <w:color w:val="000000" w:themeColor="text1"/>
          <w:sz w:val="24"/>
          <w:szCs w:val="24"/>
          <w:lang w:val="sq-AL"/>
        </w:rPr>
        <w:t>Standardet e raportimit të qëndrueshmërisë</w:t>
      </w:r>
    </w:p>
    <w:p w:rsidR="001A3A9F" w:rsidRPr="00993C76" w:rsidRDefault="001A3A9F" w:rsidP="001A3A9F">
      <w:pPr>
        <w:widowControl w:val="0"/>
        <w:spacing w:after="0" w:line="240" w:lineRule="auto"/>
        <w:ind w:firstLine="720"/>
        <w:jc w:val="center"/>
        <w:rPr>
          <w:rFonts w:ascii="Garamond" w:eastAsia="Times New Roman" w:hAnsi="Garamond"/>
          <w:i/>
          <w:sz w:val="24"/>
          <w:szCs w:val="24"/>
        </w:rPr>
      </w:pPr>
      <w:r w:rsidRPr="00993C76">
        <w:rPr>
          <w:rFonts w:ascii="Garamond" w:eastAsia="Times New Roman" w:hAnsi="Garamond"/>
          <w:i/>
          <w:sz w:val="24"/>
          <w:szCs w:val="24"/>
        </w:rPr>
        <w:t>(Shtuar me ligjin nr. 87/2026, datë 16.7.2026)</w:t>
      </w:r>
    </w:p>
    <w:p w:rsidR="001A3A9F" w:rsidRPr="00993C76" w:rsidRDefault="001A3A9F" w:rsidP="001A3A9F">
      <w:pPr>
        <w:spacing w:after="0" w:line="240" w:lineRule="auto"/>
        <w:rPr>
          <w:rFonts w:ascii="Garamond" w:eastAsiaTheme="minorHAnsi" w:hAnsi="Garamond"/>
          <w:color w:val="000000" w:themeColor="text1"/>
          <w:sz w:val="24"/>
          <w:szCs w:val="24"/>
          <w:lang w:val="sq-AL"/>
        </w:rPr>
      </w:pP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1. Standardet e raportimit të qëndrueshmërisë përcaktojnë formatin, përmbajtjen, treguesit kryesorë dhe elementet e tjera të nevojshme për përgatitjen dhe publikimin e raporteve të qëndrueshmërisë, duke marrë parasysh zhvillimet më të fundit ndërkombëtare dhe rajonale në këtë fushë.</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2. Standardet e raportimit të qëndrueshmërisë duhet të sigurojnë cilësinë e informacionit të raportuar, duke kërkuar që ai të jetë i kuptueshëm, i rëndësishëm, i verifikueshëm, i krahasueshëm dhe i paraqitur në mënyrë të besueshme.</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Standardet e raportimit të qëndrueshmërisë nuk duhet të vendosin një barrë të tepruar administrative ose financiare për njësitë ekonomike dhe duhet të marrin në konsideratë, në masën më të madhe të mundshme, nismat dhe zhvillimet ndërkombëtare në fushën e raportimit të qëndrueshmërisë. Ato duhet gjithashtu të sigurojnë, në masën më të madhe të mundshme, koherencë me kërkesat e përcaktuara në legjislacionin tjetër të zbatueshëm.</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Standardet e raportimit të qëndrueshmërisë duhet, në masën më të madhe të mundshme, t’i japin përparësi zbulimit të informacionit sasior, duke marrë parasysh barrën për njësitë ekonomike dhe nevojat e përdoruesve të informacionit të qëndrueshmërisë.</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Standardet e raportimit të qëndrueshmërisë, duke marrë parasysh objektin e një standardi të veçantë, specifikojnë informacionin që njësitë ekonomike duhet të deklarojnë në lidhje me:</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a) faktorët mjedisorë, përfshirë:</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i. zbutjen e ndryshimeve klimatike, duke përfshirë emetimet e gazeve serrë;</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ii. përshtatjen ndaj ndryshimeve klimatike;</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iii. burimet ujore dhe detare;</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iv. përdorimin e burimeve dhe ekonominë qarkulluese;</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v. ndotjen;</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vi. biodiversitetin dhe ekosistemet.</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b) faktorët socialë dhe të drejtat e njeriut, përfshirë:</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i. trajtimin dhe mundësitë e barabarta për të gjithë, duke përfshirë barazinë gjinore dhe pagën e barabartë për punë, me vlerë të barabartë, trajnimin dhe zhvillimin e aftësive, punësimin dhe përfshirjen e personave me aftësi të kufizuara, masat për parandalimin e dhunës dhe ngacmimit në vendin e punës e diversitetin;</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ii. kushtet e punës, duke përfshirë punësimin e sigurt, kohën e punës, pagat e përshtatshme, dialogun social, lirinë e krijimit të shoqatave, ekzistencën e këshillave të punës, negociatat kolektive, përfshirë përqindjen e punëtorëve të mbuluar nga marrëveshjet kolektive, të drejtat e informimit, konsultimit dhe pjesëmarrjes së punëtorëve, ekuilibrin punë-jetë dhe shëndetin e sigurinë;</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iii. respektimin e të drejtave të njeriut, liritë themelore, parimet dhe standardet demokratike të përcaktuara në instrumentet ndërkombëtare dhe rajonale, përfshirë Kartën Ndërkombëtare të të Drejtave të Njeriut, Konventën e OKB-së për të Drejtat e Personave me Aftësi të Kufizuara, Deklaratën e Popujve Indigjenë, deklaratat dhe konventat e Organizatës Ndërkombëtare të Punës, Konventën Evropiane për të Drejtat e Njeriut, Kartën Sociale Evropiane dhe Kartën e të Drejtave Themelore të Bashkimit Evropian.</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c) faktorët e qeverisjes, përfshirë:</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i. rolin e organeve ekzekutive, drejtuese dhe mbikëqyrëse të njësisë ekonomike në lidhje me çështjet e qëndrueshmërisë dhe përbërjen e tyre, si dhe ekspertizën dhe aftësitë e tyre ose aksesin në to;</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ii. veçoritë kryesore të sistemeve të kontrollit të brendshëm e të menaxhimit të riskut të njësisë ekonomike, në lidhje me raportimin e qëndrueshmërisë dhe procesin e vendimmarrjes;</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iii. etikën e biznesit dhe kulturën e korporatës, përfshirë politikat kundër korrupsionit dhe ryshfetit, mbrojtjen e sinjalizuesve dhe mirëqenien e kafshëve;</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iv. aktivitetet dhe angazhimet e njësisë ekonomike në ushtrimin e ndikimit të saj politik, përfshirë aktivitetet lobuese;</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v. menaxhimin dhe cilësinë e marrëdhënieve me klientët, furnizuesit dhe komunitetet e prekura nga aktivitetet e njësisë ekonomike, përfshirë praktikat e pagesave dhe pagesat e vonuara për njësitë ekonomike të vogla e të mesme.</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lastRenderedPageBreak/>
        <w:t xml:space="preserve">3. Standardet e raportimit të qëndrueshmërisë specifikojnë informacionin perspektiv, retrospektiv, cilësor dhe sasior, sipas rastit, që duhet të raportohet nga njësitë ekonomike. </w:t>
      </w:r>
    </w:p>
    <w:p w:rsidR="001A3A9F" w:rsidRPr="00993C76" w:rsidRDefault="001A3A9F" w:rsidP="001A3A9F">
      <w:pPr>
        <w:spacing w:after="0" w:line="240" w:lineRule="auto"/>
        <w:rPr>
          <w:rFonts w:ascii="Garamond" w:eastAsiaTheme="minorHAnsi" w:hAnsi="Garamond"/>
          <w:color w:val="000000" w:themeColor="text1"/>
          <w:sz w:val="24"/>
          <w:szCs w:val="24"/>
          <w:lang w:val="sq-AL"/>
        </w:rPr>
      </w:pPr>
    </w:p>
    <w:p w:rsidR="001A3A9F" w:rsidRPr="00993C76" w:rsidRDefault="001A3A9F" w:rsidP="001A3A9F">
      <w:pPr>
        <w:spacing w:after="0" w:line="240" w:lineRule="auto"/>
        <w:jc w:val="center"/>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Neni 20/4</w:t>
      </w:r>
    </w:p>
    <w:p w:rsidR="001A3A9F" w:rsidRPr="00993C76" w:rsidRDefault="001A3A9F" w:rsidP="001A3A9F">
      <w:pPr>
        <w:spacing w:after="0" w:line="240" w:lineRule="auto"/>
        <w:jc w:val="center"/>
        <w:rPr>
          <w:rFonts w:ascii="Garamond" w:eastAsiaTheme="minorHAnsi" w:hAnsi="Garamond"/>
          <w:b/>
          <w:bCs/>
          <w:color w:val="000000" w:themeColor="text1"/>
          <w:sz w:val="24"/>
          <w:szCs w:val="24"/>
          <w:lang w:val="sq-AL"/>
        </w:rPr>
      </w:pPr>
      <w:r w:rsidRPr="00993C76">
        <w:rPr>
          <w:rFonts w:ascii="Garamond" w:eastAsiaTheme="minorHAnsi" w:hAnsi="Garamond"/>
          <w:b/>
          <w:bCs/>
          <w:color w:val="000000" w:themeColor="text1"/>
          <w:sz w:val="24"/>
          <w:szCs w:val="24"/>
          <w:lang w:val="sq-AL"/>
        </w:rPr>
        <w:t>Dhënia e sigurisë për raportin e qëndrueshmërisë</w:t>
      </w:r>
    </w:p>
    <w:p w:rsidR="001A3A9F" w:rsidRPr="00993C76" w:rsidRDefault="001A3A9F" w:rsidP="001A3A9F">
      <w:pPr>
        <w:widowControl w:val="0"/>
        <w:spacing w:after="0" w:line="240" w:lineRule="auto"/>
        <w:ind w:firstLine="720"/>
        <w:jc w:val="center"/>
        <w:rPr>
          <w:rFonts w:ascii="Garamond" w:eastAsia="Times New Roman" w:hAnsi="Garamond"/>
          <w:i/>
          <w:sz w:val="24"/>
          <w:szCs w:val="24"/>
        </w:rPr>
      </w:pPr>
      <w:r w:rsidRPr="00993C76">
        <w:rPr>
          <w:rFonts w:ascii="Garamond" w:eastAsia="Times New Roman" w:hAnsi="Garamond"/>
          <w:i/>
          <w:sz w:val="24"/>
          <w:szCs w:val="24"/>
        </w:rPr>
        <w:t>(Shtuar me ligjin nr. 87/2026, datë 16.7.2026)</w:t>
      </w:r>
    </w:p>
    <w:p w:rsidR="001A3A9F" w:rsidRPr="00993C76" w:rsidRDefault="001A3A9F" w:rsidP="001A3A9F">
      <w:pPr>
        <w:spacing w:after="0" w:line="240" w:lineRule="auto"/>
        <w:rPr>
          <w:rFonts w:ascii="Garamond" w:eastAsiaTheme="minorHAnsi" w:hAnsi="Garamond"/>
          <w:color w:val="000000" w:themeColor="text1"/>
          <w:sz w:val="24"/>
          <w:szCs w:val="24"/>
          <w:lang w:val="sq-AL"/>
        </w:rPr>
      </w:pP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1. Raporti i qëndrueshmërisë dhe raporti i qëndrueshmërisë i konsoliduar i nënshtrohen një angazhimi të dhënies së sigurisë për të siguruar përputhjen e tyre me kërkesat e këtij ligji dhe me standardet e raportimit të qëndrueshmërisë.</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2. Procedurat, standardet dhe niveli i kërkuar i dhënies së sigurisë përcaktohen nga legjislacioni në fuqi për auditimin ligjor dhe aktet nënligjore të dala në zbatim të tij.</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3. Opinioni i dhënies së sigurisë për raportin e qëndrueshmërisë dhe raportin e konsoliduar të qëndrueshmërisë përgatitet duke respektuar kufizimet e parashikuara nga ky ligj, në lidhje me raportimin e informacionit për zinxhirin e vlerës, në veçanti detyrimin që njësitë ekonomike të mos kërkojnë nga njësitë e tjera ekonomike që nuk tejkalojnë pragjet e përcaktuara në këtë ligj informacion që shkon përtej kërkesave të standardeve vullnetare të raportimit të qëndrueshmërisë, përveç informacionit shtesë që zakonisht shkëmbehet në sektorin përkatës.</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4. Opinioni i dhënies së sigurisë përgatitet duke marrë parasysh edhe rastet e jashtëzakonshme kur njësitë ekonomike në zinxhirin e vlerës mund të mos jenë në gjendje të japin informacion, për shkak se dhënia e këtij informacioni nga një njësi e themeluar në një juridiksion tjetër do ta ekspozonte atë ndaj sanksioneve ose pasojave të tjera ligjore, sipas legjislacionit në fuqi të atij juridiksioni, vetëm për shkak të transmetimit të të dhënave të qëndrueshmërisë.</w:t>
      </w:r>
    </w:p>
    <w:p w:rsidR="001A3A9F" w:rsidRPr="00993C76" w:rsidRDefault="001A3A9F" w:rsidP="001A3A9F">
      <w:pPr>
        <w:spacing w:after="0" w:line="240" w:lineRule="auto"/>
        <w:rPr>
          <w:rFonts w:ascii="Garamond" w:eastAsiaTheme="minorHAnsi" w:hAnsi="Garamond"/>
          <w:color w:val="000000" w:themeColor="text1"/>
          <w:sz w:val="24"/>
          <w:szCs w:val="24"/>
          <w:lang w:val="sq-AL"/>
        </w:rPr>
      </w:pPr>
    </w:p>
    <w:p w:rsidR="001A3A9F" w:rsidRPr="00993C76" w:rsidRDefault="001A3A9F" w:rsidP="001A3A9F">
      <w:pPr>
        <w:spacing w:after="0" w:line="240" w:lineRule="auto"/>
        <w:jc w:val="center"/>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Neni 20/5</w:t>
      </w:r>
    </w:p>
    <w:p w:rsidR="001A3A9F" w:rsidRPr="00993C76" w:rsidRDefault="001A3A9F" w:rsidP="001A3A9F">
      <w:pPr>
        <w:spacing w:after="0" w:line="240" w:lineRule="auto"/>
        <w:jc w:val="center"/>
        <w:rPr>
          <w:rFonts w:ascii="Garamond" w:eastAsiaTheme="minorHAnsi" w:hAnsi="Garamond"/>
          <w:b/>
          <w:bCs/>
          <w:color w:val="000000" w:themeColor="text1"/>
          <w:sz w:val="24"/>
          <w:szCs w:val="24"/>
          <w:lang w:val="sq-AL"/>
        </w:rPr>
      </w:pPr>
      <w:r w:rsidRPr="00993C76">
        <w:rPr>
          <w:rFonts w:ascii="Garamond" w:eastAsiaTheme="minorHAnsi" w:hAnsi="Garamond"/>
          <w:b/>
          <w:bCs/>
          <w:color w:val="000000" w:themeColor="text1"/>
          <w:sz w:val="24"/>
          <w:szCs w:val="24"/>
          <w:lang w:val="sq-AL"/>
        </w:rPr>
        <w:t>Detyrimi i njësive ekonomike vendase (bija) për publikim të raportit të qëndrueshmërisë, të hartuar nga njësitë ekonomike të huaja (mëma)</w:t>
      </w:r>
    </w:p>
    <w:p w:rsidR="001A3A9F" w:rsidRPr="00993C76" w:rsidRDefault="001A3A9F" w:rsidP="001A3A9F">
      <w:pPr>
        <w:widowControl w:val="0"/>
        <w:spacing w:after="0" w:line="240" w:lineRule="auto"/>
        <w:ind w:firstLine="720"/>
        <w:jc w:val="center"/>
        <w:rPr>
          <w:rFonts w:ascii="Garamond" w:eastAsia="Times New Roman" w:hAnsi="Garamond"/>
          <w:i/>
          <w:sz w:val="24"/>
          <w:szCs w:val="24"/>
        </w:rPr>
      </w:pPr>
      <w:r w:rsidRPr="00993C76">
        <w:rPr>
          <w:rFonts w:ascii="Garamond" w:eastAsia="Times New Roman" w:hAnsi="Garamond"/>
          <w:i/>
          <w:sz w:val="24"/>
          <w:szCs w:val="24"/>
        </w:rPr>
        <w:t>(Shtuar me ligjin nr. 87/2026, datë 16.7.2026)</w:t>
      </w:r>
    </w:p>
    <w:p w:rsidR="001A3A9F" w:rsidRPr="00993C76" w:rsidRDefault="001A3A9F" w:rsidP="001A3A9F">
      <w:pPr>
        <w:spacing w:after="0" w:line="240" w:lineRule="auto"/>
        <w:rPr>
          <w:rFonts w:ascii="Garamond" w:eastAsiaTheme="minorHAnsi" w:hAnsi="Garamond"/>
          <w:color w:val="000000" w:themeColor="text1"/>
          <w:sz w:val="24"/>
          <w:szCs w:val="24"/>
          <w:lang w:val="sq-AL"/>
        </w:rPr>
      </w:pP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 xml:space="preserve">1. Njësitë ekonomike të kontrolluara, të themeluara në territorin e Republikës së Shqipërisë, njësia mëmë përfundimtare e të cilave është e rregulluar nga legjislacioni i një juridiksioni tjetër, janë të detyruara të publikojnë dhe të bëjnë të aksesueshëm një raport të qëndrueshmërisë që mbulon informacionin e kërkuar, sipas shkronjës “a”, nënndarjet “iii” deri në “v”, shkronjave “b” deri në “dh” dhe, sipas rastit, shkronjës “ë” të pikës 2 të nenit 20/1 të këtij ligji, në nivelin e grupit të njësisë mëmë në nivelin më të lartë. </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Ky detyrim zbatohet vetëm për njësitë ekonomike të kontrolluara, të cilat në datën e raportimit kanë realizuar të ardhura të shfrytëzimit mbi 20 miliardë lekë në periudhën raportuese paraardhëse.</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 xml:space="preserve">2. Degët e njësive ekonomike të themeluara në një juridiksion tjetër, të cilat nuk janë pjesë e një grupi ose zotërohen nga një njësi mëmë e themeluar në një juridiksion tjetër, janë të detyruara të publikojnë dhe të bëjnë të aksesueshëm një raport të qëndrueshmërisë që mbulon informacionin e kërkuar, sipas shkronjës “a”, nënndarjet “iii” deri në “v”, shkronjave “b” deri në “dh” dhe, sipas rastit, shkronjës “ë” të pikës 2 të nenit 20/1 të këtij ligji, në nivelin e grupit të njësisë mëmë ose, nëse kjo nuk është e zbatueshme, në nivelin individual të njësisë ekonomike të juridiksionit tjetër. </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Ky detyrim zbatohet vetëm për degët e njësive ekonomike të themeluara në një juridiksion tjetër, kur njësia e vendit tjetër nuk ka një njësi të kontrolluar në territorin e Republikës së Shqipërisë dhe vetëm në rastet kur dega ka realizuar të ardhura të shfrytëzimit më shumë se 20 miliardë lekë në periudhën raportuese paraardhëse.</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3. Detyrimet e përcaktuara në pikat 1 dhe 2 të këtij neni zbatohen vetëm kur njësia mëmë e juridiksionit tjetër, në nivel grupi ose, nëse kjo nuk është e zbatueshme, në nivel individual, ka realizuar të ardhura të shfrytëzimit më shumë se 45 miliardë lekë për secilën nga dy periudhat e fundit raportuese të njëpasnjëshme.</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4. Raporti i qëndrueshmërisë i njësive ekonomike të kontrolluara ose degëve të përmendura në pikat 1 dhe 2 të këtij neni hartohet në përputhje me standardet e raportimit të qëndrueshmërisë për njësitë ekonomike të juridiksionit tjetër të miratuara.</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 xml:space="preserve">5. Përjashtimisht nga sa parashikohet në pikën 4 të këtij neni, raporti i qëndrueshmërisë mund të hartohet në përputhje me standardet e raportimit të qëndrueshmërisë, të miratuara sipas nenit 20/3 të </w:t>
      </w:r>
      <w:r w:rsidRPr="00993C76">
        <w:rPr>
          <w:rFonts w:ascii="Garamond" w:eastAsiaTheme="minorHAnsi" w:hAnsi="Garamond"/>
          <w:color w:val="000000" w:themeColor="text1"/>
          <w:sz w:val="24"/>
          <w:szCs w:val="24"/>
          <w:lang w:val="sq-AL"/>
        </w:rPr>
        <w:lastRenderedPageBreak/>
        <w:t>këtij ligji, ose në mënyrë të barasvlershme me këto standarde, kur kjo përcaktohet në përputhje me aktet nënligjore për barasvlershmërinë e standardeve të raportimit të qëndrueshmërisë.</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6. Kur informacioni i kërkuar për hartimin e raportit të qëndrueshmërisë nuk është i disponueshëm, njësia e kontrolluar ose dega i kërkon njësisë mëmë të juridiksionit tjetër informacionin e nevojshëm për përmbushjen e detyrimit.</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Nëse njësia mëmë nuk vë në dispozicion informacionin e nevojshëm, njësia e kontrolluar ose dega harton, publikon dhe bën të aksesueshëm raportin e qëndrueshmërisë mbi bazën e informacionit që zotëron, ka përftuar ose siguruar, duke e shoqëruar me një deklaratë se informacioni i kërkuar nuk është vënë në dispozicion nga njësia mëmë.</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7. Raporti i qëndrueshmërisë, i përmendur në këtë nen, publikohet i shoqëruar nga një opinion për dhënien e sigurisë, i përgatitur nga një ose më shumë persona ose shoqëri të autorizuara për dhënien e opinionit të sigurisë për raportimin e qëndrueshmërisë, sipas legjislacionit të zbatueshëm të juridiksionit tjetër ose sipas legjislacionit shqiptar.</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Nëse njësia mëmë e juridiksionit tjetër nuk siguron opinionin e dhënies së sigurisë, njësia e kontrolluar ose dega publikon raportin e qëndrueshmërisë, të shoqëruar me një deklaratë se njësia mëmë nuk ka vënë në dispozicion opinionin e nevojshëm të dhënies së sigurisë.</w:t>
      </w:r>
    </w:p>
    <w:p w:rsidR="001A3A9F" w:rsidRPr="00993C76" w:rsidRDefault="001A3A9F" w:rsidP="001A3A9F">
      <w:pPr>
        <w:spacing w:after="0" w:line="240" w:lineRule="auto"/>
        <w:rPr>
          <w:rFonts w:ascii="Garamond" w:eastAsiaTheme="minorHAnsi" w:hAnsi="Garamond"/>
          <w:color w:val="000000" w:themeColor="text1"/>
          <w:sz w:val="24"/>
          <w:szCs w:val="24"/>
          <w:lang w:val="sq-AL"/>
        </w:rPr>
      </w:pPr>
    </w:p>
    <w:p w:rsidR="001A3A9F" w:rsidRPr="00993C76" w:rsidRDefault="001A3A9F" w:rsidP="001A3A9F">
      <w:pPr>
        <w:spacing w:after="0" w:line="240" w:lineRule="auto"/>
        <w:jc w:val="center"/>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Neni 20/6</w:t>
      </w:r>
    </w:p>
    <w:p w:rsidR="001A3A9F" w:rsidRPr="00993C76" w:rsidRDefault="001A3A9F" w:rsidP="001A3A9F">
      <w:pPr>
        <w:spacing w:after="0" w:line="240" w:lineRule="auto"/>
        <w:jc w:val="center"/>
        <w:rPr>
          <w:rFonts w:ascii="Garamond" w:eastAsiaTheme="minorHAnsi" w:hAnsi="Garamond"/>
          <w:b/>
          <w:bCs/>
          <w:color w:val="000000" w:themeColor="text1"/>
          <w:sz w:val="24"/>
          <w:szCs w:val="24"/>
          <w:lang w:val="sq-AL"/>
        </w:rPr>
      </w:pPr>
      <w:r w:rsidRPr="00993C76">
        <w:rPr>
          <w:rFonts w:ascii="Garamond" w:eastAsiaTheme="minorHAnsi" w:hAnsi="Garamond"/>
          <w:b/>
          <w:bCs/>
          <w:color w:val="000000" w:themeColor="text1"/>
          <w:sz w:val="24"/>
          <w:szCs w:val="24"/>
          <w:lang w:val="sq-AL"/>
        </w:rPr>
        <w:t>Përgjegjësia për raportet e qëndrueshmërisë së njësive ekonomike të vendeve të tjera</w:t>
      </w:r>
    </w:p>
    <w:p w:rsidR="001A3A9F" w:rsidRPr="00993C76" w:rsidRDefault="001A3A9F" w:rsidP="001A3A9F">
      <w:pPr>
        <w:widowControl w:val="0"/>
        <w:spacing w:after="0" w:line="240" w:lineRule="auto"/>
        <w:ind w:firstLine="720"/>
        <w:jc w:val="center"/>
        <w:rPr>
          <w:rFonts w:ascii="Garamond" w:eastAsia="Times New Roman" w:hAnsi="Garamond"/>
          <w:i/>
          <w:sz w:val="24"/>
          <w:szCs w:val="24"/>
        </w:rPr>
      </w:pPr>
      <w:r w:rsidRPr="00993C76">
        <w:rPr>
          <w:rFonts w:ascii="Garamond" w:eastAsia="Times New Roman" w:hAnsi="Garamond"/>
          <w:i/>
          <w:sz w:val="24"/>
          <w:szCs w:val="24"/>
        </w:rPr>
        <w:t>(Shtuar me ligjin nr. 87/2026, datë 16.7.2026)</w:t>
      </w:r>
    </w:p>
    <w:p w:rsidR="001A3A9F" w:rsidRPr="00993C76" w:rsidRDefault="001A3A9F" w:rsidP="001A3A9F">
      <w:pPr>
        <w:spacing w:after="0" w:line="240" w:lineRule="auto"/>
        <w:rPr>
          <w:rFonts w:ascii="Garamond" w:eastAsiaTheme="minorHAnsi" w:hAnsi="Garamond"/>
          <w:color w:val="000000" w:themeColor="text1"/>
          <w:sz w:val="24"/>
          <w:szCs w:val="24"/>
          <w:lang w:val="sq-AL"/>
        </w:rPr>
      </w:pP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1. Degët e njësive ekonomike të themeluara në një vend tjetër, të regjistruara në territorin e Republikës së Shqipërisë, janë përgjegjëse për të garantuar, sipas dijenisë dhe kapacitetit të tyre maksimal, që raporti i qëndrueshmërisë të hartohet në përputhje me nenin 20/5 dhe të publikohet e të bëhet i aksesueshëm në përputhje me nenin 20/7 të këtij ligji.</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2. Anëtarët e organeve ekzekutive, drejtuese dhe mbikëqyrëse të njësive ekonomike të kontrolluara, të parashikuara në nenin 20/5, kanë përgjegjësi solidare për të garantuar, sipas dijenisë dhe kapacitetit të tyre maksimal, që raporti i qëndrueshmërisë të hartohet në përputhje me nenin 20/5 dhe të publikohet e të bëhet i aksesueshëm në përputhje me nenin 20/7 të këtij ligji.</w:t>
      </w:r>
    </w:p>
    <w:p w:rsidR="001A3A9F" w:rsidRPr="00993C76" w:rsidRDefault="001A3A9F" w:rsidP="001A3A9F">
      <w:pPr>
        <w:spacing w:after="0" w:line="240" w:lineRule="auto"/>
        <w:rPr>
          <w:rFonts w:ascii="Garamond" w:eastAsiaTheme="minorHAnsi" w:hAnsi="Garamond"/>
          <w:color w:val="000000" w:themeColor="text1"/>
          <w:sz w:val="24"/>
          <w:szCs w:val="24"/>
          <w:lang w:val="sq-AL"/>
        </w:rPr>
      </w:pPr>
    </w:p>
    <w:p w:rsidR="001A3A9F" w:rsidRPr="00993C76" w:rsidRDefault="001A3A9F" w:rsidP="001A3A9F">
      <w:pPr>
        <w:spacing w:after="0" w:line="240" w:lineRule="auto"/>
        <w:jc w:val="center"/>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Neni 20/7</w:t>
      </w:r>
    </w:p>
    <w:p w:rsidR="001A3A9F" w:rsidRPr="00993C76" w:rsidRDefault="001A3A9F" w:rsidP="001A3A9F">
      <w:pPr>
        <w:spacing w:after="0" w:line="240" w:lineRule="auto"/>
        <w:jc w:val="center"/>
        <w:rPr>
          <w:rFonts w:ascii="Garamond" w:eastAsiaTheme="minorHAnsi" w:hAnsi="Garamond"/>
          <w:b/>
          <w:bCs/>
          <w:color w:val="000000" w:themeColor="text1"/>
          <w:sz w:val="24"/>
          <w:szCs w:val="24"/>
          <w:lang w:val="sq-AL"/>
        </w:rPr>
      </w:pPr>
      <w:r w:rsidRPr="00993C76">
        <w:rPr>
          <w:rFonts w:ascii="Garamond" w:eastAsiaTheme="minorHAnsi" w:hAnsi="Garamond"/>
          <w:b/>
          <w:bCs/>
          <w:color w:val="000000" w:themeColor="text1"/>
          <w:sz w:val="24"/>
          <w:szCs w:val="24"/>
          <w:lang w:val="sq-AL"/>
        </w:rPr>
        <w:t>Publikimi i raporteve të qëndrueshmërisë së njësive ekonomike të vendeve të tjera</w:t>
      </w:r>
    </w:p>
    <w:p w:rsidR="001A3A9F" w:rsidRPr="00993C76" w:rsidRDefault="001A3A9F" w:rsidP="001A3A9F">
      <w:pPr>
        <w:widowControl w:val="0"/>
        <w:spacing w:after="0" w:line="240" w:lineRule="auto"/>
        <w:ind w:firstLine="720"/>
        <w:jc w:val="center"/>
        <w:rPr>
          <w:rFonts w:ascii="Garamond" w:eastAsia="Times New Roman" w:hAnsi="Garamond"/>
          <w:i/>
          <w:sz w:val="24"/>
          <w:szCs w:val="24"/>
        </w:rPr>
      </w:pPr>
      <w:r w:rsidRPr="00993C76">
        <w:rPr>
          <w:rFonts w:ascii="Garamond" w:eastAsia="Times New Roman" w:hAnsi="Garamond"/>
          <w:i/>
          <w:sz w:val="24"/>
          <w:szCs w:val="24"/>
        </w:rPr>
        <w:t>(Shtuar me ligjin nr. 87/2026, datë 16.7.2026)</w:t>
      </w:r>
    </w:p>
    <w:p w:rsidR="001A3A9F" w:rsidRPr="00993C76" w:rsidRDefault="001A3A9F" w:rsidP="001A3A9F">
      <w:pPr>
        <w:spacing w:after="0" w:line="240" w:lineRule="auto"/>
        <w:rPr>
          <w:rFonts w:ascii="Garamond" w:eastAsiaTheme="minorHAnsi" w:hAnsi="Garamond"/>
          <w:color w:val="000000" w:themeColor="text1"/>
          <w:sz w:val="24"/>
          <w:szCs w:val="24"/>
          <w:lang w:val="sq-AL"/>
        </w:rPr>
      </w:pP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1. Njësitë ekonomike të kontrolluara dhe degët e përmendura në nenin 20/6 të këtij ligji publikojnë raportin e qëndrueshmërisë, së bashku me opinionin e dhënies së sigurisë dhe, sipas rastit, me pasqyrat financiare të parashikuara në këtë ligj, në përputhje me sa parashikohet në pikën 1 të nenit 22 të këtij ligji.</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2. Raporti i qëndrueshmërisë, opinioni i dhënies së sigurisë dhe, sipas rastit, pasqyrat financiare depozitohen pranë regjistrit tregtar, ku është regjistruar njësia ekonomike e kontrolluar ose dega, dhe publikohen në gjuhën shqipe ose në një gjuhë tjetër të pranuar, sipas legjislacionit vendas.</w:t>
      </w:r>
    </w:p>
    <w:p w:rsidR="001A3A9F" w:rsidRPr="00993C76" w:rsidRDefault="001A3A9F" w:rsidP="001A3A9F">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3. Kur raporti i qëndrueshmërisë, opinioni i dhënies së sigurisë dhe, sipas rastit, pasqyrat financiare nuk bëhen të aksesueshme për publikun nëpërmjet regjistrit tregtar, ato bëhen të aksesueshme për publikun falas në faqen e internetit të njësisë ekonomike të kontrolluar ose të degës, sipas kërkesave të pikës 1 të nenit 22 të këtij ligji.</w:t>
      </w:r>
    </w:p>
    <w:p w:rsidR="001A3A9F" w:rsidRPr="00993C76" w:rsidRDefault="001A3A9F" w:rsidP="001A3A9F">
      <w:pPr>
        <w:spacing w:after="0" w:line="240" w:lineRule="auto"/>
        <w:rPr>
          <w:rFonts w:ascii="Garamond" w:eastAsiaTheme="minorHAnsi" w:hAnsi="Garamond"/>
          <w:color w:val="000000" w:themeColor="text1"/>
          <w:sz w:val="24"/>
          <w:szCs w:val="24"/>
          <w:lang w:val="sq-AL"/>
        </w:rPr>
      </w:pPr>
    </w:p>
    <w:p w:rsidR="00DF6666" w:rsidRPr="00993C76" w:rsidRDefault="00DF6666" w:rsidP="00DF6666">
      <w:pPr>
        <w:pStyle w:val="NeniNr"/>
        <w:keepNext w:val="0"/>
        <w:rPr>
          <w:spacing w:val="-4"/>
          <w:szCs w:val="24"/>
          <w:lang w:val="sq-AL"/>
        </w:rPr>
      </w:pPr>
      <w:r w:rsidRPr="00993C76">
        <w:rPr>
          <w:spacing w:val="-4"/>
          <w:szCs w:val="24"/>
          <w:lang w:val="sq-AL"/>
        </w:rPr>
        <w:t xml:space="preserve">Neni 21 </w:t>
      </w:r>
    </w:p>
    <w:p w:rsidR="00DF6666" w:rsidRPr="00993C76" w:rsidRDefault="00DF6666" w:rsidP="00DF6666">
      <w:pPr>
        <w:pStyle w:val="NeniNr"/>
        <w:keepNext w:val="0"/>
        <w:rPr>
          <w:b/>
          <w:spacing w:val="-4"/>
          <w:szCs w:val="24"/>
          <w:lang w:val="sq-AL"/>
        </w:rPr>
      </w:pPr>
      <w:r w:rsidRPr="00993C76">
        <w:rPr>
          <w:b/>
          <w:spacing w:val="-4"/>
          <w:szCs w:val="24"/>
          <w:lang w:val="sq-AL"/>
        </w:rPr>
        <w:t>Raportimi i pagesave që u bëhen institucioneve shtetërore</w:t>
      </w:r>
    </w:p>
    <w:p w:rsidR="001A3A9F" w:rsidRPr="00993C76" w:rsidRDefault="001A3A9F" w:rsidP="001A3A9F">
      <w:pPr>
        <w:widowControl w:val="0"/>
        <w:spacing w:after="0" w:line="240" w:lineRule="auto"/>
        <w:ind w:firstLine="720"/>
        <w:jc w:val="center"/>
        <w:rPr>
          <w:rFonts w:ascii="Garamond" w:eastAsia="Times New Roman" w:hAnsi="Garamond"/>
          <w:i/>
          <w:sz w:val="24"/>
          <w:szCs w:val="24"/>
        </w:rPr>
      </w:pPr>
      <w:r w:rsidRPr="00993C76">
        <w:rPr>
          <w:rFonts w:ascii="Garamond" w:eastAsia="Times New Roman" w:hAnsi="Garamond"/>
          <w:i/>
          <w:sz w:val="24"/>
          <w:szCs w:val="24"/>
        </w:rPr>
        <w:t>(</w:t>
      </w:r>
      <w:r w:rsidR="007B198F" w:rsidRPr="00993C76">
        <w:rPr>
          <w:rFonts w:ascii="Garamond" w:eastAsia="Times New Roman" w:hAnsi="Garamond"/>
          <w:i/>
          <w:sz w:val="24"/>
          <w:szCs w:val="24"/>
        </w:rPr>
        <w:t>Ndryshuar togfjal</w:t>
      </w:r>
      <w:r w:rsidR="00993C76">
        <w:rPr>
          <w:rFonts w:ascii="Garamond" w:eastAsia="Times New Roman" w:hAnsi="Garamond"/>
          <w:i/>
          <w:sz w:val="24"/>
          <w:szCs w:val="24"/>
        </w:rPr>
        <w:t>ë</w:t>
      </w:r>
      <w:r w:rsidR="007B198F" w:rsidRPr="00993C76">
        <w:rPr>
          <w:rFonts w:ascii="Garamond" w:eastAsia="Times New Roman" w:hAnsi="Garamond"/>
          <w:i/>
          <w:sz w:val="24"/>
          <w:szCs w:val="24"/>
        </w:rPr>
        <w:t>sh n</w:t>
      </w:r>
      <w:r w:rsidR="00993C76">
        <w:rPr>
          <w:rFonts w:ascii="Garamond" w:eastAsia="Times New Roman" w:hAnsi="Garamond"/>
          <w:i/>
          <w:sz w:val="24"/>
          <w:szCs w:val="24"/>
        </w:rPr>
        <w:t>ë</w:t>
      </w:r>
      <w:r w:rsidR="007B198F" w:rsidRPr="00993C76">
        <w:rPr>
          <w:rFonts w:ascii="Garamond" w:eastAsia="Times New Roman" w:hAnsi="Garamond"/>
          <w:i/>
          <w:sz w:val="24"/>
          <w:szCs w:val="24"/>
        </w:rPr>
        <w:t xml:space="preserve"> paragrafin e dyt</w:t>
      </w:r>
      <w:r w:rsidR="00993C76">
        <w:rPr>
          <w:rFonts w:ascii="Garamond" w:eastAsia="Times New Roman" w:hAnsi="Garamond"/>
          <w:i/>
          <w:sz w:val="24"/>
          <w:szCs w:val="24"/>
        </w:rPr>
        <w:t>ë</w:t>
      </w:r>
      <w:r w:rsidR="007B198F" w:rsidRPr="00993C76">
        <w:rPr>
          <w:rFonts w:ascii="Garamond" w:eastAsia="Times New Roman" w:hAnsi="Garamond"/>
          <w:i/>
          <w:sz w:val="24"/>
          <w:szCs w:val="24"/>
        </w:rPr>
        <w:t xml:space="preserve"> t</w:t>
      </w:r>
      <w:r w:rsidR="00993C76">
        <w:rPr>
          <w:rFonts w:ascii="Garamond" w:eastAsia="Times New Roman" w:hAnsi="Garamond"/>
          <w:i/>
          <w:sz w:val="24"/>
          <w:szCs w:val="24"/>
        </w:rPr>
        <w:t>ë</w:t>
      </w:r>
      <w:r w:rsidR="007B198F" w:rsidRPr="00993C76">
        <w:rPr>
          <w:rFonts w:ascii="Garamond" w:eastAsia="Times New Roman" w:hAnsi="Garamond"/>
          <w:i/>
          <w:sz w:val="24"/>
          <w:szCs w:val="24"/>
        </w:rPr>
        <w:t xml:space="preserve"> pik</w:t>
      </w:r>
      <w:r w:rsidR="00993C76">
        <w:rPr>
          <w:rFonts w:ascii="Garamond" w:eastAsia="Times New Roman" w:hAnsi="Garamond"/>
          <w:i/>
          <w:sz w:val="24"/>
          <w:szCs w:val="24"/>
        </w:rPr>
        <w:t>ë</w:t>
      </w:r>
      <w:r w:rsidR="007B198F" w:rsidRPr="00993C76">
        <w:rPr>
          <w:rFonts w:ascii="Garamond" w:eastAsia="Times New Roman" w:hAnsi="Garamond"/>
          <w:i/>
          <w:sz w:val="24"/>
          <w:szCs w:val="24"/>
        </w:rPr>
        <w:t xml:space="preserve">s 1, </w:t>
      </w:r>
      <w:r w:rsidR="00AB6A4E" w:rsidRPr="00993C76">
        <w:rPr>
          <w:rFonts w:ascii="Garamond" w:eastAsia="Times New Roman" w:hAnsi="Garamond"/>
          <w:i/>
          <w:sz w:val="24"/>
          <w:szCs w:val="24"/>
        </w:rPr>
        <w:t>n</w:t>
      </w:r>
      <w:r w:rsidR="00993C76">
        <w:rPr>
          <w:rFonts w:ascii="Garamond" w:eastAsia="Times New Roman" w:hAnsi="Garamond"/>
          <w:i/>
          <w:sz w:val="24"/>
          <w:szCs w:val="24"/>
        </w:rPr>
        <w:t>ë</w:t>
      </w:r>
      <w:r w:rsidR="00AB6A4E" w:rsidRPr="00993C76">
        <w:rPr>
          <w:rFonts w:ascii="Garamond" w:eastAsia="Times New Roman" w:hAnsi="Garamond"/>
          <w:i/>
          <w:sz w:val="24"/>
          <w:szCs w:val="24"/>
        </w:rPr>
        <w:t xml:space="preserve"> pik</w:t>
      </w:r>
      <w:r w:rsidR="00993C76">
        <w:rPr>
          <w:rFonts w:ascii="Garamond" w:eastAsia="Times New Roman" w:hAnsi="Garamond"/>
          <w:i/>
          <w:sz w:val="24"/>
          <w:szCs w:val="24"/>
        </w:rPr>
        <w:t>ë</w:t>
      </w:r>
      <w:r w:rsidR="00AB6A4E" w:rsidRPr="00993C76">
        <w:rPr>
          <w:rFonts w:ascii="Garamond" w:eastAsia="Times New Roman" w:hAnsi="Garamond"/>
          <w:i/>
          <w:sz w:val="24"/>
          <w:szCs w:val="24"/>
        </w:rPr>
        <w:t xml:space="preserve">n </w:t>
      </w:r>
      <w:r w:rsidR="007B198F" w:rsidRPr="00993C76">
        <w:rPr>
          <w:rFonts w:ascii="Garamond" w:eastAsia="Times New Roman" w:hAnsi="Garamond"/>
          <w:i/>
          <w:sz w:val="24"/>
          <w:szCs w:val="24"/>
        </w:rPr>
        <w:t>2, 3, 7</w:t>
      </w:r>
      <w:r w:rsidR="00AB6A4E" w:rsidRPr="00993C76">
        <w:rPr>
          <w:rFonts w:ascii="Garamond" w:eastAsia="Times New Roman" w:hAnsi="Garamond"/>
          <w:i/>
          <w:sz w:val="24"/>
          <w:szCs w:val="24"/>
        </w:rPr>
        <w:t>, n</w:t>
      </w:r>
      <w:r w:rsidR="00993C76">
        <w:rPr>
          <w:rFonts w:ascii="Garamond" w:eastAsia="Times New Roman" w:hAnsi="Garamond"/>
          <w:i/>
          <w:sz w:val="24"/>
          <w:szCs w:val="24"/>
        </w:rPr>
        <w:t>ë</w:t>
      </w:r>
      <w:r w:rsidR="00AB6A4E" w:rsidRPr="00993C76">
        <w:rPr>
          <w:rFonts w:ascii="Garamond" w:eastAsia="Times New Roman" w:hAnsi="Garamond"/>
          <w:i/>
          <w:sz w:val="24"/>
          <w:szCs w:val="24"/>
        </w:rPr>
        <w:t xml:space="preserve"> </w:t>
      </w:r>
      <w:r w:rsidR="007B198F" w:rsidRPr="00993C76">
        <w:rPr>
          <w:rFonts w:ascii="Garamond" w:eastAsia="Times New Roman" w:hAnsi="Garamond"/>
          <w:i/>
          <w:sz w:val="24"/>
          <w:szCs w:val="24"/>
        </w:rPr>
        <w:t>shkronj</w:t>
      </w:r>
      <w:r w:rsidR="00993C76">
        <w:rPr>
          <w:rFonts w:ascii="Garamond" w:eastAsia="Times New Roman" w:hAnsi="Garamond"/>
          <w:i/>
          <w:sz w:val="24"/>
          <w:szCs w:val="24"/>
        </w:rPr>
        <w:t>ë</w:t>
      </w:r>
      <w:r w:rsidR="007B198F" w:rsidRPr="00993C76">
        <w:rPr>
          <w:rFonts w:ascii="Garamond" w:eastAsia="Times New Roman" w:hAnsi="Garamond"/>
          <w:i/>
          <w:sz w:val="24"/>
          <w:szCs w:val="24"/>
        </w:rPr>
        <w:t>n “a” t</w:t>
      </w:r>
      <w:r w:rsidR="00993C76">
        <w:rPr>
          <w:rFonts w:ascii="Garamond" w:eastAsia="Times New Roman" w:hAnsi="Garamond"/>
          <w:i/>
          <w:sz w:val="24"/>
          <w:szCs w:val="24"/>
        </w:rPr>
        <w:t>ë</w:t>
      </w:r>
      <w:r w:rsidR="007B198F" w:rsidRPr="00993C76">
        <w:rPr>
          <w:rFonts w:ascii="Garamond" w:eastAsia="Times New Roman" w:hAnsi="Garamond"/>
          <w:i/>
          <w:sz w:val="24"/>
          <w:szCs w:val="24"/>
        </w:rPr>
        <w:t xml:space="preserve"> pik</w:t>
      </w:r>
      <w:r w:rsidR="00993C76">
        <w:rPr>
          <w:rFonts w:ascii="Garamond" w:eastAsia="Times New Roman" w:hAnsi="Garamond"/>
          <w:i/>
          <w:sz w:val="24"/>
          <w:szCs w:val="24"/>
        </w:rPr>
        <w:t>ë</w:t>
      </w:r>
      <w:r w:rsidR="007B198F" w:rsidRPr="00993C76">
        <w:rPr>
          <w:rFonts w:ascii="Garamond" w:eastAsia="Times New Roman" w:hAnsi="Garamond"/>
          <w:i/>
          <w:sz w:val="24"/>
          <w:szCs w:val="24"/>
        </w:rPr>
        <w:t>s 4, n</w:t>
      </w:r>
      <w:r w:rsidR="00993C76">
        <w:rPr>
          <w:rFonts w:ascii="Garamond" w:eastAsia="Times New Roman" w:hAnsi="Garamond"/>
          <w:i/>
          <w:sz w:val="24"/>
          <w:szCs w:val="24"/>
        </w:rPr>
        <w:t>ë</w:t>
      </w:r>
      <w:r w:rsidR="007B198F" w:rsidRPr="00993C76">
        <w:rPr>
          <w:rFonts w:ascii="Garamond" w:eastAsia="Times New Roman" w:hAnsi="Garamond"/>
          <w:i/>
          <w:sz w:val="24"/>
          <w:szCs w:val="24"/>
        </w:rPr>
        <w:t xml:space="preserve">ndarja ‘ii” e </w:t>
      </w:r>
      <w:r w:rsidR="00AB6A4E" w:rsidRPr="00993C76">
        <w:rPr>
          <w:rFonts w:ascii="Garamond" w:eastAsia="Times New Roman" w:hAnsi="Garamond"/>
          <w:i/>
          <w:sz w:val="24"/>
          <w:szCs w:val="24"/>
        </w:rPr>
        <w:t>shkronj</w:t>
      </w:r>
      <w:r w:rsidR="00993C76">
        <w:rPr>
          <w:rFonts w:ascii="Garamond" w:eastAsia="Times New Roman" w:hAnsi="Garamond"/>
          <w:i/>
          <w:sz w:val="24"/>
          <w:szCs w:val="24"/>
        </w:rPr>
        <w:t>ë</w:t>
      </w:r>
      <w:r w:rsidR="00AB6A4E" w:rsidRPr="00993C76">
        <w:rPr>
          <w:rFonts w:ascii="Garamond" w:eastAsia="Times New Roman" w:hAnsi="Garamond"/>
          <w:i/>
          <w:sz w:val="24"/>
          <w:szCs w:val="24"/>
        </w:rPr>
        <w:t xml:space="preserve">s “b” </w:t>
      </w:r>
      <w:r w:rsidR="00FE2A65" w:rsidRPr="00993C76">
        <w:rPr>
          <w:rFonts w:ascii="Garamond" w:eastAsia="Times New Roman" w:hAnsi="Garamond"/>
          <w:i/>
          <w:sz w:val="24"/>
          <w:szCs w:val="24"/>
        </w:rPr>
        <w:t>t</w:t>
      </w:r>
      <w:r w:rsidR="00993C76">
        <w:rPr>
          <w:rFonts w:ascii="Garamond" w:eastAsia="Times New Roman" w:hAnsi="Garamond"/>
          <w:i/>
          <w:sz w:val="24"/>
          <w:szCs w:val="24"/>
        </w:rPr>
        <w:t>ë</w:t>
      </w:r>
      <w:r w:rsidR="00AB6A4E" w:rsidRPr="00993C76">
        <w:rPr>
          <w:rFonts w:ascii="Garamond" w:eastAsia="Times New Roman" w:hAnsi="Garamond"/>
          <w:i/>
          <w:sz w:val="24"/>
          <w:szCs w:val="24"/>
        </w:rPr>
        <w:t xml:space="preserve"> pik</w:t>
      </w:r>
      <w:r w:rsidR="00993C76">
        <w:rPr>
          <w:rFonts w:ascii="Garamond" w:eastAsia="Times New Roman" w:hAnsi="Garamond"/>
          <w:i/>
          <w:sz w:val="24"/>
          <w:szCs w:val="24"/>
        </w:rPr>
        <w:t>ë</w:t>
      </w:r>
      <w:r w:rsidR="00AB6A4E" w:rsidRPr="00993C76">
        <w:rPr>
          <w:rFonts w:ascii="Garamond" w:eastAsia="Times New Roman" w:hAnsi="Garamond"/>
          <w:i/>
          <w:sz w:val="24"/>
          <w:szCs w:val="24"/>
        </w:rPr>
        <w:t xml:space="preserve">s 4, </w:t>
      </w:r>
      <w:r w:rsidR="007B198F" w:rsidRPr="00993C76">
        <w:rPr>
          <w:rFonts w:ascii="Garamond" w:eastAsia="Times New Roman" w:hAnsi="Garamond"/>
          <w:i/>
          <w:sz w:val="24"/>
          <w:szCs w:val="24"/>
        </w:rPr>
        <w:t>shtuar fjali pas pragrafit t</w:t>
      </w:r>
      <w:r w:rsidR="00993C76">
        <w:rPr>
          <w:rFonts w:ascii="Garamond" w:eastAsia="Times New Roman" w:hAnsi="Garamond"/>
          <w:i/>
          <w:sz w:val="24"/>
          <w:szCs w:val="24"/>
        </w:rPr>
        <w:t>ë</w:t>
      </w:r>
      <w:r w:rsidR="007B198F" w:rsidRPr="00993C76">
        <w:rPr>
          <w:rFonts w:ascii="Garamond" w:eastAsia="Times New Roman" w:hAnsi="Garamond"/>
          <w:i/>
          <w:sz w:val="24"/>
          <w:szCs w:val="24"/>
        </w:rPr>
        <w:t xml:space="preserve"> dyt</w:t>
      </w:r>
      <w:r w:rsidR="00993C76">
        <w:rPr>
          <w:rFonts w:ascii="Garamond" w:eastAsia="Times New Roman" w:hAnsi="Garamond"/>
          <w:i/>
          <w:sz w:val="24"/>
          <w:szCs w:val="24"/>
        </w:rPr>
        <w:t>ë</w:t>
      </w:r>
      <w:r w:rsidR="007B198F" w:rsidRPr="00993C76">
        <w:rPr>
          <w:rFonts w:ascii="Garamond" w:eastAsia="Times New Roman" w:hAnsi="Garamond"/>
          <w:i/>
          <w:sz w:val="24"/>
          <w:szCs w:val="24"/>
        </w:rPr>
        <w:t xml:space="preserve"> t</w:t>
      </w:r>
      <w:r w:rsidR="00993C76">
        <w:rPr>
          <w:rFonts w:ascii="Garamond" w:eastAsia="Times New Roman" w:hAnsi="Garamond"/>
          <w:i/>
          <w:sz w:val="24"/>
          <w:szCs w:val="24"/>
        </w:rPr>
        <w:t>ë</w:t>
      </w:r>
      <w:r w:rsidR="007B198F" w:rsidRPr="00993C76">
        <w:rPr>
          <w:rFonts w:ascii="Garamond" w:eastAsia="Times New Roman" w:hAnsi="Garamond"/>
          <w:i/>
          <w:sz w:val="24"/>
          <w:szCs w:val="24"/>
        </w:rPr>
        <w:t xml:space="preserve"> pik</w:t>
      </w:r>
      <w:r w:rsidR="00993C76">
        <w:rPr>
          <w:rFonts w:ascii="Garamond" w:eastAsia="Times New Roman" w:hAnsi="Garamond"/>
          <w:i/>
          <w:sz w:val="24"/>
          <w:szCs w:val="24"/>
        </w:rPr>
        <w:t>ë</w:t>
      </w:r>
      <w:r w:rsidR="007B198F" w:rsidRPr="00993C76">
        <w:rPr>
          <w:rFonts w:ascii="Garamond" w:eastAsia="Times New Roman" w:hAnsi="Garamond"/>
          <w:i/>
          <w:sz w:val="24"/>
          <w:szCs w:val="24"/>
        </w:rPr>
        <w:t>s 1,</w:t>
      </w:r>
      <w:r w:rsidRPr="00993C76">
        <w:rPr>
          <w:rFonts w:ascii="Garamond" w:eastAsia="Times New Roman" w:hAnsi="Garamond"/>
          <w:i/>
          <w:sz w:val="24"/>
          <w:szCs w:val="24"/>
        </w:rPr>
        <w:t xml:space="preserve"> </w:t>
      </w:r>
      <w:r w:rsidR="007B198F" w:rsidRPr="00993C76">
        <w:rPr>
          <w:rFonts w:ascii="Garamond" w:hAnsi="Garamond"/>
          <w:i/>
          <w:color w:val="000000" w:themeColor="text1"/>
          <w:sz w:val="24"/>
          <w:szCs w:val="24"/>
        </w:rPr>
        <w:t xml:space="preserve">shkronja “c” </w:t>
      </w:r>
      <w:r w:rsidR="007B198F" w:rsidRPr="00993C76">
        <w:rPr>
          <w:rFonts w:ascii="Garamond" w:hAnsi="Garamond"/>
          <w:i/>
          <w:color w:val="000000" w:themeColor="text1"/>
          <w:sz w:val="24"/>
          <w:szCs w:val="24"/>
        </w:rPr>
        <w:t>e pik</w:t>
      </w:r>
      <w:r w:rsidR="00993C76">
        <w:rPr>
          <w:rFonts w:ascii="Garamond" w:hAnsi="Garamond"/>
          <w:i/>
          <w:color w:val="000000" w:themeColor="text1"/>
          <w:sz w:val="24"/>
          <w:szCs w:val="24"/>
        </w:rPr>
        <w:t>ë</w:t>
      </w:r>
      <w:r w:rsidR="007B198F" w:rsidRPr="00993C76">
        <w:rPr>
          <w:rFonts w:ascii="Garamond" w:hAnsi="Garamond"/>
          <w:i/>
          <w:color w:val="000000" w:themeColor="text1"/>
          <w:sz w:val="24"/>
          <w:szCs w:val="24"/>
        </w:rPr>
        <w:t xml:space="preserve">s 4 </w:t>
      </w:r>
      <w:r w:rsidRPr="00993C76">
        <w:rPr>
          <w:rFonts w:ascii="Garamond" w:eastAsia="Times New Roman" w:hAnsi="Garamond"/>
          <w:i/>
          <w:sz w:val="24"/>
          <w:szCs w:val="24"/>
        </w:rPr>
        <w:t>me ligjin nr. 87/2026, datë 16.7.2026)</w:t>
      </w:r>
    </w:p>
    <w:p w:rsidR="00DF6666" w:rsidRPr="00993C76" w:rsidRDefault="00DF6666" w:rsidP="00DF6666">
      <w:pPr>
        <w:widowControl w:val="0"/>
        <w:tabs>
          <w:tab w:val="left" w:pos="1453"/>
        </w:tabs>
        <w:spacing w:after="0" w:line="240" w:lineRule="auto"/>
        <w:jc w:val="center"/>
        <w:rPr>
          <w:rFonts w:ascii="Garamond" w:hAnsi="Garamond"/>
          <w:b/>
          <w:spacing w:val="-4"/>
          <w:sz w:val="24"/>
          <w:szCs w:val="24"/>
          <w:lang w:val="sq-AL"/>
        </w:rPr>
      </w:pP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1. Njësitë ekonomike të mëdha dhe të gjitha njësitë ekonomike me interes publik, që janë aktive në industrinë nxjerrëse ose shfrytëzimin për lëndë drusore të pyjeve, duhet të hartojnë dhe të publikojnë një raport për pagesat që u bëhen institucioneve shtetërore në mënyrë vjetore. Ky raport do të dorëzohet së bashku me raportet e tjera të kërkuara nga dispozitat e këtij ligji.</w:t>
      </w:r>
    </w:p>
    <w:p w:rsidR="001A3A9F" w:rsidRPr="00993C76" w:rsidRDefault="00DF6666" w:rsidP="001A3A9F">
      <w:pPr>
        <w:spacing w:after="0" w:line="240" w:lineRule="auto"/>
        <w:rPr>
          <w:rFonts w:ascii="Garamond" w:eastAsiaTheme="minorHAnsi" w:hAnsi="Garamond"/>
          <w:color w:val="000000" w:themeColor="text1"/>
          <w:sz w:val="24"/>
          <w:szCs w:val="24"/>
          <w:lang w:val="sq-AL"/>
        </w:rPr>
      </w:pPr>
      <w:r w:rsidRPr="00993C76">
        <w:rPr>
          <w:rFonts w:ascii="Garamond" w:hAnsi="Garamond"/>
          <w:spacing w:val="-4"/>
          <w:sz w:val="24"/>
          <w:szCs w:val="24"/>
          <w:lang w:val="sq-AL"/>
        </w:rPr>
        <w:t xml:space="preserve">Njësi ekonomike aktive në industrinë nxjerrëse konsiderohen njësitë që ushtrojnë veprimtari në eksplorimin, kërkimin, zbulimin, zhvillimin dhe nxjerrjen e mineraleve, naftës, gazit natyror apo të tjera, të </w:t>
      </w:r>
      <w:r w:rsidRPr="00993C76">
        <w:rPr>
          <w:rFonts w:ascii="Garamond" w:hAnsi="Garamond"/>
          <w:spacing w:val="-4"/>
          <w:sz w:val="24"/>
          <w:szCs w:val="24"/>
          <w:lang w:val="sq-AL"/>
        </w:rPr>
        <w:lastRenderedPageBreak/>
        <w:t xml:space="preserve">parashikuara si të tilla nga </w:t>
      </w:r>
      <w:r w:rsidR="001A3A9F" w:rsidRPr="00993C76">
        <w:rPr>
          <w:rFonts w:ascii="Garamond" w:hAnsi="Garamond"/>
          <w:color w:val="000000" w:themeColor="text1"/>
          <w:sz w:val="24"/>
          <w:szCs w:val="24"/>
        </w:rPr>
        <w:t>legjislacioni i fushës përkatëse në fuqi</w:t>
      </w:r>
      <w:r w:rsidRPr="00993C76">
        <w:rPr>
          <w:rFonts w:ascii="Garamond" w:hAnsi="Garamond"/>
          <w:spacing w:val="-4"/>
          <w:sz w:val="24"/>
          <w:szCs w:val="24"/>
          <w:lang w:val="sq-AL"/>
        </w:rPr>
        <w:t>.</w:t>
      </w:r>
      <w:r w:rsidR="001A3A9F" w:rsidRPr="00993C76">
        <w:rPr>
          <w:rFonts w:ascii="Garamond" w:hAnsi="Garamond"/>
          <w:spacing w:val="-4"/>
          <w:sz w:val="24"/>
          <w:szCs w:val="24"/>
          <w:lang w:val="sq-AL"/>
        </w:rPr>
        <w:t xml:space="preserve"> </w:t>
      </w:r>
      <w:r w:rsidR="001A3A9F" w:rsidRPr="00993C76">
        <w:rPr>
          <w:rFonts w:ascii="Garamond" w:eastAsiaTheme="minorHAnsi" w:hAnsi="Garamond"/>
          <w:color w:val="000000" w:themeColor="text1"/>
          <w:sz w:val="24"/>
          <w:szCs w:val="24"/>
          <w:lang w:val="sq-AL"/>
        </w:rPr>
        <w:t>Njësi ekonomike aktive në shfrytëzimin për lëndë drusore të pyjeve primare konsiderohen njësitë që ushtrojnë veprimtari në prerjen dhe shfrytëzimin e pyjeve primare, sipas përcaktimeve të legjislacionit dhe kategorizimeve përkatëse në Republikën e Shqipërisë.</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 xml:space="preserve">2. Në zbatim të këtij neni, njësia ekonomike me interes publik trajtohet si njësi ekonomike e madhe, pavarësisht nga </w:t>
      </w:r>
      <w:r w:rsidR="00A80C4B" w:rsidRPr="00993C76">
        <w:rPr>
          <w:rFonts w:ascii="Garamond" w:hAnsi="Garamond"/>
          <w:color w:val="000000" w:themeColor="text1"/>
          <w:sz w:val="24"/>
          <w:szCs w:val="24"/>
        </w:rPr>
        <w:t>të ardhurat e shfrytëzimit</w:t>
      </w:r>
      <w:r w:rsidRPr="00993C76">
        <w:rPr>
          <w:rFonts w:ascii="Garamond" w:hAnsi="Garamond"/>
          <w:spacing w:val="-4"/>
          <w:sz w:val="24"/>
          <w:szCs w:val="24"/>
          <w:lang w:val="sq-AL"/>
        </w:rPr>
        <w:t>, aktivi ose numri mesatar i punëmarrësve gjatë periudhës raportuese.</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 xml:space="preserve">3. Nuk është nevoja që në raport të merret në konsideratë çdo pagesë, qoftë në formë pagese të vetme apo në formë vargu pagesash të lidhura, nëse është nën vlerën </w:t>
      </w:r>
      <w:r w:rsidR="00A80C4B" w:rsidRPr="00993C76">
        <w:rPr>
          <w:rFonts w:ascii="Garamond" w:hAnsi="Garamond"/>
          <w:color w:val="000000" w:themeColor="text1"/>
          <w:sz w:val="24"/>
          <w:szCs w:val="24"/>
        </w:rPr>
        <w:t>10 000 000 lekë</w:t>
      </w:r>
      <w:r w:rsidR="00A80C4B" w:rsidRPr="00993C76">
        <w:rPr>
          <w:rFonts w:ascii="Garamond" w:hAnsi="Garamond"/>
          <w:spacing w:val="-4"/>
          <w:sz w:val="24"/>
          <w:szCs w:val="24"/>
          <w:lang w:val="sq-AL"/>
        </w:rPr>
        <w:t xml:space="preserve"> </w:t>
      </w:r>
      <w:r w:rsidRPr="00993C76">
        <w:rPr>
          <w:rFonts w:ascii="Garamond" w:hAnsi="Garamond"/>
          <w:spacing w:val="-4"/>
          <w:sz w:val="24"/>
          <w:szCs w:val="24"/>
          <w:lang w:val="sq-AL"/>
        </w:rPr>
        <w:t>brenda një periudhe raportuese.</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4. Raporti i pagesave jep informacionet e mëposhtme lidhur me veprimtaritë ekonomike, në periudhën raportuese përkatëse:</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 xml:space="preserve">a) shumën, gjithsej, të pagesave që u bëhen </w:t>
      </w:r>
      <w:r w:rsidR="00A80C4B" w:rsidRPr="00993C76">
        <w:rPr>
          <w:rFonts w:ascii="Garamond" w:hAnsi="Garamond"/>
          <w:color w:val="000000" w:themeColor="text1"/>
          <w:sz w:val="24"/>
          <w:szCs w:val="24"/>
        </w:rPr>
        <w:t>secilit prej institucioneve shtetërore veçmas</w:t>
      </w:r>
      <w:r w:rsidRPr="00993C76">
        <w:rPr>
          <w:rFonts w:ascii="Garamond" w:hAnsi="Garamond"/>
          <w:spacing w:val="-4"/>
          <w:sz w:val="24"/>
          <w:szCs w:val="24"/>
          <w:lang w:val="sq-AL"/>
        </w:rPr>
        <w:t xml:space="preserve">; </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b) shumën, gjithsej, për lloj pagese të mëposhtme:</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i) të drejta prodhimi;</w:t>
      </w:r>
    </w:p>
    <w:p w:rsidR="00DF6666" w:rsidRPr="00993C76" w:rsidRDefault="00DF6666" w:rsidP="00A80C4B">
      <w:pPr>
        <w:spacing w:after="0" w:line="240" w:lineRule="auto"/>
        <w:rPr>
          <w:rFonts w:ascii="Garamond" w:hAnsi="Garamond"/>
          <w:spacing w:val="-4"/>
          <w:sz w:val="24"/>
          <w:szCs w:val="24"/>
          <w:lang w:val="sq-AL"/>
        </w:rPr>
      </w:pPr>
      <w:r w:rsidRPr="00993C76">
        <w:rPr>
          <w:rFonts w:ascii="Garamond" w:hAnsi="Garamond"/>
          <w:spacing w:val="-4"/>
          <w:sz w:val="24"/>
          <w:szCs w:val="24"/>
          <w:lang w:val="sq-AL"/>
        </w:rPr>
        <w:t xml:space="preserve">ii) </w:t>
      </w:r>
      <w:r w:rsidR="00A80C4B" w:rsidRPr="00993C76">
        <w:rPr>
          <w:rFonts w:ascii="Garamond" w:eastAsiaTheme="minorHAnsi" w:hAnsi="Garamond"/>
          <w:color w:val="000000" w:themeColor="text1"/>
          <w:sz w:val="24"/>
          <w:szCs w:val="24"/>
          <w:lang w:val="sq-AL"/>
        </w:rPr>
        <w:t>tatimet e vendosura mbi të ardhurat ose fitimet duke përjashtuar tatimet mbi konsumin, të tilla si Tatimi mbi Vlerën e Shtuar (TVSH), akcizat dhe tatimet e tjera që ngarkohen mbi shitjet ose transaksionet tregtare;</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iii) renta minerare;</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iv) dividendë;</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v) shpërblime për nënshkrimin, zbulimin dhe prodhimin;</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vi) tarifa, taksa dhe pagesa të tjera në lidhje me licenca dhe/ose koncesione;</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vii) pagesa për përmirësime të infrastrukturës.</w:t>
      </w:r>
    </w:p>
    <w:p w:rsidR="00A80C4B" w:rsidRPr="00993C76" w:rsidRDefault="00A80C4B" w:rsidP="00A80C4B">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c) kur pagesat i atribuohen një projekti specifik, raporti tregon shumën totale për secilën lloj pagese të parashikuar në këtë pikë, si dhe shumën totale të pagesave për secilin projekt. Kur pagesat burojnë nga detyrime të përcaktuara në nivel njësie, ato mund të deklarohen në nivel njësie dhe jo në nivel projekti.</w:t>
      </w:r>
    </w:p>
    <w:p w:rsidR="00A80C4B" w:rsidRPr="00993C76" w:rsidRDefault="00A80C4B" w:rsidP="00A80C4B">
      <w:pPr>
        <w:spacing w:after="0" w:line="240" w:lineRule="auto"/>
        <w:rPr>
          <w:rFonts w:ascii="Garamond" w:hAnsi="Garamond"/>
          <w:spacing w:val="-4"/>
          <w:sz w:val="24"/>
          <w:szCs w:val="24"/>
          <w:lang w:val="sq-AL"/>
        </w:rPr>
      </w:pPr>
      <w:r w:rsidRPr="00993C76">
        <w:rPr>
          <w:rFonts w:ascii="Garamond" w:eastAsiaTheme="minorHAnsi" w:hAnsi="Garamond"/>
          <w:color w:val="000000" w:themeColor="text1"/>
          <w:sz w:val="24"/>
          <w:szCs w:val="24"/>
          <w:lang w:val="sq-AL"/>
        </w:rPr>
        <w:t>Deklarimi i pagesave, sipas kësaj pike, bazohet në përmbajtjen dhe jo në formën e pagesës ose aktivitetit dhe pagesat apo aktivitetet nuk mund të ndahen ose të bashkohen artificialisht për të shmangur zbatimin e këtij neni.</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5. Kur një institucioni shtetëror i bëhen pagesa në natyrë, ato raportohen në vlerë dhe, sipas rastit, në vëllim. Jepen shënimet përkatëse për të shpjeguar se si është përcaktuar vlera.</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 xml:space="preserve">6. Çdo njësi ekonomike e madhe ose çdo njësi ekonomike me interes publik, që është aktive në industrinë nxjerrëse ose në shfrytëzimin për lëndë drusore të pyjeve, nëse është objekt i detyrimit për të përgatitur pasqyra financiare të konsoliduara, duhet të përpilojë edhe një raport të konsoliduar për pagesat që u bëhen institucioneve shtetërore, në përputhje me pikat e mësipërme të këtij neni. </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Njësia mëmë konsiderohet se është aktive në industrinë nxjerrëse ose shfrytëzimin e pyjeve, nëse ndonjëra prej njësive ekonomike të kontrolluara prej saj është aktive në industrinë nxjerrëse ose shfrytëzimin e pyjeve.</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Raporti i konsoliduar përfshin vetëm pagesat që janë rezultat i operacioneve nxjerrëse dhe/ose operacioneve që lidhen me shfrytëzimin e pyjeve.</w:t>
      </w:r>
    </w:p>
    <w:p w:rsidR="00DF6666" w:rsidRPr="00993C76" w:rsidRDefault="00DF6666" w:rsidP="00A80C4B">
      <w:pPr>
        <w:spacing w:after="0" w:line="240" w:lineRule="auto"/>
        <w:rPr>
          <w:rFonts w:ascii="Garamond" w:hAnsi="Garamond"/>
          <w:spacing w:val="-4"/>
          <w:sz w:val="24"/>
          <w:szCs w:val="24"/>
          <w:lang w:val="sq-AL"/>
        </w:rPr>
      </w:pPr>
      <w:r w:rsidRPr="00993C76">
        <w:rPr>
          <w:rFonts w:ascii="Garamond" w:hAnsi="Garamond"/>
          <w:spacing w:val="-4"/>
          <w:sz w:val="24"/>
          <w:szCs w:val="24"/>
          <w:lang w:val="sq-AL"/>
        </w:rPr>
        <w:t xml:space="preserve">7. Detyrimi për të përpiluar </w:t>
      </w:r>
      <w:r w:rsidR="00A80C4B" w:rsidRPr="00993C76">
        <w:rPr>
          <w:rFonts w:ascii="Garamond" w:eastAsiaTheme="minorHAnsi" w:hAnsi="Garamond"/>
          <w:color w:val="000000" w:themeColor="text1"/>
          <w:sz w:val="24"/>
          <w:szCs w:val="24"/>
          <w:lang w:val="sq-AL"/>
        </w:rPr>
        <w:t>raportin e konsoliduar të pagesave</w:t>
      </w:r>
      <w:r w:rsidRPr="00993C76">
        <w:rPr>
          <w:rFonts w:ascii="Garamond" w:hAnsi="Garamond"/>
          <w:spacing w:val="-4"/>
          <w:sz w:val="24"/>
          <w:szCs w:val="24"/>
          <w:lang w:val="sq-AL"/>
        </w:rPr>
        <w:t>, të përmendur në pikën 6, të këtij neni, nuk zbatohet për njësinë ekonomike mëmë të një grupi të vogël apo të mesëm, me përjashtim të rastit kur ndonjëra prej njësive ekonomike pjesëmarrëse është njësi ekonomike me interes publik.</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8. Në raportin e konsoliduar të pagesave, që u bëhen institucioneve shtetërore, nuk është nevoja të përfshihet një njësi ekonomike, përfshirë edhe një njësi ekonomike me interes publik, kur përmbushet të paktën njëri prej kushteve të mëposhtme:</w:t>
      </w:r>
    </w:p>
    <w:p w:rsidR="00DF6666" w:rsidRPr="00993C76" w:rsidRDefault="00DF6666" w:rsidP="00DF6666">
      <w:pPr>
        <w:widowControl w:val="0"/>
        <w:spacing w:after="0" w:line="240" w:lineRule="auto"/>
        <w:contextualSpacing/>
        <w:rPr>
          <w:rFonts w:ascii="Garamond" w:hAnsi="Garamond"/>
          <w:spacing w:val="-4"/>
          <w:sz w:val="24"/>
          <w:szCs w:val="24"/>
          <w:lang w:val="sq-AL"/>
        </w:rPr>
      </w:pPr>
      <w:r w:rsidRPr="00993C76">
        <w:rPr>
          <w:rFonts w:ascii="Garamond" w:hAnsi="Garamond"/>
          <w:spacing w:val="-4"/>
          <w:sz w:val="24"/>
          <w:szCs w:val="24"/>
          <w:lang w:val="sq-AL"/>
        </w:rPr>
        <w:t xml:space="preserve">a) kufizime të rënda afatgjata e pengojnë ndjeshëm njësinë ekonomike mëmë në ushtrimin e të drejtave të saj mbi aktivet ose administrimin e kësaj njësie ekonomike; </w:t>
      </w:r>
    </w:p>
    <w:p w:rsidR="00DF6666" w:rsidRPr="00993C76" w:rsidRDefault="00DF6666" w:rsidP="00DF6666">
      <w:pPr>
        <w:widowControl w:val="0"/>
        <w:spacing w:after="0" w:line="240" w:lineRule="auto"/>
        <w:contextualSpacing/>
        <w:rPr>
          <w:rFonts w:ascii="Garamond" w:hAnsi="Garamond"/>
          <w:spacing w:val="-4"/>
          <w:sz w:val="24"/>
          <w:szCs w:val="24"/>
          <w:lang w:val="sq-AL"/>
        </w:rPr>
      </w:pPr>
      <w:r w:rsidRPr="00993C76">
        <w:rPr>
          <w:rFonts w:ascii="Garamond" w:hAnsi="Garamond"/>
          <w:spacing w:val="-4"/>
          <w:sz w:val="24"/>
          <w:szCs w:val="24"/>
          <w:lang w:val="sq-AL"/>
        </w:rPr>
        <w:t xml:space="preserve">b) në raste tejet të rralla, kur informacioni i nevojshëm për hartimin e raportit të konsoliduar për pagesat, që u bëhen institucioneve shtetërore, në përputhje me këtë nen, nuk mund të merret pa shpenzime joproporcionale ose pa vonesë të pajustifikuar; </w:t>
      </w:r>
    </w:p>
    <w:p w:rsidR="00DF6666" w:rsidRPr="00993C76" w:rsidRDefault="00DF6666" w:rsidP="00DF6666">
      <w:pPr>
        <w:widowControl w:val="0"/>
        <w:spacing w:after="0" w:line="240" w:lineRule="auto"/>
        <w:rPr>
          <w:rFonts w:ascii="Garamond" w:hAnsi="Garamond"/>
          <w:sz w:val="24"/>
          <w:szCs w:val="24"/>
          <w:lang w:val="sq-AL"/>
        </w:rPr>
      </w:pPr>
      <w:r w:rsidRPr="00993C76">
        <w:rPr>
          <w:rFonts w:ascii="Garamond" w:hAnsi="Garamond"/>
          <w:sz w:val="24"/>
          <w:szCs w:val="24"/>
          <w:lang w:val="sq-AL"/>
        </w:rPr>
        <w:t xml:space="preserve">c) aksionet e kësaj njësie ekonomike mbahen vetëm për rishitjen më pas të tyre. </w:t>
      </w:r>
    </w:p>
    <w:p w:rsidR="00DF6666" w:rsidRPr="00993C76" w:rsidRDefault="00DF6666" w:rsidP="00DF6666">
      <w:pPr>
        <w:widowControl w:val="0"/>
        <w:spacing w:after="0" w:line="240" w:lineRule="auto"/>
        <w:rPr>
          <w:rFonts w:ascii="Garamond" w:hAnsi="Garamond"/>
          <w:sz w:val="24"/>
          <w:szCs w:val="24"/>
          <w:lang w:val="sq-AL"/>
        </w:rPr>
      </w:pPr>
      <w:r w:rsidRPr="00993C76">
        <w:rPr>
          <w:rFonts w:ascii="Garamond" w:hAnsi="Garamond"/>
          <w:sz w:val="24"/>
          <w:szCs w:val="24"/>
          <w:lang w:val="sq-AL"/>
        </w:rPr>
        <w:t>Përjashtimet e mësipërme zbatohen vetëm nëse janë përdorur në funksion të pasqyrave financiare të konsoliduara.</w:t>
      </w:r>
    </w:p>
    <w:p w:rsidR="00DF6666" w:rsidRPr="00993C76" w:rsidRDefault="00DF6666" w:rsidP="00DF6666">
      <w:pPr>
        <w:widowControl w:val="0"/>
        <w:tabs>
          <w:tab w:val="left" w:pos="1453"/>
        </w:tabs>
        <w:spacing w:after="0" w:line="240" w:lineRule="auto"/>
        <w:rPr>
          <w:rFonts w:ascii="Garamond" w:hAnsi="Garamond"/>
          <w:sz w:val="24"/>
          <w:szCs w:val="24"/>
          <w:lang w:val="sq-AL"/>
        </w:rPr>
      </w:pPr>
    </w:p>
    <w:p w:rsidR="00DF6666" w:rsidRPr="00993C76" w:rsidRDefault="00DF6666" w:rsidP="00DF6666">
      <w:pPr>
        <w:pStyle w:val="NeniNr"/>
        <w:keepNext w:val="0"/>
        <w:rPr>
          <w:szCs w:val="24"/>
          <w:lang w:val="sq-AL"/>
        </w:rPr>
      </w:pPr>
      <w:r w:rsidRPr="00993C76">
        <w:rPr>
          <w:szCs w:val="24"/>
          <w:lang w:val="sq-AL"/>
        </w:rPr>
        <w:t>Neni 22</w:t>
      </w:r>
    </w:p>
    <w:p w:rsidR="00DF6666" w:rsidRPr="00993C76" w:rsidRDefault="00DF6666" w:rsidP="00DF6666">
      <w:pPr>
        <w:pStyle w:val="NeniNr"/>
        <w:keepNext w:val="0"/>
        <w:rPr>
          <w:b/>
          <w:szCs w:val="24"/>
          <w:lang w:val="sq-AL"/>
        </w:rPr>
      </w:pPr>
      <w:r w:rsidRPr="00993C76">
        <w:rPr>
          <w:b/>
          <w:szCs w:val="24"/>
          <w:lang w:val="sq-AL"/>
        </w:rPr>
        <w:t xml:space="preserve"> Depozitimi dhe publikimi i pasqyrave financiare</w:t>
      </w:r>
    </w:p>
    <w:p w:rsidR="00AB6A4E" w:rsidRPr="00993C76" w:rsidRDefault="00AB6A4E" w:rsidP="00AB6A4E">
      <w:pPr>
        <w:widowControl w:val="0"/>
        <w:spacing w:after="0" w:line="240" w:lineRule="auto"/>
        <w:ind w:firstLine="720"/>
        <w:jc w:val="center"/>
        <w:rPr>
          <w:rFonts w:ascii="Garamond" w:eastAsia="Times New Roman" w:hAnsi="Garamond"/>
          <w:i/>
          <w:sz w:val="24"/>
          <w:szCs w:val="24"/>
        </w:rPr>
      </w:pPr>
      <w:r w:rsidRPr="00993C76">
        <w:rPr>
          <w:rFonts w:ascii="Garamond" w:eastAsia="Times New Roman" w:hAnsi="Garamond"/>
          <w:i/>
          <w:sz w:val="24"/>
          <w:szCs w:val="24"/>
        </w:rPr>
        <w:t xml:space="preserve">(Ndryshuar </w:t>
      </w:r>
      <w:r w:rsidRPr="00993C76">
        <w:rPr>
          <w:rFonts w:ascii="Garamond" w:eastAsia="Times New Roman" w:hAnsi="Garamond"/>
          <w:i/>
          <w:sz w:val="24"/>
          <w:szCs w:val="24"/>
        </w:rPr>
        <w:t>pika 1, 2, togfjal</w:t>
      </w:r>
      <w:r w:rsidR="00993C76">
        <w:rPr>
          <w:rFonts w:ascii="Garamond" w:eastAsia="Times New Roman" w:hAnsi="Garamond"/>
          <w:i/>
          <w:sz w:val="24"/>
          <w:szCs w:val="24"/>
        </w:rPr>
        <w:t>ë</w:t>
      </w:r>
      <w:r w:rsidRPr="00993C76">
        <w:rPr>
          <w:rFonts w:ascii="Garamond" w:eastAsia="Times New Roman" w:hAnsi="Garamond"/>
          <w:i/>
          <w:sz w:val="24"/>
          <w:szCs w:val="24"/>
        </w:rPr>
        <w:t>sh n</w:t>
      </w:r>
      <w:r w:rsidR="00993C76">
        <w:rPr>
          <w:rFonts w:ascii="Garamond" w:eastAsia="Times New Roman" w:hAnsi="Garamond"/>
          <w:i/>
          <w:sz w:val="24"/>
          <w:szCs w:val="24"/>
        </w:rPr>
        <w:t>ë</w:t>
      </w:r>
      <w:r w:rsidRPr="00993C76">
        <w:rPr>
          <w:rFonts w:ascii="Garamond" w:eastAsia="Times New Roman" w:hAnsi="Garamond"/>
          <w:i/>
          <w:sz w:val="24"/>
          <w:szCs w:val="24"/>
        </w:rPr>
        <w:t xml:space="preserve"> pik</w:t>
      </w:r>
      <w:r w:rsidR="00993C76">
        <w:rPr>
          <w:rFonts w:ascii="Garamond" w:eastAsia="Times New Roman" w:hAnsi="Garamond"/>
          <w:i/>
          <w:sz w:val="24"/>
          <w:szCs w:val="24"/>
        </w:rPr>
        <w:t>ë</w:t>
      </w:r>
      <w:r w:rsidRPr="00993C76">
        <w:rPr>
          <w:rFonts w:ascii="Garamond" w:eastAsia="Times New Roman" w:hAnsi="Garamond"/>
          <w:i/>
          <w:sz w:val="24"/>
          <w:szCs w:val="24"/>
        </w:rPr>
        <w:t xml:space="preserve">n 3 dhe shtuar pikat 4, 5 dhe 6 </w:t>
      </w:r>
      <w:r w:rsidRPr="00993C76">
        <w:rPr>
          <w:rFonts w:ascii="Garamond" w:eastAsia="Times New Roman" w:hAnsi="Garamond"/>
          <w:i/>
          <w:sz w:val="24"/>
          <w:szCs w:val="24"/>
        </w:rPr>
        <w:t>me ligjin nr. 87/2026, datë 16.7.2026)</w:t>
      </w:r>
    </w:p>
    <w:p w:rsidR="00DF6666" w:rsidRPr="00993C76" w:rsidRDefault="00DF6666" w:rsidP="00DF6666">
      <w:pPr>
        <w:widowControl w:val="0"/>
        <w:tabs>
          <w:tab w:val="left" w:pos="1453"/>
        </w:tabs>
        <w:spacing w:after="0" w:line="240" w:lineRule="auto"/>
        <w:jc w:val="center"/>
        <w:rPr>
          <w:rFonts w:ascii="Garamond" w:hAnsi="Garamond"/>
          <w:b/>
          <w:sz w:val="24"/>
          <w:szCs w:val="24"/>
          <w:lang w:val="sq-AL"/>
        </w:rPr>
      </w:pPr>
    </w:p>
    <w:p w:rsidR="00AB6A4E" w:rsidRPr="00993C76" w:rsidRDefault="00DF6666" w:rsidP="00AB6A4E">
      <w:pPr>
        <w:spacing w:after="0" w:line="240" w:lineRule="auto"/>
        <w:rPr>
          <w:rFonts w:ascii="Garamond" w:eastAsiaTheme="minorHAnsi" w:hAnsi="Garamond"/>
          <w:color w:val="000000" w:themeColor="text1"/>
          <w:sz w:val="24"/>
          <w:szCs w:val="24"/>
          <w:lang w:val="sq-AL"/>
        </w:rPr>
      </w:pPr>
      <w:r w:rsidRPr="00993C76">
        <w:rPr>
          <w:rFonts w:ascii="Garamond" w:hAnsi="Garamond"/>
          <w:sz w:val="24"/>
          <w:szCs w:val="24"/>
          <w:lang w:val="sq-AL"/>
        </w:rPr>
        <w:t xml:space="preserve">1. </w:t>
      </w:r>
      <w:r w:rsidR="00AB6A4E" w:rsidRPr="00993C76">
        <w:rPr>
          <w:rFonts w:ascii="Garamond" w:eastAsiaTheme="minorHAnsi" w:hAnsi="Garamond"/>
          <w:color w:val="000000" w:themeColor="text1"/>
          <w:sz w:val="24"/>
          <w:szCs w:val="24"/>
          <w:lang w:val="sq-AL"/>
        </w:rPr>
        <w:t>Njësitë ekonomike brenda afatit të përcaktuar, sipas legjislacionit në fuqi, depozitojnë për publikim pranë autoritetit përkatës, ku janë regjistruar, pasqyrat financiare vjetore, shoqëruar, sipas rastit, me raportet e tjera, sipas përcaktimeve në nenet 17 deri 21 të këtij ligji, si dhe raportin e auditimit ose raportet e tjera të dhënies së sigurisë, në rastet kur përgatitja e këtyre dokumenteve është e detyrueshme, sipas kërkesave të legjislacionit të fushës përkatëse në fuqi.</w:t>
      </w:r>
    </w:p>
    <w:p w:rsidR="00AB6A4E" w:rsidRPr="00993C76" w:rsidRDefault="00DF6666" w:rsidP="00AB6A4E">
      <w:pPr>
        <w:spacing w:after="0" w:line="240" w:lineRule="auto"/>
        <w:rPr>
          <w:rFonts w:ascii="Garamond" w:eastAsiaTheme="minorHAnsi" w:hAnsi="Garamond"/>
          <w:color w:val="000000" w:themeColor="text1"/>
          <w:sz w:val="24"/>
          <w:szCs w:val="24"/>
          <w:lang w:val="sq-AL"/>
        </w:rPr>
      </w:pPr>
      <w:r w:rsidRPr="00993C76">
        <w:rPr>
          <w:rFonts w:ascii="Garamond" w:hAnsi="Garamond"/>
          <w:sz w:val="24"/>
          <w:szCs w:val="24"/>
          <w:lang w:val="sq-AL"/>
        </w:rPr>
        <w:t xml:space="preserve">2. </w:t>
      </w:r>
      <w:r w:rsidR="00AB6A4E" w:rsidRPr="00993C76">
        <w:rPr>
          <w:rFonts w:ascii="Garamond" w:eastAsiaTheme="minorHAnsi" w:hAnsi="Garamond"/>
          <w:color w:val="000000" w:themeColor="text1"/>
          <w:sz w:val="24"/>
          <w:szCs w:val="24"/>
          <w:lang w:val="sq-AL"/>
        </w:rPr>
        <w:t>Njësitë ekonomike të mesme, të mëdha dhe ato me interes publik duhet të publikojnë pasqyrat financiare vjetore, raportin e ecurisë së veprimtarisë/raportin e konsoliduar të ecurisë së veprimtarisë, raportin e auditimit ose raportet e tjera të dhënies së sigurisë, në rastet kur përgatitja e këtyre dokumenteve është e detyrueshme edhe në faqet e tyre zyrtare të internetit, brenda afatit të përcaktuar, sipas legjislacionit në fuqi.</w:t>
      </w:r>
    </w:p>
    <w:p w:rsidR="00DF6666" w:rsidRPr="00993C76" w:rsidRDefault="00DF6666" w:rsidP="00AB6A4E">
      <w:pPr>
        <w:spacing w:after="0" w:line="240" w:lineRule="auto"/>
        <w:rPr>
          <w:rFonts w:ascii="Garamond" w:hAnsi="Garamond"/>
          <w:sz w:val="24"/>
          <w:szCs w:val="24"/>
          <w:lang w:val="sq-AL"/>
        </w:rPr>
      </w:pPr>
      <w:r w:rsidRPr="00993C76">
        <w:rPr>
          <w:rFonts w:ascii="Garamond" w:hAnsi="Garamond"/>
          <w:sz w:val="24"/>
          <w:szCs w:val="24"/>
          <w:lang w:val="sq-AL"/>
        </w:rPr>
        <w:t xml:space="preserve">3. Njësitë ekonomike jofitimprurëse, subjekt i këtij ligji, nëse nuk parashikohet ndryshe nga ndonjë dispozitë ligjore, detyrohen të publikojnë pasqyrat financiare vjetore, në faqet e tyre zyrtare të internetit, </w:t>
      </w:r>
      <w:r w:rsidR="00AB6A4E" w:rsidRPr="00993C76">
        <w:rPr>
          <w:rFonts w:ascii="Garamond" w:eastAsiaTheme="minorHAnsi" w:hAnsi="Garamond"/>
          <w:color w:val="000000" w:themeColor="text1"/>
          <w:sz w:val="24"/>
          <w:szCs w:val="24"/>
          <w:lang w:val="sq-AL"/>
        </w:rPr>
        <w:t>nëse njëkohësisht shifra e aktivit dhe shifra e të ardhurave në pasqyrat financiare për 2 vjet radhazi tejkalojnë</w:t>
      </w:r>
      <w:r w:rsidR="00AB6A4E" w:rsidRPr="00993C76">
        <w:rPr>
          <w:rFonts w:ascii="Garamond" w:eastAsiaTheme="minorHAnsi" w:hAnsi="Garamond"/>
          <w:color w:val="000000" w:themeColor="text1"/>
          <w:sz w:val="24"/>
          <w:szCs w:val="24"/>
          <w:lang w:val="sq-AL"/>
        </w:rPr>
        <w:t xml:space="preserve"> </w:t>
      </w:r>
      <w:r w:rsidRPr="00993C76">
        <w:rPr>
          <w:rFonts w:ascii="Garamond" w:hAnsi="Garamond"/>
          <w:sz w:val="24"/>
          <w:szCs w:val="24"/>
          <w:lang w:val="sq-AL"/>
        </w:rPr>
        <w:t>vlerën 30 milionë lekë. Këto njësi duhet të përgatitin një raport të performancës në lidhje me veprimtarinë e tyre, i cili do të publikohet së bashku me pasqyrat financiare vjetore. Formati i këtij raporti dhe udhëzimi për plotësimin e tij hartohen dhe miratohen nga Këshilli Kombëtar i Kontabilitetit.</w:t>
      </w:r>
    </w:p>
    <w:p w:rsidR="00AB6A4E" w:rsidRPr="00AB6A4E" w:rsidRDefault="00AB6A4E" w:rsidP="00AB6A4E">
      <w:pPr>
        <w:spacing w:after="0" w:line="240" w:lineRule="auto"/>
        <w:rPr>
          <w:rFonts w:ascii="Garamond" w:eastAsiaTheme="minorHAnsi" w:hAnsi="Garamond"/>
          <w:color w:val="000000" w:themeColor="text1"/>
          <w:sz w:val="24"/>
          <w:szCs w:val="24"/>
          <w:lang w:val="sq-AL"/>
        </w:rPr>
      </w:pPr>
      <w:r w:rsidRPr="00993C76">
        <w:rPr>
          <w:rFonts w:ascii="Garamond" w:eastAsiaTheme="minorHAnsi" w:hAnsi="Garamond"/>
          <w:color w:val="000000" w:themeColor="text1"/>
          <w:sz w:val="24"/>
          <w:szCs w:val="24"/>
          <w:lang w:val="sq-AL"/>
        </w:rPr>
        <w:t xml:space="preserve">4. </w:t>
      </w:r>
      <w:r w:rsidRPr="00AB6A4E">
        <w:rPr>
          <w:rFonts w:ascii="Garamond" w:eastAsiaTheme="minorHAnsi" w:hAnsi="Garamond"/>
          <w:color w:val="000000" w:themeColor="text1"/>
          <w:sz w:val="24"/>
          <w:szCs w:val="24"/>
          <w:lang w:val="sq-AL"/>
        </w:rPr>
        <w:t>Një kategori mikronjësish mund të përjashtohet nga detyrimi për publikimin e pasqyrave financiare, sipas përcaktimeve të parashikuara me akt nënligjor nga ministri përgjegjës për financat.</w:t>
      </w:r>
    </w:p>
    <w:p w:rsidR="00AB6A4E" w:rsidRPr="00AB6A4E" w:rsidRDefault="00AB6A4E" w:rsidP="00AB6A4E">
      <w:pPr>
        <w:spacing w:after="0" w:line="240" w:lineRule="auto"/>
        <w:rPr>
          <w:rFonts w:ascii="Garamond" w:eastAsiaTheme="minorHAnsi" w:hAnsi="Garamond"/>
          <w:color w:val="000000" w:themeColor="text1"/>
          <w:sz w:val="24"/>
          <w:szCs w:val="24"/>
          <w:lang w:val="sq-AL"/>
        </w:rPr>
      </w:pPr>
      <w:r w:rsidRPr="00AB6A4E">
        <w:rPr>
          <w:rFonts w:ascii="Garamond" w:eastAsiaTheme="minorHAnsi" w:hAnsi="Garamond"/>
          <w:color w:val="000000" w:themeColor="text1"/>
          <w:sz w:val="24"/>
          <w:szCs w:val="24"/>
          <w:lang w:val="sq-AL"/>
        </w:rPr>
        <w:t>5. Kur pasqyrat financiare vjetore dhe raporti i ecurisë së veprimtarisë publikohen në formën e tyre të plotë, ato duhet të jenë në përputhje të plotë me strukturën dhe formulimin në të cilat është bazuar audituesi ligjor ose shoqëria e auditimit për dhënien e opinionit të auditimit apo dhënien e sigurisë. Publikimi i tyre shoqërohet me raportin e auditimit ose raportin e dhënies së sigurisë.</w:t>
      </w:r>
    </w:p>
    <w:p w:rsidR="00AB6A4E" w:rsidRPr="00AB6A4E" w:rsidRDefault="00AB6A4E" w:rsidP="00AB6A4E">
      <w:pPr>
        <w:spacing w:after="0" w:line="240" w:lineRule="auto"/>
        <w:rPr>
          <w:rFonts w:ascii="Garamond" w:eastAsiaTheme="minorHAnsi" w:hAnsi="Garamond"/>
          <w:color w:val="000000" w:themeColor="text1"/>
          <w:sz w:val="24"/>
          <w:szCs w:val="24"/>
          <w:lang w:val="sq-AL"/>
        </w:rPr>
      </w:pPr>
      <w:r w:rsidRPr="00AB6A4E">
        <w:rPr>
          <w:rFonts w:ascii="Garamond" w:eastAsiaTheme="minorHAnsi" w:hAnsi="Garamond"/>
          <w:color w:val="000000" w:themeColor="text1"/>
          <w:sz w:val="24"/>
          <w:szCs w:val="24"/>
          <w:lang w:val="sq-AL"/>
        </w:rPr>
        <w:t>6. Për rastet kur standardet kontabël të raportimit financiar të zbatueshme parashikojnë një format të reduktuar të pasqyrave financiare, formati i reduktuar që publikohet duhet të përmbajë detyrimisht:</w:t>
      </w:r>
    </w:p>
    <w:p w:rsidR="00AB6A4E" w:rsidRPr="00AB6A4E" w:rsidRDefault="00AB6A4E" w:rsidP="00AB6A4E">
      <w:pPr>
        <w:spacing w:after="0" w:line="240" w:lineRule="auto"/>
        <w:rPr>
          <w:rFonts w:ascii="Garamond" w:eastAsiaTheme="minorHAnsi" w:hAnsi="Garamond"/>
          <w:color w:val="000000" w:themeColor="text1"/>
          <w:sz w:val="24"/>
          <w:szCs w:val="24"/>
          <w:lang w:val="sq-AL"/>
        </w:rPr>
      </w:pPr>
      <w:r w:rsidRPr="00AB6A4E">
        <w:rPr>
          <w:rFonts w:ascii="Garamond" w:eastAsiaTheme="minorHAnsi" w:hAnsi="Garamond"/>
          <w:color w:val="000000" w:themeColor="text1"/>
          <w:sz w:val="24"/>
          <w:szCs w:val="24"/>
          <w:lang w:val="sq-AL"/>
        </w:rPr>
        <w:t>a) një deklarim të qartë se formati i publikuar është i reduktuar;</w:t>
      </w:r>
    </w:p>
    <w:p w:rsidR="00AB6A4E" w:rsidRPr="00AB6A4E" w:rsidRDefault="00AB6A4E" w:rsidP="00AB6A4E">
      <w:pPr>
        <w:spacing w:after="0" w:line="240" w:lineRule="auto"/>
        <w:rPr>
          <w:rFonts w:ascii="Garamond" w:eastAsiaTheme="minorHAnsi" w:hAnsi="Garamond"/>
          <w:color w:val="000000" w:themeColor="text1"/>
          <w:sz w:val="24"/>
          <w:szCs w:val="24"/>
          <w:lang w:val="sq-AL"/>
        </w:rPr>
      </w:pPr>
      <w:r w:rsidRPr="00AB6A4E">
        <w:rPr>
          <w:rFonts w:ascii="Garamond" w:eastAsiaTheme="minorHAnsi" w:hAnsi="Garamond"/>
          <w:color w:val="000000" w:themeColor="text1"/>
          <w:sz w:val="24"/>
          <w:szCs w:val="24"/>
          <w:lang w:val="sq-AL"/>
        </w:rPr>
        <w:t>b) informacion për autoritetin ku janë depozituar pasqyrat financiare të plota ose, kur ato nuk janë depozituar ende, një deklarim për këtë fakt;</w:t>
      </w:r>
    </w:p>
    <w:p w:rsidR="00AB6A4E" w:rsidRPr="00AB6A4E" w:rsidRDefault="00AB6A4E" w:rsidP="00AB6A4E">
      <w:pPr>
        <w:spacing w:after="0" w:line="240" w:lineRule="auto"/>
        <w:rPr>
          <w:rFonts w:ascii="Garamond" w:eastAsiaTheme="minorHAnsi" w:hAnsi="Garamond"/>
          <w:color w:val="000000" w:themeColor="text1"/>
          <w:sz w:val="24"/>
          <w:szCs w:val="24"/>
          <w:lang w:val="sq-AL"/>
        </w:rPr>
      </w:pPr>
      <w:r w:rsidRPr="00AB6A4E">
        <w:rPr>
          <w:rFonts w:ascii="Garamond" w:eastAsiaTheme="minorHAnsi" w:hAnsi="Garamond"/>
          <w:color w:val="000000" w:themeColor="text1"/>
          <w:sz w:val="24"/>
          <w:szCs w:val="24"/>
          <w:lang w:val="sq-AL"/>
        </w:rPr>
        <w:t>c) informacion nëse audituesi ligjor ose shoqëria e auditimit ka dhënë opinion të pamodifikuar (pa rezervë), opinion të modifikuar (me rezervë), opinion negativ ose nëse nuk ka qenë në gjendje të japë opinion auditimi;</w:t>
      </w:r>
    </w:p>
    <w:p w:rsidR="00AB6A4E" w:rsidRPr="00AB6A4E" w:rsidRDefault="00AB6A4E" w:rsidP="00AB6A4E">
      <w:pPr>
        <w:spacing w:after="0" w:line="240" w:lineRule="auto"/>
        <w:rPr>
          <w:rFonts w:ascii="Garamond" w:eastAsiaTheme="minorHAnsi" w:hAnsi="Garamond"/>
          <w:color w:val="000000" w:themeColor="text1"/>
          <w:sz w:val="24"/>
          <w:szCs w:val="24"/>
          <w:lang w:val="sq-AL"/>
        </w:rPr>
      </w:pPr>
      <w:r w:rsidRPr="00AB6A4E">
        <w:rPr>
          <w:rFonts w:ascii="Garamond" w:eastAsiaTheme="minorHAnsi" w:hAnsi="Garamond"/>
          <w:color w:val="000000" w:themeColor="text1"/>
          <w:sz w:val="24"/>
          <w:szCs w:val="24"/>
          <w:lang w:val="sq-AL"/>
        </w:rPr>
        <w:t>ç) informacion nëse raporti i auditimit ka përfshirë theksim të ndonjë çështjeje, pa e konsideruar atë si rezervë në opinionin e auditimit;</w:t>
      </w:r>
    </w:p>
    <w:p w:rsidR="00AB6A4E" w:rsidRPr="00AB6A4E" w:rsidRDefault="00AB6A4E" w:rsidP="00AB6A4E">
      <w:pPr>
        <w:spacing w:after="0" w:line="240" w:lineRule="auto"/>
        <w:rPr>
          <w:rFonts w:ascii="Garamond" w:eastAsiaTheme="minorHAnsi" w:hAnsi="Garamond"/>
          <w:color w:val="000000" w:themeColor="text1"/>
          <w:sz w:val="24"/>
          <w:szCs w:val="24"/>
          <w:lang w:val="sq-AL"/>
        </w:rPr>
      </w:pPr>
      <w:r w:rsidRPr="00AB6A4E">
        <w:rPr>
          <w:rFonts w:ascii="Garamond" w:eastAsiaTheme="minorHAnsi" w:hAnsi="Garamond"/>
          <w:color w:val="000000" w:themeColor="text1"/>
          <w:sz w:val="24"/>
          <w:szCs w:val="24"/>
          <w:lang w:val="sq-AL"/>
        </w:rPr>
        <w:t>d) informacion nëse raportet e tjera të dhënies së sigurisë së audituesit ligjor ose shoqërisë së auditimit përmbajnë gjetje në lidhje me përputhshmërinë e tyre me kërkesat e këtij ligji.</w:t>
      </w:r>
    </w:p>
    <w:p w:rsidR="00AB6A4E" w:rsidRPr="00AB6A4E" w:rsidRDefault="00AB6A4E" w:rsidP="00AB6A4E">
      <w:pPr>
        <w:spacing w:after="0" w:line="240" w:lineRule="auto"/>
        <w:rPr>
          <w:rFonts w:ascii="Garamond" w:eastAsiaTheme="minorHAnsi" w:hAnsi="Garamond"/>
          <w:color w:val="000000" w:themeColor="text1"/>
          <w:sz w:val="24"/>
          <w:szCs w:val="24"/>
          <w:lang w:val="sq-AL"/>
        </w:rPr>
      </w:pPr>
    </w:p>
    <w:p w:rsidR="00AB6A4E" w:rsidRPr="00AB6A4E" w:rsidRDefault="00AB6A4E" w:rsidP="00AB6A4E">
      <w:pPr>
        <w:spacing w:after="0" w:line="240" w:lineRule="auto"/>
        <w:contextualSpacing/>
        <w:jc w:val="center"/>
        <w:rPr>
          <w:rFonts w:ascii="Garamond" w:eastAsiaTheme="minorHAnsi" w:hAnsi="Garamond"/>
          <w:color w:val="000000" w:themeColor="text1"/>
          <w:sz w:val="24"/>
          <w:szCs w:val="24"/>
          <w:lang w:val="sq-AL"/>
        </w:rPr>
      </w:pPr>
      <w:r w:rsidRPr="00AB6A4E">
        <w:rPr>
          <w:rFonts w:ascii="Garamond" w:eastAsiaTheme="minorHAnsi" w:hAnsi="Garamond"/>
          <w:color w:val="000000" w:themeColor="text1"/>
          <w:sz w:val="24"/>
          <w:szCs w:val="24"/>
          <w:lang w:val="sq-AL"/>
        </w:rPr>
        <w:t>Neni 22/1</w:t>
      </w:r>
    </w:p>
    <w:p w:rsidR="00AB6A4E" w:rsidRPr="00AB6A4E" w:rsidRDefault="00AB6A4E" w:rsidP="00AB6A4E">
      <w:pPr>
        <w:spacing w:after="0" w:line="240" w:lineRule="auto"/>
        <w:jc w:val="center"/>
        <w:rPr>
          <w:rFonts w:ascii="Garamond" w:eastAsia="Aptos" w:hAnsi="Garamond"/>
          <w:b/>
          <w:bCs/>
          <w:color w:val="000000" w:themeColor="text1"/>
          <w:sz w:val="24"/>
          <w:szCs w:val="24"/>
          <w:lang w:val="sq-AL"/>
        </w:rPr>
      </w:pPr>
      <w:r w:rsidRPr="00AB6A4E">
        <w:rPr>
          <w:rFonts w:ascii="Garamond" w:eastAsia="Aptos" w:hAnsi="Garamond"/>
          <w:b/>
          <w:bCs/>
          <w:color w:val="000000" w:themeColor="text1"/>
          <w:sz w:val="24"/>
          <w:szCs w:val="24"/>
          <w:lang w:val="sq-AL"/>
        </w:rPr>
        <w:t>Formati elektronik i raportimit</w:t>
      </w:r>
    </w:p>
    <w:p w:rsidR="00AB6A4E" w:rsidRPr="00993C76" w:rsidRDefault="00AB6A4E" w:rsidP="00AB6A4E">
      <w:pPr>
        <w:widowControl w:val="0"/>
        <w:spacing w:after="0" w:line="240" w:lineRule="auto"/>
        <w:ind w:firstLine="720"/>
        <w:jc w:val="center"/>
        <w:rPr>
          <w:rFonts w:ascii="Garamond" w:eastAsia="Times New Roman" w:hAnsi="Garamond"/>
          <w:i/>
          <w:sz w:val="24"/>
          <w:szCs w:val="24"/>
        </w:rPr>
      </w:pPr>
      <w:r w:rsidRPr="00993C76">
        <w:rPr>
          <w:rFonts w:ascii="Garamond" w:eastAsia="Times New Roman" w:hAnsi="Garamond"/>
          <w:i/>
          <w:sz w:val="24"/>
          <w:szCs w:val="24"/>
        </w:rPr>
        <w:t>(</w:t>
      </w:r>
      <w:r w:rsidRPr="00993C76">
        <w:rPr>
          <w:rFonts w:ascii="Garamond" w:eastAsia="Times New Roman" w:hAnsi="Garamond"/>
          <w:i/>
          <w:sz w:val="24"/>
          <w:szCs w:val="24"/>
        </w:rPr>
        <w:t xml:space="preserve">Shtuar </w:t>
      </w:r>
      <w:r w:rsidRPr="00993C76">
        <w:rPr>
          <w:rFonts w:ascii="Garamond" w:eastAsia="Times New Roman" w:hAnsi="Garamond"/>
          <w:i/>
          <w:sz w:val="24"/>
          <w:szCs w:val="24"/>
        </w:rPr>
        <w:t>me ligjin nr. 87/2026, datë 16.7.2026)</w:t>
      </w:r>
    </w:p>
    <w:p w:rsidR="00AB6A4E" w:rsidRPr="00AB6A4E" w:rsidRDefault="00AB6A4E" w:rsidP="00AB6A4E">
      <w:pPr>
        <w:spacing w:after="0" w:line="240" w:lineRule="auto"/>
        <w:jc w:val="center"/>
        <w:rPr>
          <w:rFonts w:ascii="Garamond" w:eastAsia="Aptos" w:hAnsi="Garamond"/>
          <w:b/>
          <w:bCs/>
          <w:color w:val="000000" w:themeColor="text1"/>
          <w:sz w:val="24"/>
          <w:szCs w:val="24"/>
          <w:lang w:val="sq-AL"/>
        </w:rPr>
      </w:pPr>
    </w:p>
    <w:p w:rsidR="00AB6A4E" w:rsidRPr="00AB6A4E" w:rsidRDefault="00AB6A4E" w:rsidP="00AB6A4E">
      <w:pPr>
        <w:spacing w:after="0" w:line="240" w:lineRule="auto"/>
        <w:rPr>
          <w:rFonts w:ascii="Garamond" w:eastAsia="Aptos" w:hAnsi="Garamond"/>
          <w:color w:val="000000" w:themeColor="text1"/>
          <w:sz w:val="24"/>
          <w:szCs w:val="24"/>
          <w:lang w:val="sq-AL"/>
        </w:rPr>
      </w:pPr>
      <w:r w:rsidRPr="00AB6A4E">
        <w:rPr>
          <w:rFonts w:ascii="Garamond" w:eastAsia="Aptos" w:hAnsi="Garamond"/>
          <w:color w:val="000000" w:themeColor="text1"/>
          <w:sz w:val="24"/>
          <w:szCs w:val="24"/>
          <w:lang w:val="sq-AL"/>
        </w:rPr>
        <w:t>1. Njësitë ekonomike, subjekt i kërkesave të nenit 18/1 të këtij ligji, përgatitin raportin e ecurisë së veprimtarisë në format elektronik raportimi, në përputhje me kërkesat e legjislacionit të zbatueshëm të Bashkimit Evropian dhe akteve nënligjore të dala në zbatim të tij.</w:t>
      </w:r>
    </w:p>
    <w:p w:rsidR="00AB6A4E" w:rsidRPr="00AB6A4E" w:rsidRDefault="00AB6A4E" w:rsidP="00AB6A4E">
      <w:pPr>
        <w:spacing w:after="0" w:line="240" w:lineRule="auto"/>
        <w:rPr>
          <w:rFonts w:ascii="Garamond" w:eastAsia="Aptos" w:hAnsi="Garamond"/>
          <w:color w:val="000000" w:themeColor="text1"/>
          <w:sz w:val="24"/>
          <w:szCs w:val="24"/>
          <w:lang w:val="sq-AL"/>
        </w:rPr>
      </w:pPr>
      <w:r w:rsidRPr="00AB6A4E">
        <w:rPr>
          <w:rFonts w:ascii="Garamond" w:eastAsia="Aptos" w:hAnsi="Garamond"/>
          <w:color w:val="000000" w:themeColor="text1"/>
          <w:sz w:val="24"/>
          <w:szCs w:val="24"/>
          <w:lang w:val="sq-AL"/>
        </w:rPr>
        <w:t>2. Njësitë ekonomike të parashikuara në pikën 1 të këtij neni paraqesin raportin e qëndrueshmërisë, duke përfshirë, sipas rastit, edhe informacionin e kërkuar nga legjislacioni përkatës i Bashkimit Evropian për taksonominë, në përputhje me formatin elektronik të raportimit, sipas pikës 1 të këtij neni.</w:t>
      </w:r>
    </w:p>
    <w:p w:rsidR="00AB6A4E" w:rsidRPr="00AB6A4E" w:rsidRDefault="00AB6A4E" w:rsidP="00AB6A4E">
      <w:pPr>
        <w:spacing w:after="0" w:line="240" w:lineRule="auto"/>
        <w:rPr>
          <w:rFonts w:ascii="Garamond" w:eastAsia="Aptos" w:hAnsi="Garamond"/>
          <w:color w:val="000000" w:themeColor="text1"/>
          <w:sz w:val="24"/>
          <w:szCs w:val="24"/>
          <w:lang w:val="sq-AL"/>
        </w:rPr>
      </w:pPr>
      <w:r w:rsidRPr="00AB6A4E">
        <w:rPr>
          <w:rFonts w:ascii="Garamond" w:eastAsia="Aptos" w:hAnsi="Garamond"/>
          <w:color w:val="000000" w:themeColor="text1"/>
          <w:sz w:val="24"/>
          <w:szCs w:val="24"/>
          <w:lang w:val="sq-AL"/>
        </w:rPr>
        <w:t>3. Njësitë ekonomike mëmë, subjekt i kërkesave të nenit 20/1 të këtij ligji, përgatisin raportin e konsoliduar të ecurisë së veprimtarisë në format elektronik raportimi në përputhje me kërkesat e legjislacionit të zbatueshëm të Bashkimit Evropian dhe akteve nënligjore të dala në zbatim të tij.</w:t>
      </w:r>
    </w:p>
    <w:p w:rsidR="00AB6A4E" w:rsidRPr="00AB6A4E" w:rsidRDefault="00AB6A4E" w:rsidP="00AB6A4E">
      <w:pPr>
        <w:spacing w:after="0" w:line="240" w:lineRule="auto"/>
        <w:rPr>
          <w:rFonts w:ascii="Garamond" w:eastAsiaTheme="minorHAnsi" w:hAnsi="Garamond"/>
          <w:color w:val="000000" w:themeColor="text1"/>
          <w:sz w:val="24"/>
          <w:szCs w:val="24"/>
          <w:lang w:val="sq-AL"/>
        </w:rPr>
      </w:pPr>
      <w:r w:rsidRPr="00AB6A4E">
        <w:rPr>
          <w:rFonts w:ascii="Garamond" w:eastAsia="Aptos" w:hAnsi="Garamond"/>
          <w:color w:val="000000" w:themeColor="text1"/>
          <w:sz w:val="24"/>
          <w:szCs w:val="24"/>
          <w:lang w:val="sq-AL"/>
        </w:rPr>
        <w:t>4. Njësitë ekonomike mëmë të parashikuara në pikën 3 të këtij neni paraqesin raportin e konsoliduar të qëndrueshmërisë, duke përfshirë, sipas rastit, edhe informacionin e kërkuar nga legjislacioni përkatës i Bashkimit Evropian për taksonominë, në përputhje me formatin elektronik të raportimit, sipas pikës 3 të këtij neni.</w:t>
      </w:r>
    </w:p>
    <w:p w:rsidR="00AB6A4E" w:rsidRPr="00993C76" w:rsidRDefault="00AB6A4E" w:rsidP="00DF6666">
      <w:pPr>
        <w:pStyle w:val="NeniNr"/>
        <w:keepNext w:val="0"/>
        <w:rPr>
          <w:szCs w:val="24"/>
          <w:lang w:val="sq-AL"/>
        </w:rPr>
      </w:pPr>
    </w:p>
    <w:p w:rsidR="00DF6666" w:rsidRPr="00993C76" w:rsidRDefault="00DF6666" w:rsidP="00DF6666">
      <w:pPr>
        <w:pStyle w:val="NeniNr"/>
        <w:keepNext w:val="0"/>
        <w:rPr>
          <w:szCs w:val="24"/>
          <w:lang w:val="sq-AL"/>
        </w:rPr>
      </w:pPr>
      <w:r w:rsidRPr="00993C76">
        <w:rPr>
          <w:szCs w:val="24"/>
          <w:lang w:val="sq-AL"/>
        </w:rPr>
        <w:t xml:space="preserve">Neni 23 </w:t>
      </w:r>
    </w:p>
    <w:p w:rsidR="00DF6666" w:rsidRPr="00993C76" w:rsidRDefault="00DF6666" w:rsidP="00DF6666">
      <w:pPr>
        <w:pStyle w:val="NeniNr"/>
        <w:keepNext w:val="0"/>
        <w:rPr>
          <w:b/>
          <w:szCs w:val="24"/>
          <w:lang w:val="sq-AL"/>
        </w:rPr>
      </w:pPr>
      <w:r w:rsidRPr="00993C76">
        <w:rPr>
          <w:b/>
          <w:szCs w:val="24"/>
          <w:lang w:val="sq-AL"/>
        </w:rPr>
        <w:t>Përgjegjësitë</w:t>
      </w:r>
    </w:p>
    <w:p w:rsidR="00AB6A4E" w:rsidRPr="00993C76" w:rsidRDefault="00AB6A4E" w:rsidP="00AB6A4E">
      <w:pPr>
        <w:widowControl w:val="0"/>
        <w:spacing w:after="0" w:line="240" w:lineRule="auto"/>
        <w:ind w:firstLine="720"/>
        <w:jc w:val="center"/>
        <w:rPr>
          <w:rFonts w:ascii="Garamond" w:eastAsia="Times New Roman" w:hAnsi="Garamond"/>
          <w:i/>
          <w:sz w:val="24"/>
          <w:szCs w:val="24"/>
        </w:rPr>
      </w:pPr>
      <w:r w:rsidRPr="00993C76">
        <w:rPr>
          <w:rFonts w:ascii="Garamond" w:eastAsia="Times New Roman" w:hAnsi="Garamond"/>
          <w:i/>
          <w:sz w:val="24"/>
          <w:szCs w:val="24"/>
        </w:rPr>
        <w:t>(</w:t>
      </w:r>
      <w:r w:rsidR="00972BF5" w:rsidRPr="00993C76">
        <w:rPr>
          <w:rFonts w:ascii="Garamond" w:eastAsia="Times New Roman" w:hAnsi="Garamond"/>
          <w:i/>
          <w:sz w:val="24"/>
          <w:szCs w:val="24"/>
        </w:rPr>
        <w:t>Ndryshuar fjal</w:t>
      </w:r>
      <w:r w:rsidR="00993C76">
        <w:rPr>
          <w:rFonts w:ascii="Garamond" w:eastAsia="Times New Roman" w:hAnsi="Garamond"/>
          <w:i/>
          <w:sz w:val="24"/>
          <w:szCs w:val="24"/>
        </w:rPr>
        <w:t>ë</w:t>
      </w:r>
      <w:r w:rsidR="00972BF5" w:rsidRPr="00993C76">
        <w:rPr>
          <w:rFonts w:ascii="Garamond" w:eastAsia="Times New Roman" w:hAnsi="Garamond"/>
          <w:i/>
          <w:sz w:val="24"/>
          <w:szCs w:val="24"/>
        </w:rPr>
        <w:t xml:space="preserve"> n</w:t>
      </w:r>
      <w:r w:rsidR="00993C76">
        <w:rPr>
          <w:rFonts w:ascii="Garamond" w:eastAsia="Times New Roman" w:hAnsi="Garamond"/>
          <w:i/>
          <w:sz w:val="24"/>
          <w:szCs w:val="24"/>
        </w:rPr>
        <w:t>ë</w:t>
      </w:r>
      <w:r w:rsidR="00972BF5" w:rsidRPr="00993C76">
        <w:rPr>
          <w:rFonts w:ascii="Garamond" w:eastAsia="Times New Roman" w:hAnsi="Garamond"/>
          <w:i/>
          <w:sz w:val="24"/>
          <w:szCs w:val="24"/>
        </w:rPr>
        <w:t xml:space="preserve"> pik</w:t>
      </w:r>
      <w:r w:rsidR="00993C76">
        <w:rPr>
          <w:rFonts w:ascii="Garamond" w:eastAsia="Times New Roman" w:hAnsi="Garamond"/>
          <w:i/>
          <w:sz w:val="24"/>
          <w:szCs w:val="24"/>
        </w:rPr>
        <w:t>ë</w:t>
      </w:r>
      <w:r w:rsidR="00972BF5" w:rsidRPr="00993C76">
        <w:rPr>
          <w:rFonts w:ascii="Garamond" w:eastAsia="Times New Roman" w:hAnsi="Garamond"/>
          <w:i/>
          <w:sz w:val="24"/>
          <w:szCs w:val="24"/>
        </w:rPr>
        <w:t>n 2 dhe shtuar fjali n</w:t>
      </w:r>
      <w:r w:rsidR="00993C76">
        <w:rPr>
          <w:rFonts w:ascii="Garamond" w:eastAsia="Times New Roman" w:hAnsi="Garamond"/>
          <w:i/>
          <w:sz w:val="24"/>
          <w:szCs w:val="24"/>
        </w:rPr>
        <w:t>ë</w:t>
      </w:r>
      <w:r w:rsidR="00972BF5" w:rsidRPr="00993C76">
        <w:rPr>
          <w:rFonts w:ascii="Garamond" w:eastAsia="Times New Roman" w:hAnsi="Garamond"/>
          <w:i/>
          <w:sz w:val="24"/>
          <w:szCs w:val="24"/>
        </w:rPr>
        <w:t xml:space="preserve"> pik</w:t>
      </w:r>
      <w:r w:rsidR="00993C76">
        <w:rPr>
          <w:rFonts w:ascii="Garamond" w:eastAsia="Times New Roman" w:hAnsi="Garamond"/>
          <w:i/>
          <w:sz w:val="24"/>
          <w:szCs w:val="24"/>
        </w:rPr>
        <w:t>ë</w:t>
      </w:r>
      <w:r w:rsidR="00972BF5" w:rsidRPr="00993C76">
        <w:rPr>
          <w:rFonts w:ascii="Garamond" w:eastAsia="Times New Roman" w:hAnsi="Garamond"/>
          <w:i/>
          <w:sz w:val="24"/>
          <w:szCs w:val="24"/>
        </w:rPr>
        <w:t xml:space="preserve">n 3 me </w:t>
      </w:r>
      <w:r w:rsidRPr="00993C76">
        <w:rPr>
          <w:rFonts w:ascii="Garamond" w:eastAsia="Times New Roman" w:hAnsi="Garamond"/>
          <w:i/>
          <w:sz w:val="24"/>
          <w:szCs w:val="24"/>
        </w:rPr>
        <w:t>ligjin nr. 87/2026, datë 16.7.2026)</w:t>
      </w:r>
    </w:p>
    <w:p w:rsidR="00DF6666" w:rsidRPr="00993C76" w:rsidRDefault="00DF6666" w:rsidP="00DF6666">
      <w:pPr>
        <w:widowControl w:val="0"/>
        <w:tabs>
          <w:tab w:val="left" w:pos="1453"/>
        </w:tabs>
        <w:spacing w:after="0" w:line="240" w:lineRule="auto"/>
        <w:jc w:val="center"/>
        <w:rPr>
          <w:rFonts w:ascii="Garamond" w:hAnsi="Garamond"/>
          <w:b/>
          <w:sz w:val="24"/>
          <w:szCs w:val="24"/>
          <w:lang w:val="sq-AL"/>
        </w:rPr>
      </w:pPr>
    </w:p>
    <w:p w:rsidR="00DF6666" w:rsidRPr="00993C76" w:rsidRDefault="00DF6666" w:rsidP="00DF6666">
      <w:pPr>
        <w:widowControl w:val="0"/>
        <w:spacing w:after="0" w:line="240" w:lineRule="auto"/>
        <w:rPr>
          <w:rFonts w:ascii="Garamond" w:hAnsi="Garamond"/>
          <w:sz w:val="24"/>
          <w:szCs w:val="24"/>
          <w:lang w:val="sq-AL"/>
        </w:rPr>
      </w:pPr>
      <w:r w:rsidRPr="00993C76">
        <w:rPr>
          <w:rFonts w:ascii="Garamond" w:hAnsi="Garamond"/>
          <w:sz w:val="24"/>
          <w:szCs w:val="24"/>
          <w:lang w:val="sq-AL"/>
        </w:rPr>
        <w:t>1. Organi i drejtimit ekzekutiv të njësisë ekonomike dhe organi mbikëqyrës, në varësi të kompetencave që u njeh ligji, janë përgjegjës solidarë për të siguruar që pasqyrat financiare vjetore dhe raporti i ecurisë së veprimtarisë/raporti i konsoliduar i ecurisë së veprimtarisë të njësisë ekonomike, të hartohen dhe të publikohen në përputhje me kërkesat e këtij ligji, aktet në zbatim të tij dhe standardet e miratuara të kontabilitetit.</w:t>
      </w:r>
    </w:p>
    <w:p w:rsidR="00DF6666" w:rsidRPr="00993C76" w:rsidRDefault="00DF6666" w:rsidP="00DF6666">
      <w:pPr>
        <w:widowControl w:val="0"/>
        <w:spacing w:after="0" w:line="240" w:lineRule="auto"/>
        <w:rPr>
          <w:rFonts w:ascii="Garamond" w:hAnsi="Garamond"/>
          <w:sz w:val="24"/>
          <w:szCs w:val="24"/>
          <w:lang w:val="sq-AL"/>
        </w:rPr>
      </w:pPr>
      <w:r w:rsidRPr="00993C76">
        <w:rPr>
          <w:rFonts w:ascii="Garamond" w:hAnsi="Garamond"/>
          <w:sz w:val="24"/>
          <w:szCs w:val="24"/>
          <w:lang w:val="sq-AL"/>
        </w:rPr>
        <w:t xml:space="preserve">2. Auditimi ligjor i pasqyrave financiare nuk e </w:t>
      </w:r>
      <w:r w:rsidR="00972BF5" w:rsidRPr="00993C76">
        <w:rPr>
          <w:rFonts w:ascii="Garamond" w:hAnsi="Garamond"/>
          <w:color w:val="000000" w:themeColor="text1"/>
          <w:sz w:val="24"/>
          <w:szCs w:val="24"/>
        </w:rPr>
        <w:t>përjashton</w:t>
      </w:r>
      <w:r w:rsidRPr="00993C76">
        <w:rPr>
          <w:rFonts w:ascii="Garamond" w:hAnsi="Garamond"/>
          <w:sz w:val="24"/>
          <w:szCs w:val="24"/>
          <w:lang w:val="sq-AL"/>
        </w:rPr>
        <w:t xml:space="preserve"> organin e drejtimit ekzekutiv dhe atë mbikëqyrës të njësisë ekonomike nga përgjegjësitë, të parashikuara në pikën 1 të këtij neni.</w:t>
      </w:r>
    </w:p>
    <w:p w:rsidR="00972BF5" w:rsidRPr="00993C76" w:rsidRDefault="00DF6666" w:rsidP="00972BF5">
      <w:pPr>
        <w:spacing w:after="0" w:line="240" w:lineRule="auto"/>
        <w:rPr>
          <w:rFonts w:ascii="Garamond" w:eastAsiaTheme="minorHAnsi" w:hAnsi="Garamond"/>
          <w:color w:val="000000" w:themeColor="text1"/>
          <w:sz w:val="24"/>
          <w:szCs w:val="24"/>
          <w:lang w:val="sq-AL"/>
        </w:rPr>
      </w:pPr>
      <w:r w:rsidRPr="00993C76">
        <w:rPr>
          <w:rFonts w:ascii="Garamond" w:hAnsi="Garamond"/>
          <w:sz w:val="24"/>
          <w:szCs w:val="24"/>
          <w:lang w:val="sq-AL"/>
        </w:rPr>
        <w:t>3. Pasqyrat financiare nënshkruhen nga përfaqësuesi ligjor i njësisë ekonomike dhe personi përgjegjës për hartimin e pasqyrave financiare.</w:t>
      </w:r>
      <w:r w:rsidR="00972BF5" w:rsidRPr="00993C76">
        <w:rPr>
          <w:rFonts w:ascii="Garamond" w:hAnsi="Garamond"/>
          <w:sz w:val="24"/>
          <w:szCs w:val="24"/>
          <w:lang w:val="sq-AL"/>
        </w:rPr>
        <w:t xml:space="preserve"> </w:t>
      </w:r>
      <w:r w:rsidR="00972BF5" w:rsidRPr="00993C76">
        <w:rPr>
          <w:rFonts w:ascii="Garamond" w:eastAsiaTheme="minorHAnsi" w:hAnsi="Garamond"/>
          <w:color w:val="000000" w:themeColor="text1"/>
          <w:sz w:val="24"/>
          <w:szCs w:val="24"/>
          <w:lang w:val="sq-AL"/>
        </w:rPr>
        <w:t>Personi përgjegjës për hartimin e pasqyrave financiare përgatit një deklaratë pajtueshmërie, e cila publikohet së bashku me pasqyrat financiare vjetore. Forma dhe përmbajtja e deklaratës së pajtueshmërisë miratohen me urdhër të ministrit përgjegjës për financat, me propozim të Këshillit Kombëtar të Kontabilitetit.</w:t>
      </w:r>
    </w:p>
    <w:p w:rsidR="00DF6666" w:rsidRPr="00993C76" w:rsidRDefault="00DF6666" w:rsidP="00DF6666">
      <w:pPr>
        <w:widowControl w:val="0"/>
        <w:tabs>
          <w:tab w:val="left" w:pos="1453"/>
        </w:tabs>
        <w:spacing w:after="0" w:line="240" w:lineRule="auto"/>
        <w:jc w:val="center"/>
        <w:rPr>
          <w:rFonts w:ascii="Garamond" w:hAnsi="Garamond"/>
          <w:sz w:val="24"/>
          <w:szCs w:val="24"/>
          <w:lang w:val="sq-AL"/>
        </w:rPr>
      </w:pPr>
    </w:p>
    <w:p w:rsidR="0000314C" w:rsidRPr="0000314C" w:rsidRDefault="0000314C" w:rsidP="0000314C">
      <w:pPr>
        <w:spacing w:after="0" w:line="240" w:lineRule="auto"/>
        <w:jc w:val="center"/>
        <w:rPr>
          <w:rFonts w:ascii="Garamond" w:eastAsiaTheme="minorHAnsi" w:hAnsi="Garamond"/>
          <w:color w:val="000000" w:themeColor="text1"/>
          <w:sz w:val="24"/>
          <w:szCs w:val="24"/>
          <w:lang w:val="sq-AL"/>
        </w:rPr>
      </w:pPr>
      <w:r w:rsidRPr="0000314C">
        <w:rPr>
          <w:rFonts w:ascii="Garamond" w:eastAsiaTheme="minorHAnsi" w:hAnsi="Garamond"/>
          <w:color w:val="000000" w:themeColor="text1"/>
          <w:sz w:val="24"/>
          <w:szCs w:val="24"/>
          <w:lang w:val="sq-AL"/>
        </w:rPr>
        <w:t>KREU III/1</w:t>
      </w:r>
    </w:p>
    <w:p w:rsidR="0000314C" w:rsidRPr="0000314C" w:rsidRDefault="0000314C" w:rsidP="0000314C">
      <w:pPr>
        <w:spacing w:after="0" w:line="240" w:lineRule="auto"/>
        <w:jc w:val="center"/>
        <w:rPr>
          <w:rFonts w:ascii="Garamond" w:eastAsiaTheme="minorHAnsi" w:hAnsi="Garamond"/>
          <w:color w:val="000000" w:themeColor="text1"/>
          <w:sz w:val="24"/>
          <w:szCs w:val="24"/>
          <w:lang w:val="sq-AL"/>
        </w:rPr>
      </w:pPr>
      <w:r w:rsidRPr="0000314C">
        <w:rPr>
          <w:rFonts w:ascii="Garamond" w:eastAsiaTheme="minorHAnsi" w:hAnsi="Garamond"/>
          <w:color w:val="000000" w:themeColor="text1"/>
          <w:sz w:val="24"/>
          <w:szCs w:val="24"/>
          <w:lang w:val="sq-AL"/>
        </w:rPr>
        <w:t>RAPORTI PËR INFORMACIONIN E TATIMIT MBI TË ARDHURAT</w:t>
      </w:r>
    </w:p>
    <w:p w:rsidR="0000314C" w:rsidRPr="00993C76" w:rsidRDefault="0000314C" w:rsidP="0000314C">
      <w:pPr>
        <w:widowControl w:val="0"/>
        <w:spacing w:after="0" w:line="240" w:lineRule="auto"/>
        <w:ind w:firstLine="720"/>
        <w:jc w:val="center"/>
        <w:rPr>
          <w:rFonts w:ascii="Garamond" w:eastAsia="Times New Roman" w:hAnsi="Garamond"/>
          <w:i/>
          <w:sz w:val="24"/>
          <w:szCs w:val="24"/>
        </w:rPr>
      </w:pPr>
      <w:r w:rsidRPr="00993C76">
        <w:rPr>
          <w:rFonts w:ascii="Garamond" w:eastAsia="Times New Roman" w:hAnsi="Garamond"/>
          <w:i/>
          <w:sz w:val="24"/>
          <w:szCs w:val="24"/>
        </w:rPr>
        <w:t>(Shtuar me ligjin nr. 87/2026, datë 16.7.2026)</w:t>
      </w:r>
    </w:p>
    <w:p w:rsidR="0000314C" w:rsidRPr="0000314C" w:rsidRDefault="0000314C" w:rsidP="0000314C">
      <w:pPr>
        <w:spacing w:after="0" w:line="240" w:lineRule="auto"/>
        <w:jc w:val="center"/>
        <w:rPr>
          <w:rFonts w:ascii="Garamond" w:eastAsiaTheme="minorHAnsi" w:hAnsi="Garamond"/>
          <w:color w:val="000000" w:themeColor="text1"/>
          <w:sz w:val="24"/>
          <w:szCs w:val="24"/>
          <w:lang w:val="sq-AL"/>
        </w:rPr>
      </w:pPr>
    </w:p>
    <w:p w:rsidR="0000314C" w:rsidRPr="0000314C" w:rsidRDefault="0000314C" w:rsidP="0000314C">
      <w:pPr>
        <w:spacing w:after="0" w:line="240" w:lineRule="auto"/>
        <w:jc w:val="center"/>
        <w:rPr>
          <w:rFonts w:ascii="Garamond" w:eastAsiaTheme="minorHAnsi" w:hAnsi="Garamond"/>
          <w:color w:val="000000" w:themeColor="text1"/>
          <w:sz w:val="24"/>
          <w:szCs w:val="24"/>
          <w:lang w:val="sq-AL"/>
        </w:rPr>
      </w:pPr>
      <w:r w:rsidRPr="0000314C">
        <w:rPr>
          <w:rFonts w:ascii="Garamond" w:eastAsiaTheme="minorHAnsi" w:hAnsi="Garamond"/>
          <w:color w:val="000000" w:themeColor="text1"/>
          <w:sz w:val="24"/>
          <w:szCs w:val="24"/>
          <w:lang w:val="sq-AL"/>
        </w:rPr>
        <w:t>Neni 23/1</w:t>
      </w:r>
    </w:p>
    <w:p w:rsidR="0000314C" w:rsidRPr="0000314C" w:rsidRDefault="0000314C" w:rsidP="0000314C">
      <w:pPr>
        <w:spacing w:after="0" w:line="240" w:lineRule="auto"/>
        <w:jc w:val="center"/>
        <w:rPr>
          <w:rFonts w:ascii="Garamond" w:eastAsiaTheme="minorHAnsi" w:hAnsi="Garamond"/>
          <w:b/>
          <w:bCs/>
          <w:color w:val="000000" w:themeColor="text1"/>
          <w:sz w:val="24"/>
          <w:szCs w:val="24"/>
          <w:lang w:val="sq-AL"/>
        </w:rPr>
      </w:pPr>
      <w:r w:rsidRPr="0000314C">
        <w:rPr>
          <w:rFonts w:ascii="Garamond" w:eastAsiaTheme="minorHAnsi" w:hAnsi="Garamond"/>
          <w:b/>
          <w:bCs/>
          <w:color w:val="000000" w:themeColor="text1"/>
          <w:sz w:val="24"/>
          <w:szCs w:val="24"/>
          <w:lang w:val="sq-AL"/>
        </w:rPr>
        <w:t>Njësitë ekonomike dhe degët, të cilat raportojnë për informacionin e tatimit mbi të ardhurat</w:t>
      </w:r>
    </w:p>
    <w:p w:rsidR="0000314C" w:rsidRPr="0000314C" w:rsidRDefault="0000314C" w:rsidP="0000314C">
      <w:pPr>
        <w:spacing w:after="0" w:line="240" w:lineRule="auto"/>
        <w:rPr>
          <w:rFonts w:ascii="Garamond" w:eastAsiaTheme="minorHAnsi" w:hAnsi="Garamond"/>
          <w:color w:val="000000" w:themeColor="text1"/>
          <w:sz w:val="24"/>
          <w:szCs w:val="24"/>
          <w:lang w:val="sq-AL"/>
        </w:rPr>
      </w:pPr>
    </w:p>
    <w:p w:rsidR="0000314C" w:rsidRPr="0000314C" w:rsidRDefault="0000314C" w:rsidP="0000314C">
      <w:pPr>
        <w:spacing w:after="0" w:line="240" w:lineRule="auto"/>
        <w:rPr>
          <w:rFonts w:ascii="Garamond" w:eastAsiaTheme="minorHAnsi" w:hAnsi="Garamond"/>
          <w:color w:val="000000" w:themeColor="text1"/>
          <w:sz w:val="24"/>
          <w:szCs w:val="24"/>
          <w:lang w:val="sq-AL"/>
        </w:rPr>
      </w:pPr>
      <w:r w:rsidRPr="0000314C">
        <w:rPr>
          <w:rFonts w:ascii="Garamond" w:eastAsiaTheme="minorHAnsi" w:hAnsi="Garamond"/>
          <w:color w:val="000000" w:themeColor="text1"/>
          <w:sz w:val="24"/>
          <w:szCs w:val="24"/>
          <w:lang w:val="sq-AL"/>
        </w:rPr>
        <w:t>1. Njësitë ekonomike mëmë të nivelit më të lartë, të rregulluara nga legjislacioni shqiptar, të cilat në datën e raportimit kanë realizuar të ardhura të konsoliduara që tejkalojnë shumën 75 000 000 000 lekë për secilën nga dy periudhat e fundit raportuese të njëpasnjëshme, sipas pasqyrave financiare të konsoliduara, janë të detyruara të hartojnë, të publikojnë dhe të bëjnë të aksesueshëm një raport për informacionin e tatimit mbi të ardhurat për vitin e fundit nga këta 2 vjet financiarë.</w:t>
      </w:r>
    </w:p>
    <w:p w:rsidR="0000314C" w:rsidRPr="0000314C" w:rsidRDefault="0000314C" w:rsidP="0000314C">
      <w:pPr>
        <w:spacing w:after="0" w:line="240" w:lineRule="auto"/>
        <w:rPr>
          <w:rFonts w:ascii="Garamond" w:eastAsiaTheme="minorHAnsi" w:hAnsi="Garamond"/>
          <w:color w:val="000000" w:themeColor="text1"/>
          <w:sz w:val="24"/>
          <w:szCs w:val="24"/>
          <w:lang w:val="sq-AL"/>
        </w:rPr>
      </w:pPr>
      <w:r w:rsidRPr="0000314C">
        <w:rPr>
          <w:rFonts w:ascii="Garamond" w:eastAsiaTheme="minorHAnsi" w:hAnsi="Garamond"/>
          <w:color w:val="000000" w:themeColor="text1"/>
          <w:sz w:val="24"/>
          <w:szCs w:val="24"/>
          <w:lang w:val="sq-AL"/>
        </w:rPr>
        <w:t xml:space="preserve"> Detyrimi i mësipërm pushon së zbatuari kur të ardhurat e konsoliduara të njësisë mëmë në nivelin më të lartë në datën e raportimit bien nën shumën prej 75 000 000 000 lekësh për secilën nga dy periudhat e fundit raportuese të njëpasnjëshme.</w:t>
      </w:r>
    </w:p>
    <w:p w:rsidR="0000314C" w:rsidRPr="0000314C" w:rsidRDefault="0000314C" w:rsidP="0000314C">
      <w:pPr>
        <w:spacing w:after="0" w:line="240" w:lineRule="auto"/>
        <w:rPr>
          <w:rFonts w:ascii="Garamond" w:eastAsiaTheme="minorHAnsi" w:hAnsi="Garamond"/>
          <w:color w:val="000000" w:themeColor="text1"/>
          <w:sz w:val="24"/>
          <w:szCs w:val="24"/>
          <w:lang w:val="sq-AL"/>
        </w:rPr>
      </w:pPr>
      <w:r w:rsidRPr="0000314C">
        <w:rPr>
          <w:rFonts w:ascii="Garamond" w:eastAsiaTheme="minorHAnsi" w:hAnsi="Garamond"/>
          <w:color w:val="000000" w:themeColor="text1"/>
          <w:sz w:val="24"/>
          <w:szCs w:val="24"/>
          <w:lang w:val="sq-AL"/>
        </w:rPr>
        <w:t xml:space="preserve">2. Njësitë ekonomike që nuk janë pjesë e një grupi, të rregulluara nga legjislacioni shqiptar, të cilat në datën e raportimit kanë realizuar të ardhura që tejkalojnë shumën 75 000 000 000 lekë për secilën nga dy periudhat e fundit raportuese të njëpasnjëshme, sipas pasqyrave financiare vjetore, janë të detyruara të hartojnë, të publikojnë dhe të bëjnë të aksesueshëm një raport për informacionin e tatimit mbi të ardhurat për vitin e fundit nga këta 2 vjet financiarë. </w:t>
      </w:r>
    </w:p>
    <w:p w:rsidR="0000314C" w:rsidRPr="0000314C" w:rsidRDefault="0000314C" w:rsidP="0000314C">
      <w:pPr>
        <w:spacing w:after="0" w:line="240" w:lineRule="auto"/>
        <w:rPr>
          <w:rFonts w:ascii="Garamond" w:eastAsiaTheme="minorHAnsi" w:hAnsi="Garamond"/>
          <w:color w:val="000000" w:themeColor="text1"/>
          <w:sz w:val="24"/>
          <w:szCs w:val="24"/>
          <w:lang w:val="sq-AL"/>
        </w:rPr>
      </w:pPr>
      <w:r w:rsidRPr="0000314C">
        <w:rPr>
          <w:rFonts w:ascii="Garamond" w:eastAsiaTheme="minorHAnsi" w:hAnsi="Garamond"/>
          <w:color w:val="000000" w:themeColor="text1"/>
          <w:sz w:val="24"/>
          <w:szCs w:val="24"/>
          <w:lang w:val="sq-AL"/>
        </w:rPr>
        <w:t xml:space="preserve"> Detyrimi i mësipërm pushon së zbatuari kur të ardhurat totale të njësisë ekonomike që nuk është pjesë e një grupi në datën e raportimit bien nën shumën prej 75 000 000 000 lekësh për secilën nga dy periudhat e fundit raportuese të njëpasnjëshme.</w:t>
      </w:r>
    </w:p>
    <w:p w:rsidR="0000314C" w:rsidRPr="0000314C" w:rsidRDefault="0000314C" w:rsidP="0000314C">
      <w:pPr>
        <w:spacing w:after="0" w:line="240" w:lineRule="auto"/>
        <w:rPr>
          <w:rFonts w:ascii="Garamond" w:eastAsiaTheme="minorHAnsi" w:hAnsi="Garamond"/>
          <w:color w:val="000000" w:themeColor="text1"/>
          <w:sz w:val="24"/>
          <w:szCs w:val="24"/>
          <w:lang w:val="sq-AL"/>
        </w:rPr>
      </w:pPr>
      <w:r w:rsidRPr="0000314C">
        <w:rPr>
          <w:rFonts w:ascii="Garamond" w:eastAsiaTheme="minorHAnsi" w:hAnsi="Garamond"/>
          <w:color w:val="000000" w:themeColor="text1"/>
          <w:sz w:val="24"/>
          <w:szCs w:val="24"/>
          <w:lang w:val="sq-AL"/>
        </w:rPr>
        <w:t xml:space="preserve">3. Dispozitat në pikat 1 dhe 2 të këtij neni nuk zbatohen për njësitë ekonomike që nuk janë pjesë e një grupi ose për njësitë ekonomike mëmë në nivelin më të lartë dhe njësitë e tyre, pjesë të grupit, kur këto njësi, përfshirë degët e tyre, janë themeluar ose ushtrojnë veprimtarinë e tyre të përhershme ekonomike vetëm brenda territorit të një shteti të vetëm dhe në asnjë juridiksion tjetër tatimor. </w:t>
      </w:r>
    </w:p>
    <w:p w:rsidR="0000314C" w:rsidRPr="0000314C" w:rsidRDefault="0000314C" w:rsidP="0000314C">
      <w:pPr>
        <w:spacing w:after="0" w:line="240" w:lineRule="auto"/>
        <w:rPr>
          <w:rFonts w:ascii="Garamond" w:eastAsiaTheme="minorHAnsi" w:hAnsi="Garamond"/>
          <w:color w:val="000000" w:themeColor="text1"/>
          <w:sz w:val="24"/>
          <w:szCs w:val="24"/>
          <w:lang w:val="sq-AL"/>
        </w:rPr>
      </w:pPr>
      <w:r w:rsidRPr="0000314C">
        <w:rPr>
          <w:rFonts w:ascii="Garamond" w:eastAsiaTheme="minorHAnsi" w:hAnsi="Garamond"/>
          <w:color w:val="000000" w:themeColor="text1"/>
          <w:sz w:val="24"/>
          <w:szCs w:val="24"/>
          <w:lang w:val="sq-AL"/>
        </w:rPr>
        <w:t>4. Dispozitat në pikat 1 dhe 2 të këtij neni nuk zbatohen për njësitë ekonomike që nuk janë pjesë e një grupi dhe njësitë mëmë në nivelin më të lartë, kur këto njësi ose njësitë, pjesë e grupit, janë të detyruara të publikojnë raport, sipas legjislacionit të posaçëm, që rregullon institucionet financiare dhe përmban informacion për të gjitha veprimtaritë e tyre.</w:t>
      </w:r>
    </w:p>
    <w:p w:rsidR="0000314C" w:rsidRPr="0000314C" w:rsidRDefault="0000314C" w:rsidP="0000314C">
      <w:pPr>
        <w:spacing w:after="0" w:line="240" w:lineRule="auto"/>
        <w:rPr>
          <w:rFonts w:ascii="Garamond" w:eastAsiaTheme="minorHAnsi" w:hAnsi="Garamond"/>
          <w:color w:val="000000" w:themeColor="text1"/>
          <w:sz w:val="24"/>
          <w:szCs w:val="24"/>
          <w:lang w:val="sq-AL"/>
        </w:rPr>
      </w:pPr>
      <w:r w:rsidRPr="0000314C">
        <w:rPr>
          <w:rFonts w:ascii="Garamond" w:eastAsiaTheme="minorHAnsi" w:hAnsi="Garamond"/>
          <w:color w:val="000000" w:themeColor="text1"/>
          <w:sz w:val="24"/>
          <w:szCs w:val="24"/>
          <w:lang w:val="sq-AL"/>
        </w:rPr>
        <w:t xml:space="preserve">5. Njësitë ekonomike të kontrolluara, të mesme dhe të mëdha, të rregulluara nga legjislacioni shqiptar, të cilat kontrollohen nga një njësi ekonomike mëmë në nivelin më të lartë, që nuk rregullohet nga legjislacioni shqiptar, kur të ardhurat e konsoliduara në nivel grupi tejkalojnë shumën 75 000 000 000 lekë për secilën nga dy periudhat e fundit raportuese të njëpasnjëshme, janë të detyruara të hartojnë, të publikojnë dhe të bëjnë të aksesueshëm raportin për informacionin e tatimit mbi të ardhurat për atë njësi ekonomike mëmë në nivelin më të lartë për vitin e fundit nga këta 2 vjet financiarë të njëpasnjëshëm. </w:t>
      </w:r>
    </w:p>
    <w:p w:rsidR="0000314C" w:rsidRPr="0000314C" w:rsidRDefault="0000314C" w:rsidP="0000314C">
      <w:pPr>
        <w:spacing w:after="0" w:line="240" w:lineRule="auto"/>
        <w:rPr>
          <w:rFonts w:ascii="Garamond" w:eastAsiaTheme="minorHAnsi" w:hAnsi="Garamond"/>
          <w:color w:val="000000" w:themeColor="text1"/>
          <w:sz w:val="24"/>
          <w:szCs w:val="24"/>
          <w:lang w:val="sq-AL"/>
        </w:rPr>
      </w:pPr>
      <w:r w:rsidRPr="0000314C">
        <w:rPr>
          <w:rFonts w:ascii="Garamond" w:eastAsiaTheme="minorHAnsi" w:hAnsi="Garamond"/>
          <w:color w:val="000000" w:themeColor="text1"/>
          <w:sz w:val="24"/>
          <w:szCs w:val="24"/>
          <w:lang w:val="sq-AL"/>
        </w:rPr>
        <w:t xml:space="preserve"> Kur raporti nuk është i disponueshëm, njësia e kontrolluar kërkon informacionin e nevojshëm nga njësia mëmë në nivelin më të lartë. Nëse ky informacion nuk vihet në dispozicion, njësia e kontrolluar harton, publikon dhe bën të aksesueshëm raportin me të gjithë informacionin që zotëron, ka përftuar ose ka siguruar, duke e shoqëruar atë me një deklaratë, ku tregohet se njësia mëmë nuk ka vënë në dispozicion informacionin e nevojshëm.</w:t>
      </w:r>
    </w:p>
    <w:p w:rsidR="0000314C" w:rsidRPr="0000314C" w:rsidRDefault="0000314C" w:rsidP="0000314C">
      <w:pPr>
        <w:spacing w:after="0" w:line="240" w:lineRule="auto"/>
        <w:rPr>
          <w:rFonts w:ascii="Garamond" w:eastAsiaTheme="minorHAnsi" w:hAnsi="Garamond"/>
          <w:color w:val="000000" w:themeColor="text1"/>
          <w:sz w:val="24"/>
          <w:szCs w:val="24"/>
          <w:lang w:val="sq-AL"/>
        </w:rPr>
      </w:pPr>
      <w:r w:rsidRPr="0000314C">
        <w:rPr>
          <w:rFonts w:ascii="Garamond" w:eastAsiaTheme="minorHAnsi" w:hAnsi="Garamond"/>
          <w:color w:val="000000" w:themeColor="text1"/>
          <w:sz w:val="24"/>
          <w:szCs w:val="24"/>
          <w:lang w:val="sq-AL"/>
        </w:rPr>
        <w:lastRenderedPageBreak/>
        <w:t xml:space="preserve"> Detyrimi pushon së zbatuari kur të ardhurat e konsoliduara të njësisë ekonomike mëmë në nivelin më të lartë janë nën shumën prej 75 000 000 000 lekësh për secilën nga dy periudhat e fundit raportuese të njëpasnjëshme. </w:t>
      </w:r>
    </w:p>
    <w:p w:rsidR="0000314C" w:rsidRPr="0000314C" w:rsidRDefault="0000314C" w:rsidP="0000314C">
      <w:pPr>
        <w:spacing w:after="0" w:line="240" w:lineRule="auto"/>
        <w:rPr>
          <w:rFonts w:ascii="Garamond" w:eastAsiaTheme="minorHAnsi" w:hAnsi="Garamond"/>
          <w:color w:val="000000" w:themeColor="text1"/>
          <w:sz w:val="24"/>
          <w:szCs w:val="24"/>
          <w:lang w:val="sq-AL"/>
        </w:rPr>
      </w:pPr>
      <w:r w:rsidRPr="0000314C">
        <w:rPr>
          <w:rFonts w:ascii="Garamond" w:eastAsiaTheme="minorHAnsi" w:hAnsi="Garamond"/>
          <w:color w:val="000000" w:themeColor="text1"/>
          <w:sz w:val="24"/>
          <w:szCs w:val="24"/>
          <w:lang w:val="sq-AL"/>
        </w:rPr>
        <w:t xml:space="preserve">6. Degët e njësive ekonomike, që nuk rregullohen nga legjislacioni shqiptar, të regjistruara në territorin e Republikës së Shqipërisë janë të detyruara të hartojnë, të publikojnë dhe të bëjnë të aksesueshëm raportin për informacionin e tatimit mbi të ardhurat, në lidhje me njësinë ekonomike mëmë në nivelin më të lartë ose njësinë ekonomike që nuk është pjesë e një grupi, për vitin e fundit nga dy periudhat e fundit raportuese të njëpasnjëshme, kur këto njësi ekonomike kanë të ardhura mbi 75 000 000 000 lekë për secilën nga dy periudhat raportuese të njëpasnjëshme. </w:t>
      </w:r>
    </w:p>
    <w:p w:rsidR="0000314C" w:rsidRPr="0000314C" w:rsidRDefault="0000314C" w:rsidP="0000314C">
      <w:pPr>
        <w:spacing w:after="0" w:line="240" w:lineRule="auto"/>
        <w:rPr>
          <w:rFonts w:ascii="Garamond" w:eastAsiaTheme="minorHAnsi" w:hAnsi="Garamond"/>
          <w:color w:val="000000" w:themeColor="text1"/>
          <w:sz w:val="24"/>
          <w:szCs w:val="24"/>
          <w:lang w:val="sq-AL"/>
        </w:rPr>
      </w:pPr>
      <w:r w:rsidRPr="0000314C">
        <w:rPr>
          <w:rFonts w:ascii="Garamond" w:eastAsiaTheme="minorHAnsi" w:hAnsi="Garamond"/>
          <w:color w:val="000000" w:themeColor="text1"/>
          <w:sz w:val="24"/>
          <w:szCs w:val="24"/>
          <w:lang w:val="sq-AL"/>
        </w:rPr>
        <w:t xml:space="preserve"> Kur raporti nuk është i disponueshëm, personat e autorizuar kërkojnë nga njësia mëmë ose nga njësia ekonomike që nuk është pjesë e një grupi informacionin e nevojshëm. Nëse informacioni nuk vihet në dispozicion, dega harton, publikon dhe bën të aksesueshëm raportin me të gjithë informacionin që zotëron, që ka përftuar ose ka siguruar, duke e shoqëruar atë me një deklaratë ku tregohet se njësia mëmë ose njësia që nuk është pjesë e një grupi nuk ka vënë në dispozicion informacionin e nevojshëm.</w:t>
      </w:r>
    </w:p>
    <w:p w:rsidR="0000314C" w:rsidRPr="0000314C" w:rsidRDefault="0000314C" w:rsidP="0000314C">
      <w:pPr>
        <w:spacing w:after="0" w:line="240" w:lineRule="auto"/>
        <w:rPr>
          <w:rFonts w:ascii="Garamond" w:eastAsiaTheme="minorHAnsi" w:hAnsi="Garamond"/>
          <w:color w:val="000000" w:themeColor="text1"/>
          <w:sz w:val="24"/>
          <w:szCs w:val="24"/>
          <w:lang w:val="sq-AL"/>
        </w:rPr>
      </w:pPr>
      <w:r w:rsidRPr="0000314C">
        <w:rPr>
          <w:rFonts w:ascii="Garamond" w:eastAsiaTheme="minorHAnsi" w:hAnsi="Garamond"/>
          <w:color w:val="000000" w:themeColor="text1"/>
          <w:sz w:val="24"/>
          <w:szCs w:val="24"/>
          <w:lang w:val="sq-AL"/>
        </w:rPr>
        <w:t xml:space="preserve"> Ky detyrim zbatohet vetëm për degët që kanë realizuar të ardhura mbi pragun e përcaktuar në nënpikën 1.2 të nenit 4 të këtij ligji për secilën nga dy periudhat raportuese të njëpasnjëshme dhe pushon së zbatuari kur të ardhurat e degës janë nën këtë prag për dy periudha raportuese të njëpasnjëshme.</w:t>
      </w:r>
    </w:p>
    <w:p w:rsidR="0000314C" w:rsidRPr="0000314C" w:rsidRDefault="0000314C" w:rsidP="0000314C">
      <w:pPr>
        <w:spacing w:after="0" w:line="240" w:lineRule="auto"/>
        <w:rPr>
          <w:rFonts w:ascii="Garamond" w:eastAsiaTheme="minorHAnsi" w:hAnsi="Garamond"/>
          <w:color w:val="000000" w:themeColor="text1"/>
          <w:sz w:val="24"/>
          <w:szCs w:val="24"/>
          <w:lang w:val="sq-AL"/>
        </w:rPr>
      </w:pPr>
      <w:r w:rsidRPr="0000314C">
        <w:rPr>
          <w:rFonts w:ascii="Garamond" w:eastAsiaTheme="minorHAnsi" w:hAnsi="Garamond"/>
          <w:color w:val="000000" w:themeColor="text1"/>
          <w:sz w:val="24"/>
          <w:szCs w:val="24"/>
          <w:lang w:val="sq-AL"/>
        </w:rPr>
        <w:t>Përcaktimet e këtij neni zbatohen për degët vetëm kur plotësohen njëkohësisht këto kritere:</w:t>
      </w:r>
    </w:p>
    <w:p w:rsidR="0000314C" w:rsidRPr="0000314C" w:rsidRDefault="0000314C" w:rsidP="0000314C">
      <w:pPr>
        <w:spacing w:after="0" w:line="240" w:lineRule="auto"/>
        <w:rPr>
          <w:rFonts w:ascii="Garamond" w:eastAsiaTheme="minorHAnsi" w:hAnsi="Garamond"/>
          <w:color w:val="000000" w:themeColor="text1"/>
          <w:sz w:val="24"/>
          <w:szCs w:val="24"/>
          <w:lang w:val="sq-AL"/>
        </w:rPr>
      </w:pPr>
      <w:r w:rsidRPr="0000314C">
        <w:rPr>
          <w:rFonts w:ascii="Garamond" w:eastAsiaTheme="minorHAnsi" w:hAnsi="Garamond"/>
          <w:color w:val="000000" w:themeColor="text1"/>
          <w:sz w:val="24"/>
          <w:szCs w:val="24"/>
          <w:lang w:val="sq-AL"/>
        </w:rPr>
        <w:t xml:space="preserve">a) njësia ekonomike që ka krijuar degën është ose një njësi pjesë e një grupi, njësia ekonomike mëmë në nivelin më të lartë të të cilit nuk rregullohet nga legjislacioni shqiptar dhe të ardhurat e konsoliduara të të cilit kanë tejkaluar shumën 75 000 000 000 lekë për secilën nga dy periudhat raportuese të njëpasnjëshme, siç reflektohet në pasqyrat financiare të konsoliduara, ose një njësi ekonomike të ardhurat e së cilës kanë tejkaluar shumën 75 000 000 000 lekë për secilën nga dy periudhat raportuese të njëpasnjëshme, siç reflektohet në pasqyrat e saj financiare; </w:t>
      </w:r>
    </w:p>
    <w:p w:rsidR="0000314C" w:rsidRPr="0000314C" w:rsidRDefault="0000314C" w:rsidP="0000314C">
      <w:pPr>
        <w:spacing w:after="0" w:line="240" w:lineRule="auto"/>
        <w:rPr>
          <w:rFonts w:ascii="Garamond" w:eastAsiaTheme="minorHAnsi" w:hAnsi="Garamond"/>
          <w:color w:val="000000" w:themeColor="text1"/>
          <w:sz w:val="24"/>
          <w:szCs w:val="24"/>
          <w:lang w:val="sq-AL"/>
        </w:rPr>
      </w:pPr>
      <w:r w:rsidRPr="0000314C">
        <w:rPr>
          <w:rFonts w:ascii="Garamond" w:eastAsiaTheme="minorHAnsi" w:hAnsi="Garamond"/>
          <w:color w:val="000000" w:themeColor="text1"/>
          <w:sz w:val="24"/>
          <w:szCs w:val="24"/>
          <w:lang w:val="sq-AL"/>
        </w:rPr>
        <w:t>b) njësia ekonomike mëmë në nivelin më të lartë, e përmendur në shkronjën “a” të kësaj pike, nuk ka njësi ekonomike të kontrolluara të mesme ose të mëdha, sipas përcaktimeve të këtij ligji.</w:t>
      </w:r>
    </w:p>
    <w:p w:rsidR="0000314C" w:rsidRPr="0000314C" w:rsidRDefault="0000314C" w:rsidP="0000314C">
      <w:pPr>
        <w:spacing w:after="0" w:line="240" w:lineRule="auto"/>
        <w:rPr>
          <w:rFonts w:ascii="Garamond" w:eastAsiaTheme="minorHAnsi" w:hAnsi="Garamond"/>
          <w:color w:val="000000" w:themeColor="text1"/>
          <w:sz w:val="24"/>
          <w:szCs w:val="24"/>
          <w:lang w:val="sq-AL"/>
        </w:rPr>
      </w:pPr>
      <w:r w:rsidRPr="0000314C">
        <w:rPr>
          <w:rFonts w:ascii="Garamond" w:eastAsiaTheme="minorHAnsi" w:hAnsi="Garamond"/>
          <w:color w:val="000000" w:themeColor="text1"/>
          <w:sz w:val="24"/>
          <w:szCs w:val="24"/>
          <w:lang w:val="sq-AL"/>
        </w:rPr>
        <w:t>Degët nuk u nënshtrohen më detyrimeve të raportimit të këtij neni kur kriteri i përcaktuar në shkronjën “a” të kësaj pike nuk përmbushet për dy periudhat raportuese të njëpasnjëshme.</w:t>
      </w:r>
    </w:p>
    <w:p w:rsidR="0000314C" w:rsidRPr="0000314C" w:rsidRDefault="0000314C" w:rsidP="0000314C">
      <w:pPr>
        <w:spacing w:after="0" w:line="240" w:lineRule="auto"/>
        <w:rPr>
          <w:rFonts w:ascii="Garamond" w:eastAsiaTheme="minorHAnsi" w:hAnsi="Garamond"/>
          <w:color w:val="000000" w:themeColor="text1"/>
          <w:sz w:val="24"/>
          <w:szCs w:val="24"/>
          <w:lang w:val="sq-AL"/>
        </w:rPr>
      </w:pPr>
      <w:r w:rsidRPr="0000314C">
        <w:rPr>
          <w:rFonts w:ascii="Garamond" w:eastAsiaTheme="minorHAnsi" w:hAnsi="Garamond"/>
          <w:color w:val="000000" w:themeColor="text1"/>
          <w:sz w:val="24"/>
          <w:szCs w:val="24"/>
          <w:lang w:val="sq-AL"/>
        </w:rPr>
        <w:t>7. Dispozitat e pikave 5 dhe 6 të këtij neni nuk zbatohen kur raporti për informacionin e tatimit mbi të ardhurat publikohet nga njësia ekonomike mëmë në nivelin më të lartë ose nga njësia ekonomike që nuk është pjesë e një grupi, në përputhje me kërkesat e këtij ligji për përmbajtjen e raportit, dhe kur plotësohen njëkohësisht këto kushte:</w:t>
      </w:r>
    </w:p>
    <w:p w:rsidR="0000314C" w:rsidRPr="0000314C" w:rsidRDefault="0000314C" w:rsidP="0000314C">
      <w:pPr>
        <w:spacing w:after="0" w:line="240" w:lineRule="auto"/>
        <w:rPr>
          <w:rFonts w:ascii="Garamond" w:eastAsiaTheme="minorHAnsi" w:hAnsi="Garamond"/>
          <w:color w:val="000000" w:themeColor="text1"/>
          <w:sz w:val="24"/>
          <w:szCs w:val="24"/>
          <w:lang w:val="sq-AL"/>
        </w:rPr>
      </w:pPr>
      <w:r w:rsidRPr="0000314C">
        <w:rPr>
          <w:rFonts w:ascii="Garamond" w:eastAsiaTheme="minorHAnsi" w:hAnsi="Garamond"/>
          <w:color w:val="000000" w:themeColor="text1"/>
          <w:sz w:val="24"/>
          <w:szCs w:val="24"/>
          <w:lang w:val="sq-AL"/>
        </w:rPr>
        <w:t>a) raporti bëhet i aksesueshëm publikisht, falas, në një format elektronik të lexueshëm nga pajisjet, në faqen e internetit të njësisë ekonomike mëmë ose të njësisë ekonomike që nuk është pjesë e një grupi, jo më vonë se 12 muaj nga data e raportimit të periudhës për të cilën është hartuar raporti;</w:t>
      </w:r>
    </w:p>
    <w:p w:rsidR="0000314C" w:rsidRPr="0000314C" w:rsidRDefault="0000314C" w:rsidP="0000314C">
      <w:pPr>
        <w:spacing w:after="0" w:line="240" w:lineRule="auto"/>
        <w:rPr>
          <w:rFonts w:ascii="Garamond" w:eastAsiaTheme="minorHAnsi" w:hAnsi="Garamond"/>
          <w:color w:val="000000" w:themeColor="text1"/>
          <w:sz w:val="24"/>
          <w:szCs w:val="24"/>
          <w:lang w:val="sq-AL"/>
        </w:rPr>
      </w:pPr>
      <w:r w:rsidRPr="0000314C">
        <w:rPr>
          <w:rFonts w:ascii="Garamond" w:eastAsiaTheme="minorHAnsi" w:hAnsi="Garamond"/>
          <w:color w:val="000000" w:themeColor="text1"/>
          <w:sz w:val="24"/>
          <w:szCs w:val="24"/>
          <w:lang w:val="sq-AL"/>
        </w:rPr>
        <w:t>b) raporti publikohet në gjuhën shqipe dhe të paktën në një nga gjuhët zyrtare të Bashkimit Evropian;</w:t>
      </w:r>
    </w:p>
    <w:p w:rsidR="0000314C" w:rsidRPr="0000314C" w:rsidRDefault="0000314C" w:rsidP="0000314C">
      <w:pPr>
        <w:spacing w:after="0" w:line="240" w:lineRule="auto"/>
        <w:rPr>
          <w:rFonts w:ascii="Garamond" w:eastAsiaTheme="minorHAnsi" w:hAnsi="Garamond"/>
          <w:color w:val="000000" w:themeColor="text1"/>
          <w:sz w:val="24"/>
          <w:szCs w:val="24"/>
          <w:lang w:val="sq-AL"/>
        </w:rPr>
      </w:pPr>
      <w:r w:rsidRPr="0000314C">
        <w:rPr>
          <w:rFonts w:ascii="Garamond" w:eastAsiaTheme="minorHAnsi" w:hAnsi="Garamond"/>
          <w:color w:val="000000" w:themeColor="text1"/>
          <w:sz w:val="24"/>
          <w:szCs w:val="24"/>
          <w:lang w:val="sq-AL"/>
        </w:rPr>
        <w:t>c) raporti identifikon emrin dhe selinë e një njësie të vetme të kontrolluar ose emrin dhe adresën e një dege të vetme, të regjistruar në territorin e Republikës së Shqipërisë, e cila ka publikuar raportin, në përputhje me këtë ligj.</w:t>
      </w:r>
    </w:p>
    <w:p w:rsidR="0000314C" w:rsidRPr="0000314C" w:rsidRDefault="0000314C" w:rsidP="0000314C">
      <w:pPr>
        <w:spacing w:after="0" w:line="240" w:lineRule="auto"/>
        <w:rPr>
          <w:rFonts w:ascii="Garamond" w:eastAsiaTheme="minorHAnsi" w:hAnsi="Garamond"/>
          <w:color w:val="000000" w:themeColor="text1"/>
          <w:sz w:val="24"/>
          <w:szCs w:val="24"/>
          <w:lang w:val="sq-AL"/>
        </w:rPr>
      </w:pPr>
      <w:r w:rsidRPr="0000314C">
        <w:rPr>
          <w:rFonts w:ascii="Garamond" w:eastAsiaTheme="minorHAnsi" w:hAnsi="Garamond"/>
          <w:color w:val="000000" w:themeColor="text1"/>
          <w:sz w:val="24"/>
          <w:szCs w:val="24"/>
          <w:lang w:val="sq-AL"/>
        </w:rPr>
        <w:t>8. Njësitë ekonomike të kontrolluara ose degët që nuk janë subjekt i dispozitave të pikave 5 dhe 6 të këtij neni janë të detyruara të publikojnë dhe të bëjnë të aksesueshëm raportin për informacionin e tatimit mbi të ardhurat, kur qëllimi i vetëm i krijimit të tyre është shmangia e detyrimeve të raportimit, të përcaktuara në këtë kre.</w:t>
      </w:r>
    </w:p>
    <w:p w:rsidR="0000314C" w:rsidRPr="0000314C" w:rsidRDefault="0000314C" w:rsidP="0000314C">
      <w:pPr>
        <w:spacing w:after="0" w:line="240" w:lineRule="auto"/>
        <w:rPr>
          <w:rFonts w:ascii="Garamond" w:eastAsiaTheme="minorHAnsi" w:hAnsi="Garamond"/>
          <w:color w:val="000000" w:themeColor="text1"/>
          <w:sz w:val="24"/>
          <w:szCs w:val="24"/>
          <w:lang w:val="sq-AL"/>
        </w:rPr>
      </w:pPr>
      <w:r w:rsidRPr="0000314C">
        <w:rPr>
          <w:rFonts w:ascii="Garamond" w:eastAsiaTheme="minorHAnsi" w:hAnsi="Garamond"/>
          <w:color w:val="000000" w:themeColor="text1"/>
          <w:sz w:val="24"/>
          <w:szCs w:val="24"/>
          <w:lang w:val="sq-AL"/>
        </w:rPr>
        <w:t>9. Raporti për informacionin e tatimit mbi të ardhurat, i parashikuar në këtë kapitull, është një detyrim publik shtesë dhe nuk zëvendëson, as nuk përjashton, detyrimet e raportimit, të përcaktuara nga legjislacioni tatimor në fuqi.</w:t>
      </w:r>
    </w:p>
    <w:p w:rsidR="0000314C" w:rsidRPr="0000314C" w:rsidRDefault="0000314C" w:rsidP="0000314C">
      <w:pPr>
        <w:spacing w:after="0" w:line="240" w:lineRule="auto"/>
        <w:rPr>
          <w:rFonts w:ascii="Garamond" w:eastAsiaTheme="minorHAnsi" w:hAnsi="Garamond"/>
          <w:color w:val="000000" w:themeColor="text1"/>
          <w:sz w:val="24"/>
          <w:szCs w:val="24"/>
          <w:lang w:val="sq-AL"/>
        </w:rPr>
      </w:pPr>
    </w:p>
    <w:p w:rsidR="0000314C" w:rsidRPr="0000314C" w:rsidRDefault="0000314C" w:rsidP="0000314C">
      <w:pPr>
        <w:spacing w:after="0" w:line="240" w:lineRule="auto"/>
        <w:jc w:val="center"/>
        <w:rPr>
          <w:rFonts w:ascii="Garamond" w:eastAsiaTheme="minorHAnsi" w:hAnsi="Garamond"/>
          <w:color w:val="000000" w:themeColor="text1"/>
          <w:sz w:val="24"/>
          <w:szCs w:val="24"/>
          <w:lang w:val="sq-AL"/>
        </w:rPr>
      </w:pPr>
      <w:r w:rsidRPr="0000314C">
        <w:rPr>
          <w:rFonts w:ascii="Garamond" w:eastAsiaTheme="minorHAnsi" w:hAnsi="Garamond"/>
          <w:color w:val="000000" w:themeColor="text1"/>
          <w:sz w:val="24"/>
          <w:szCs w:val="24"/>
          <w:lang w:val="sq-AL"/>
        </w:rPr>
        <w:t>Neni 23/2</w:t>
      </w:r>
    </w:p>
    <w:p w:rsidR="0000314C" w:rsidRPr="0000314C" w:rsidRDefault="0000314C" w:rsidP="0000314C">
      <w:pPr>
        <w:spacing w:after="0" w:line="240" w:lineRule="auto"/>
        <w:jc w:val="center"/>
        <w:rPr>
          <w:rFonts w:ascii="Garamond" w:eastAsiaTheme="minorHAnsi" w:hAnsi="Garamond"/>
          <w:b/>
          <w:bCs/>
          <w:color w:val="000000" w:themeColor="text1"/>
          <w:sz w:val="24"/>
          <w:szCs w:val="24"/>
          <w:lang w:val="sq-AL"/>
        </w:rPr>
      </w:pPr>
      <w:r w:rsidRPr="0000314C">
        <w:rPr>
          <w:rFonts w:ascii="Garamond" w:eastAsiaTheme="minorHAnsi" w:hAnsi="Garamond"/>
          <w:b/>
          <w:bCs/>
          <w:color w:val="000000" w:themeColor="text1"/>
          <w:sz w:val="24"/>
          <w:szCs w:val="24"/>
          <w:lang w:val="sq-AL"/>
        </w:rPr>
        <w:t>Përmbajtja e raportit për informacionin e tatimit mbi të ardhurat</w:t>
      </w:r>
    </w:p>
    <w:p w:rsidR="0000314C" w:rsidRPr="0000314C" w:rsidRDefault="0000314C" w:rsidP="0000314C">
      <w:pPr>
        <w:spacing w:after="0" w:line="240" w:lineRule="auto"/>
        <w:rPr>
          <w:rFonts w:ascii="Garamond" w:eastAsiaTheme="minorHAnsi" w:hAnsi="Garamond"/>
          <w:color w:val="000000" w:themeColor="text1"/>
          <w:sz w:val="24"/>
          <w:szCs w:val="24"/>
          <w:lang w:val="sq-AL"/>
        </w:rPr>
      </w:pPr>
    </w:p>
    <w:p w:rsidR="0000314C" w:rsidRPr="0000314C" w:rsidRDefault="0000314C" w:rsidP="0000314C">
      <w:pPr>
        <w:spacing w:after="0" w:line="240" w:lineRule="auto"/>
        <w:rPr>
          <w:rFonts w:ascii="Garamond" w:eastAsiaTheme="minorHAnsi" w:hAnsi="Garamond"/>
          <w:color w:val="000000" w:themeColor="text1"/>
          <w:sz w:val="24"/>
          <w:szCs w:val="24"/>
          <w:lang w:val="sq-AL"/>
        </w:rPr>
      </w:pPr>
      <w:r w:rsidRPr="0000314C">
        <w:rPr>
          <w:rFonts w:ascii="Garamond" w:eastAsiaTheme="minorHAnsi" w:hAnsi="Garamond"/>
          <w:color w:val="000000" w:themeColor="text1"/>
          <w:sz w:val="24"/>
          <w:szCs w:val="24"/>
          <w:lang w:val="sq-AL"/>
        </w:rPr>
        <w:t>1. Raporti për informacionin e tatimit mbi të ardhurat, i kërkuar në zbatim të nenit paraardhës, përfshin informacion në lidhje me të gjitha veprimtaritë e njësisë ekonomike që nuk është pjesë e një grupi ose të njësisë ekonomike mëmë në nivelin më të lartë, duke përfshirë ato të të gjitha njësive, pjesë të grupit, të konsoliduara në pasqyrat financiare për vitin financiar përkatës.</w:t>
      </w:r>
    </w:p>
    <w:p w:rsidR="0000314C" w:rsidRPr="0000314C" w:rsidRDefault="0000314C" w:rsidP="0000314C">
      <w:pPr>
        <w:spacing w:after="0" w:line="240" w:lineRule="auto"/>
        <w:rPr>
          <w:rFonts w:ascii="Garamond" w:eastAsiaTheme="minorHAnsi" w:hAnsi="Garamond"/>
          <w:color w:val="000000" w:themeColor="text1"/>
          <w:sz w:val="24"/>
          <w:szCs w:val="24"/>
          <w:lang w:val="sq-AL"/>
        </w:rPr>
      </w:pPr>
      <w:r w:rsidRPr="0000314C">
        <w:rPr>
          <w:rFonts w:ascii="Garamond" w:eastAsiaTheme="minorHAnsi" w:hAnsi="Garamond"/>
          <w:color w:val="000000" w:themeColor="text1"/>
          <w:sz w:val="24"/>
          <w:szCs w:val="24"/>
          <w:lang w:val="sq-AL"/>
        </w:rPr>
        <w:t>2. Informacioni i raportit përmban:</w:t>
      </w:r>
    </w:p>
    <w:p w:rsidR="0000314C" w:rsidRPr="0000314C" w:rsidRDefault="0000314C" w:rsidP="0000314C">
      <w:pPr>
        <w:spacing w:after="0" w:line="240" w:lineRule="auto"/>
        <w:rPr>
          <w:rFonts w:ascii="Garamond" w:eastAsiaTheme="minorHAnsi" w:hAnsi="Garamond"/>
          <w:color w:val="000000" w:themeColor="text1"/>
          <w:sz w:val="24"/>
          <w:szCs w:val="24"/>
          <w:lang w:val="sq-AL"/>
        </w:rPr>
      </w:pPr>
      <w:r w:rsidRPr="0000314C">
        <w:rPr>
          <w:rFonts w:ascii="Garamond" w:eastAsiaTheme="minorHAnsi" w:hAnsi="Garamond"/>
          <w:color w:val="000000" w:themeColor="text1"/>
          <w:sz w:val="24"/>
          <w:szCs w:val="24"/>
          <w:lang w:val="sq-AL"/>
        </w:rPr>
        <w:t xml:space="preserve">a) emrin e njësisë ekonomike mëmë në nivelin më të lartë ose të njësisë ekonomike që nuk është pjesë e një grupi, vitin financiar, monedhën e përdorur për paraqitjen e raportit dhe, sipas rastit, një listë të të </w:t>
      </w:r>
      <w:r w:rsidRPr="0000314C">
        <w:rPr>
          <w:rFonts w:ascii="Garamond" w:eastAsiaTheme="minorHAnsi" w:hAnsi="Garamond"/>
          <w:color w:val="000000" w:themeColor="text1"/>
          <w:sz w:val="24"/>
          <w:szCs w:val="24"/>
          <w:lang w:val="sq-AL"/>
        </w:rPr>
        <w:lastRenderedPageBreak/>
        <w:t>gjitha njësive të kontrolluara, të konsoliduara në pasqyrat financiare të njësisë mëmë në nivelin më të lartë, për vitin financiar përkatës, të themeluara në Republikën e Shqipërisë ose në juridiksione tatimore të klasifikuara si jobashkëpunuese, sipas listave ndërkombëtare të pranuara;</w:t>
      </w:r>
    </w:p>
    <w:p w:rsidR="0000314C" w:rsidRPr="0000314C" w:rsidRDefault="0000314C" w:rsidP="0000314C">
      <w:pPr>
        <w:spacing w:after="0" w:line="240" w:lineRule="auto"/>
        <w:rPr>
          <w:rFonts w:ascii="Garamond" w:eastAsiaTheme="minorHAnsi" w:hAnsi="Garamond"/>
          <w:color w:val="000000" w:themeColor="text1"/>
          <w:sz w:val="24"/>
          <w:szCs w:val="24"/>
          <w:lang w:val="sq-AL"/>
        </w:rPr>
      </w:pPr>
      <w:r w:rsidRPr="0000314C">
        <w:rPr>
          <w:rFonts w:ascii="Garamond" w:eastAsiaTheme="minorHAnsi" w:hAnsi="Garamond"/>
          <w:color w:val="000000" w:themeColor="text1"/>
          <w:sz w:val="24"/>
          <w:szCs w:val="24"/>
          <w:lang w:val="sq-AL"/>
        </w:rPr>
        <w:t>b) përshkrim të shkurtër të natyrës së veprimtarive të tyre;</w:t>
      </w:r>
    </w:p>
    <w:p w:rsidR="0000314C" w:rsidRPr="0000314C" w:rsidRDefault="0000314C" w:rsidP="0000314C">
      <w:pPr>
        <w:spacing w:after="0" w:line="240" w:lineRule="auto"/>
        <w:rPr>
          <w:rFonts w:ascii="Garamond" w:eastAsiaTheme="minorHAnsi" w:hAnsi="Garamond"/>
          <w:color w:val="000000" w:themeColor="text1"/>
          <w:sz w:val="24"/>
          <w:szCs w:val="24"/>
          <w:lang w:val="sq-AL"/>
        </w:rPr>
      </w:pPr>
      <w:r w:rsidRPr="0000314C">
        <w:rPr>
          <w:rFonts w:ascii="Garamond" w:eastAsiaTheme="minorHAnsi" w:hAnsi="Garamond"/>
          <w:color w:val="000000" w:themeColor="text1"/>
          <w:sz w:val="24"/>
          <w:szCs w:val="24"/>
          <w:lang w:val="sq-AL"/>
        </w:rPr>
        <w:t>c) numrin e punonjësve, referuar kohës normale të punës, sipas përcaktimeve të legjislacionit vendas të fushës;</w:t>
      </w:r>
    </w:p>
    <w:p w:rsidR="0000314C" w:rsidRPr="0000314C" w:rsidRDefault="0000314C" w:rsidP="0000314C">
      <w:pPr>
        <w:spacing w:after="0" w:line="240" w:lineRule="auto"/>
        <w:rPr>
          <w:rFonts w:ascii="Garamond" w:eastAsiaTheme="minorHAnsi" w:hAnsi="Garamond"/>
          <w:color w:val="000000" w:themeColor="text1"/>
          <w:sz w:val="24"/>
          <w:szCs w:val="24"/>
          <w:lang w:val="sq-AL"/>
        </w:rPr>
      </w:pPr>
      <w:r w:rsidRPr="0000314C">
        <w:rPr>
          <w:rFonts w:ascii="Garamond" w:eastAsiaTheme="minorHAnsi" w:hAnsi="Garamond"/>
          <w:color w:val="000000" w:themeColor="text1"/>
          <w:sz w:val="24"/>
          <w:szCs w:val="24"/>
          <w:lang w:val="sq-AL"/>
        </w:rPr>
        <w:t>ç) të ardhurat, të cilat llogariten si:</w:t>
      </w:r>
    </w:p>
    <w:p w:rsidR="0000314C" w:rsidRPr="0000314C" w:rsidRDefault="0000314C" w:rsidP="0000314C">
      <w:pPr>
        <w:spacing w:after="0" w:line="240" w:lineRule="auto"/>
        <w:rPr>
          <w:rFonts w:ascii="Garamond" w:eastAsiaTheme="minorHAnsi" w:hAnsi="Garamond"/>
          <w:color w:val="000000" w:themeColor="text1"/>
          <w:sz w:val="24"/>
          <w:szCs w:val="24"/>
          <w:lang w:val="sq-AL"/>
        </w:rPr>
      </w:pPr>
      <w:r w:rsidRPr="0000314C">
        <w:rPr>
          <w:rFonts w:ascii="Garamond" w:eastAsiaTheme="minorHAnsi" w:hAnsi="Garamond"/>
          <w:color w:val="000000" w:themeColor="text1"/>
          <w:sz w:val="24"/>
          <w:szCs w:val="24"/>
          <w:lang w:val="sq-AL"/>
        </w:rPr>
        <w:t>i. shuma e të ardhurave të shfrytëzimit, të ardhurave të tjera të shfrytëzimit, të ardhurave nga interesat në pjesëmarrje, përjashtuar dividendët e marrë nga njësitë që bëjnë pjesë në grup, të ardhurat nga investime të tjera dhe huat, paraqitur në aktivet afatgjata, interesat e tjera të arkëtueshme dhe të ardhura të ngjashme; ose</w:t>
      </w:r>
    </w:p>
    <w:p w:rsidR="0000314C" w:rsidRPr="0000314C" w:rsidRDefault="0000314C" w:rsidP="0000314C">
      <w:pPr>
        <w:spacing w:after="0" w:line="240" w:lineRule="auto"/>
        <w:rPr>
          <w:rFonts w:ascii="Garamond" w:eastAsiaTheme="minorHAnsi" w:hAnsi="Garamond"/>
          <w:color w:val="000000" w:themeColor="text1"/>
          <w:sz w:val="24"/>
          <w:szCs w:val="24"/>
          <w:lang w:val="sq-AL"/>
        </w:rPr>
      </w:pPr>
      <w:r w:rsidRPr="0000314C">
        <w:rPr>
          <w:rFonts w:ascii="Garamond" w:eastAsiaTheme="minorHAnsi" w:hAnsi="Garamond"/>
          <w:color w:val="000000" w:themeColor="text1"/>
          <w:sz w:val="24"/>
          <w:szCs w:val="24"/>
          <w:lang w:val="sq-AL"/>
        </w:rPr>
        <w:t>ii. të ardhura, sipas përcaktimeve të kuadrit të raportimit financiar, mbi bazën e të cilit përgatiten pasqyrat financiare, duke përjashtuar rregullimet e vlerës dhe dividendët e marrë nga njësitë që janë pjesë e grupit.</w:t>
      </w:r>
    </w:p>
    <w:p w:rsidR="0000314C" w:rsidRPr="0000314C" w:rsidRDefault="0000314C" w:rsidP="0000314C">
      <w:pPr>
        <w:spacing w:after="0" w:line="240" w:lineRule="auto"/>
        <w:rPr>
          <w:rFonts w:ascii="Garamond" w:eastAsiaTheme="minorHAnsi" w:hAnsi="Garamond"/>
          <w:color w:val="000000" w:themeColor="text1"/>
          <w:sz w:val="24"/>
          <w:szCs w:val="24"/>
          <w:lang w:val="sq-AL"/>
        </w:rPr>
      </w:pPr>
      <w:r w:rsidRPr="0000314C">
        <w:rPr>
          <w:rFonts w:ascii="Garamond" w:eastAsiaTheme="minorHAnsi" w:hAnsi="Garamond"/>
          <w:color w:val="000000" w:themeColor="text1"/>
          <w:sz w:val="24"/>
          <w:szCs w:val="24"/>
          <w:lang w:val="sq-AL"/>
        </w:rPr>
        <w:t>d) shumën e fitimeve ose humbjeve përpara tatimit mbi të ardhurat;</w:t>
      </w:r>
    </w:p>
    <w:p w:rsidR="0000314C" w:rsidRPr="0000314C" w:rsidRDefault="0000314C" w:rsidP="0000314C">
      <w:pPr>
        <w:spacing w:after="0" w:line="240" w:lineRule="auto"/>
        <w:rPr>
          <w:rFonts w:ascii="Garamond" w:eastAsiaTheme="minorHAnsi" w:hAnsi="Garamond"/>
          <w:color w:val="000000" w:themeColor="text1"/>
          <w:sz w:val="24"/>
          <w:szCs w:val="24"/>
          <w:lang w:val="sq-AL"/>
        </w:rPr>
      </w:pPr>
      <w:r w:rsidRPr="0000314C">
        <w:rPr>
          <w:rFonts w:ascii="Garamond" w:eastAsiaTheme="minorHAnsi" w:hAnsi="Garamond"/>
          <w:color w:val="000000" w:themeColor="text1"/>
          <w:sz w:val="24"/>
          <w:szCs w:val="24"/>
          <w:lang w:val="sq-AL"/>
        </w:rPr>
        <w:t>dh) shumën e tatimit mbi të ardhurat të njohur gjatë vitit financiar përkatës, e cila llogaritet si tatimi aktual mbi fitimet ose humbjet e tatueshme të vitit financiar nga njësitë ekonomike dhe degët në juridiksionin tatimor përkatës;</w:t>
      </w:r>
    </w:p>
    <w:p w:rsidR="0000314C" w:rsidRPr="0000314C" w:rsidRDefault="0000314C" w:rsidP="0000314C">
      <w:pPr>
        <w:spacing w:after="0" w:line="240" w:lineRule="auto"/>
        <w:rPr>
          <w:rFonts w:ascii="Garamond" w:eastAsiaTheme="minorHAnsi" w:hAnsi="Garamond"/>
          <w:color w:val="000000" w:themeColor="text1"/>
          <w:sz w:val="24"/>
          <w:szCs w:val="24"/>
          <w:lang w:val="sq-AL"/>
        </w:rPr>
      </w:pPr>
      <w:r w:rsidRPr="0000314C">
        <w:rPr>
          <w:rFonts w:ascii="Garamond" w:eastAsiaTheme="minorHAnsi" w:hAnsi="Garamond"/>
          <w:color w:val="000000" w:themeColor="text1"/>
          <w:sz w:val="24"/>
          <w:szCs w:val="24"/>
          <w:lang w:val="sq-AL"/>
        </w:rPr>
        <w:t>e) shumën e tatimit mbi të ardhurat, të paguar në mjete monetare, e cila llogaritet si shuma e tatimit mbi të ardhurat të paguar gjatë vitit financiar përkatës nga njësitë ekonomike dhe degët në juridiksionin tatimor përkatës;</w:t>
      </w:r>
    </w:p>
    <w:p w:rsidR="0000314C" w:rsidRPr="0000314C" w:rsidRDefault="0000314C" w:rsidP="0000314C">
      <w:pPr>
        <w:spacing w:after="0" w:line="240" w:lineRule="auto"/>
        <w:rPr>
          <w:rFonts w:ascii="Garamond" w:eastAsiaTheme="minorHAnsi" w:hAnsi="Garamond"/>
          <w:color w:val="000000" w:themeColor="text1"/>
          <w:sz w:val="24"/>
          <w:szCs w:val="24"/>
          <w:lang w:val="sq-AL"/>
        </w:rPr>
      </w:pPr>
      <w:r w:rsidRPr="0000314C">
        <w:rPr>
          <w:rFonts w:ascii="Garamond" w:eastAsiaTheme="minorHAnsi" w:hAnsi="Garamond"/>
          <w:color w:val="000000" w:themeColor="text1"/>
          <w:sz w:val="24"/>
          <w:szCs w:val="24"/>
          <w:lang w:val="sq-AL"/>
        </w:rPr>
        <w:t>ë) shumën e fitimeve të akumuluara në fund të vitit financiar përkatës.</w:t>
      </w:r>
    </w:p>
    <w:p w:rsidR="0000314C" w:rsidRPr="0000314C" w:rsidRDefault="0000314C" w:rsidP="0000314C">
      <w:pPr>
        <w:spacing w:after="0" w:line="240" w:lineRule="auto"/>
        <w:rPr>
          <w:rFonts w:ascii="Garamond" w:eastAsiaTheme="minorHAnsi" w:hAnsi="Garamond"/>
          <w:color w:val="000000" w:themeColor="text1"/>
          <w:sz w:val="24"/>
          <w:szCs w:val="24"/>
          <w:lang w:val="sq-AL"/>
        </w:rPr>
      </w:pPr>
      <w:r w:rsidRPr="0000314C">
        <w:rPr>
          <w:rFonts w:ascii="Garamond" w:eastAsiaTheme="minorHAnsi" w:hAnsi="Garamond"/>
          <w:color w:val="000000" w:themeColor="text1"/>
          <w:sz w:val="24"/>
          <w:szCs w:val="24"/>
          <w:lang w:val="sq-AL"/>
        </w:rPr>
        <w:t>Për qëllimet e shkronjës “ç”, të ardhurat përfshijnë edhe transaksionet me palët e lidhura.</w:t>
      </w:r>
    </w:p>
    <w:p w:rsidR="0000314C" w:rsidRPr="0000314C" w:rsidRDefault="0000314C" w:rsidP="0000314C">
      <w:pPr>
        <w:spacing w:after="0" w:line="240" w:lineRule="auto"/>
        <w:rPr>
          <w:rFonts w:ascii="Garamond" w:eastAsiaTheme="minorHAnsi" w:hAnsi="Garamond"/>
          <w:color w:val="000000" w:themeColor="text1"/>
          <w:sz w:val="24"/>
          <w:szCs w:val="24"/>
          <w:lang w:val="sq-AL"/>
        </w:rPr>
      </w:pPr>
      <w:r w:rsidRPr="0000314C">
        <w:rPr>
          <w:rFonts w:ascii="Garamond" w:eastAsiaTheme="minorHAnsi" w:hAnsi="Garamond"/>
          <w:color w:val="000000" w:themeColor="text1"/>
          <w:sz w:val="24"/>
          <w:szCs w:val="24"/>
          <w:lang w:val="sq-AL"/>
        </w:rPr>
        <w:t xml:space="preserve">Për qëllimet e shkronjës “dh” tatimfitimi aktual lidhet vetëm me veprimtaritë e një njësie ekonomike në vitin financiar përkatës dhe nuk përfshin tatimet e shtyra apo provizionet për detyrime tatimore të pasigurta. </w:t>
      </w:r>
    </w:p>
    <w:p w:rsidR="0000314C" w:rsidRPr="0000314C" w:rsidRDefault="0000314C" w:rsidP="0000314C">
      <w:pPr>
        <w:spacing w:after="0" w:line="240" w:lineRule="auto"/>
        <w:rPr>
          <w:rFonts w:ascii="Garamond" w:eastAsiaTheme="minorHAnsi" w:hAnsi="Garamond"/>
          <w:color w:val="000000" w:themeColor="text1"/>
          <w:sz w:val="24"/>
          <w:szCs w:val="24"/>
          <w:lang w:val="sq-AL"/>
        </w:rPr>
      </w:pPr>
      <w:r w:rsidRPr="0000314C">
        <w:rPr>
          <w:rFonts w:ascii="Garamond" w:eastAsiaTheme="minorHAnsi" w:hAnsi="Garamond"/>
          <w:color w:val="000000" w:themeColor="text1"/>
          <w:sz w:val="24"/>
          <w:szCs w:val="24"/>
          <w:lang w:val="sq-AL"/>
        </w:rPr>
        <w:t>Për qëllimet e shkronjës “e” tatimet e paguara përfshijnë edhe tatimet në burim të paguara nga njësitë e tjera në lidhje me pagesat për njësitë dhe degët brenda një grupi.</w:t>
      </w:r>
    </w:p>
    <w:p w:rsidR="0000314C" w:rsidRPr="0000314C" w:rsidRDefault="0000314C" w:rsidP="0000314C">
      <w:pPr>
        <w:spacing w:after="0" w:line="240" w:lineRule="auto"/>
        <w:rPr>
          <w:rFonts w:ascii="Garamond" w:eastAsiaTheme="minorHAnsi" w:hAnsi="Garamond"/>
          <w:color w:val="000000" w:themeColor="text1"/>
          <w:sz w:val="24"/>
          <w:szCs w:val="24"/>
          <w:lang w:val="sq-AL"/>
        </w:rPr>
      </w:pPr>
      <w:r w:rsidRPr="0000314C">
        <w:rPr>
          <w:rFonts w:ascii="Garamond" w:eastAsiaTheme="minorHAnsi" w:hAnsi="Garamond"/>
          <w:color w:val="000000" w:themeColor="text1"/>
          <w:sz w:val="24"/>
          <w:szCs w:val="24"/>
          <w:lang w:val="sq-AL"/>
        </w:rPr>
        <w:t xml:space="preserve">Për qëllimet e shkronjës “ë” fitimet e akumuluara nënkuptojnë shumën e fitimeve nga vitet e mëparshme financiare dhe nga viti financiar përkatës, shpërndarja e të cilave nuk është vendosur ende. Për degët, të ardhurat e akumuluara janë ato të njësisë ekonomike që ka hapur degën. </w:t>
      </w:r>
    </w:p>
    <w:p w:rsidR="0000314C" w:rsidRPr="0000314C" w:rsidRDefault="0000314C" w:rsidP="0000314C">
      <w:pPr>
        <w:spacing w:after="0" w:line="240" w:lineRule="auto"/>
        <w:rPr>
          <w:rFonts w:ascii="Garamond" w:eastAsiaTheme="minorHAnsi" w:hAnsi="Garamond"/>
          <w:color w:val="000000" w:themeColor="text1"/>
          <w:sz w:val="24"/>
          <w:szCs w:val="24"/>
          <w:lang w:val="sq-AL"/>
        </w:rPr>
      </w:pPr>
      <w:r w:rsidRPr="0000314C">
        <w:rPr>
          <w:rFonts w:ascii="Garamond" w:eastAsiaTheme="minorHAnsi" w:hAnsi="Garamond"/>
          <w:color w:val="000000" w:themeColor="text1"/>
          <w:sz w:val="24"/>
          <w:szCs w:val="24"/>
          <w:lang w:val="sq-AL"/>
        </w:rPr>
        <w:t>3. Informacioni i përmendur në pikën 2 të këtij neni paraqitet në përputhje me udhëzimet dhe modelet e raportimit, të përcaktuara me akt nënligjor nga ministri përgjegjës për financat, propozuar nga Këshilli Kombëtar i Kontabilitetit, duke përdorur një model të përbashkët dhe formate elektronike raportimi të lexueshme nga pajisjet.</w:t>
      </w:r>
    </w:p>
    <w:p w:rsidR="0000314C" w:rsidRPr="0000314C" w:rsidRDefault="0000314C" w:rsidP="0000314C">
      <w:pPr>
        <w:spacing w:after="0" w:line="240" w:lineRule="auto"/>
        <w:rPr>
          <w:rFonts w:ascii="Garamond" w:eastAsiaTheme="minorHAnsi" w:hAnsi="Garamond"/>
          <w:color w:val="000000" w:themeColor="text1"/>
          <w:sz w:val="24"/>
          <w:szCs w:val="24"/>
          <w:lang w:val="sq-AL"/>
        </w:rPr>
      </w:pPr>
      <w:r w:rsidRPr="0000314C">
        <w:rPr>
          <w:rFonts w:ascii="Garamond" w:eastAsiaTheme="minorHAnsi" w:hAnsi="Garamond"/>
          <w:color w:val="000000" w:themeColor="text1"/>
          <w:sz w:val="24"/>
          <w:szCs w:val="24"/>
          <w:lang w:val="sq-AL"/>
        </w:rPr>
        <w:t xml:space="preserve">4. Raporti për informacionin e tatimit mbi të ardhurat paraqet informacionin e përcaktuar në këtë nen, veçmas për çdo shtet dhe juridiksion tatimor ku njësia ekonomike operon. Për juridiksionet tatimore të klasifikuara si jobashkëpunuese sipas listave ndërkombëtare të pranuara, si dhe për juridiksionet e identifikuara si në rrezik për qëllime tatimore, informacioni paraqitet gjithmonë veçmas. Për juridiksionet e tjera tatimore informacioni paraqitet në mënyrë të agreguar. Informacioni i atribuohet juridiksionit tatimor përkatës mbi bazën e themelimit, ekzistencës së një selie fikse biznesi ose veprimtarie të përhershme ekonomike që mund t’i nënshtrohet tatimit mbi të ardhurat në atë juridiksion. Kur disa njësi, pjesë të një grupi, i nënshtrohen tatimit mbi të ardhurat në të njëjtin juridiksion tatimor, informacioni paraqitet si shumë e përbashkët. Një veprimtari e caktuar nuk mund t’i atribuohet më shumë se një juridiksioni tatimor. </w:t>
      </w:r>
    </w:p>
    <w:p w:rsidR="0000314C" w:rsidRPr="0000314C" w:rsidRDefault="0000314C" w:rsidP="0000314C">
      <w:pPr>
        <w:spacing w:after="0" w:line="240" w:lineRule="auto"/>
        <w:rPr>
          <w:rFonts w:ascii="Garamond" w:eastAsiaTheme="minorHAnsi" w:hAnsi="Garamond"/>
          <w:color w:val="000000" w:themeColor="text1"/>
          <w:sz w:val="24"/>
          <w:szCs w:val="24"/>
          <w:lang w:val="sq-AL"/>
        </w:rPr>
      </w:pPr>
      <w:r w:rsidRPr="0000314C">
        <w:rPr>
          <w:rFonts w:ascii="Garamond" w:eastAsiaTheme="minorHAnsi" w:hAnsi="Garamond"/>
          <w:color w:val="000000" w:themeColor="text1"/>
          <w:sz w:val="24"/>
          <w:szCs w:val="24"/>
          <w:lang w:val="sq-AL"/>
        </w:rPr>
        <w:t>5. Njësitë ekonomike mund të përjashtojnë përkohësisht nga raporti disa elemente të informacionit, të përcaktuara në pikën 2 të këtij neni, vetëm kur publikimi i tyre do të cenonte në mënyrë të konsiderueshme pozicionin tregtar. Çdo përjashtim duhet të cilësohet qartë në raport dhe të shoqërohet me shpjegim të argumentuar. Informacioni i përjashtuar publikohet brenda një periudhe jo më të gjatë se 5 vjet nga data e përjashtimit. Përjashtimi nuk lejohet për informacionin që lidhet me juridiksionet tatimore të listuara si jobashkëpunuese, sipas listave ndërkombëtare të pranuara.</w:t>
      </w:r>
    </w:p>
    <w:p w:rsidR="0000314C" w:rsidRPr="0000314C" w:rsidRDefault="0000314C" w:rsidP="0000314C">
      <w:pPr>
        <w:spacing w:after="0" w:line="240" w:lineRule="auto"/>
        <w:rPr>
          <w:rFonts w:ascii="Garamond" w:eastAsiaTheme="minorHAnsi" w:hAnsi="Garamond"/>
          <w:color w:val="000000" w:themeColor="text1"/>
          <w:sz w:val="24"/>
          <w:szCs w:val="24"/>
          <w:lang w:val="sq-AL"/>
        </w:rPr>
      </w:pPr>
      <w:r w:rsidRPr="0000314C">
        <w:rPr>
          <w:rFonts w:ascii="Garamond" w:eastAsiaTheme="minorHAnsi" w:hAnsi="Garamond"/>
          <w:color w:val="000000" w:themeColor="text1"/>
          <w:sz w:val="24"/>
          <w:szCs w:val="24"/>
          <w:lang w:val="sq-AL"/>
        </w:rPr>
        <w:t>6. Raporti mund të përfshijë, sipas rastit, në nivel grupi një shpjegim të përgjithshëm mbi çdo mosrakordim material ndërmjet shumave të deklaruara për tatimin e njohur (shkronja “dh” e pikës 2) dhe tatimin e paguar (shkronja “e” e pikës 2), duke marrë në konsideratë edhe shumat për vitet e mëparshme.</w:t>
      </w:r>
    </w:p>
    <w:p w:rsidR="0000314C" w:rsidRPr="0000314C" w:rsidRDefault="0000314C" w:rsidP="0000314C">
      <w:pPr>
        <w:spacing w:after="0" w:line="240" w:lineRule="auto"/>
        <w:rPr>
          <w:rFonts w:ascii="Garamond" w:eastAsiaTheme="minorHAnsi" w:hAnsi="Garamond"/>
          <w:color w:val="000000" w:themeColor="text1"/>
          <w:sz w:val="24"/>
          <w:szCs w:val="24"/>
          <w:lang w:val="sq-AL"/>
        </w:rPr>
      </w:pPr>
      <w:r w:rsidRPr="0000314C">
        <w:rPr>
          <w:rFonts w:ascii="Garamond" w:eastAsiaTheme="minorHAnsi" w:hAnsi="Garamond"/>
          <w:color w:val="000000" w:themeColor="text1"/>
          <w:sz w:val="24"/>
          <w:szCs w:val="24"/>
          <w:lang w:val="sq-AL"/>
        </w:rPr>
        <w:t xml:space="preserve">7. Monedha e përdorur në raport është monedha në të cilën përgatiten pasqyrat financiare të konsoliduara të njësisë ekonomike mëmë në nivelin më të lartë ose pasqyrat financiare të njësisë që nuk </w:t>
      </w:r>
      <w:r w:rsidRPr="0000314C">
        <w:rPr>
          <w:rFonts w:ascii="Garamond" w:eastAsiaTheme="minorHAnsi" w:hAnsi="Garamond"/>
          <w:color w:val="000000" w:themeColor="text1"/>
          <w:sz w:val="24"/>
          <w:szCs w:val="24"/>
          <w:lang w:val="sq-AL"/>
        </w:rPr>
        <w:lastRenderedPageBreak/>
        <w:t>është pjesë e një grupi. Për rastet e degëve të përmendura në nenin përkatës të këtij ligji monedha raportuese është ajo e pasqyrave financiare të degës.</w:t>
      </w:r>
    </w:p>
    <w:p w:rsidR="0000314C" w:rsidRPr="0000314C" w:rsidRDefault="0000314C" w:rsidP="0000314C">
      <w:pPr>
        <w:spacing w:after="0" w:line="240" w:lineRule="auto"/>
        <w:rPr>
          <w:rFonts w:ascii="Garamond" w:eastAsiaTheme="minorHAnsi" w:hAnsi="Garamond"/>
          <w:color w:val="000000" w:themeColor="text1"/>
          <w:sz w:val="24"/>
          <w:szCs w:val="24"/>
          <w:lang w:val="sq-AL"/>
        </w:rPr>
      </w:pPr>
      <w:r w:rsidRPr="0000314C">
        <w:rPr>
          <w:rFonts w:ascii="Garamond" w:eastAsiaTheme="minorHAnsi" w:hAnsi="Garamond"/>
          <w:color w:val="000000" w:themeColor="text1"/>
          <w:sz w:val="24"/>
          <w:szCs w:val="24"/>
          <w:lang w:val="sq-AL"/>
        </w:rPr>
        <w:t>Për qëllime të zbatimit të pragjeve të raportimit të përcaktuara në këtë ligj, kur pasqyrat financiare përgatiten në një monedhë tjetër nga monedha raportuese, pragjet përkatëse konvertohen në monedhën raportuese të vendit tjetër sipas kursit të këmbimit të zbatueshëm në përputhje me kuadrin përkatës të raportimit. Asnjë ndërmarrje, degë apo subjekt raportues nuk mund të detyrohet ta publikojë raportin në një monedhë tjetër nga ajo e përcaktuar sipas këtij neni.</w:t>
      </w:r>
    </w:p>
    <w:p w:rsidR="0000314C" w:rsidRPr="0000314C" w:rsidRDefault="0000314C" w:rsidP="0000314C">
      <w:pPr>
        <w:spacing w:after="0" w:line="240" w:lineRule="auto"/>
        <w:rPr>
          <w:rFonts w:ascii="Garamond" w:eastAsiaTheme="minorHAnsi" w:hAnsi="Garamond"/>
          <w:color w:val="000000" w:themeColor="text1"/>
          <w:sz w:val="24"/>
          <w:szCs w:val="24"/>
          <w:lang w:val="sq-AL"/>
        </w:rPr>
      </w:pPr>
      <w:r w:rsidRPr="0000314C">
        <w:rPr>
          <w:rFonts w:ascii="Garamond" w:eastAsiaTheme="minorHAnsi" w:hAnsi="Garamond"/>
          <w:color w:val="000000" w:themeColor="text1"/>
          <w:sz w:val="24"/>
          <w:szCs w:val="24"/>
          <w:lang w:val="sq-AL"/>
        </w:rPr>
        <w:t>8. Në raport cilësohet qartë nëse ai është përgatitur në përputhje me pikën 2 të këtij neni.</w:t>
      </w:r>
    </w:p>
    <w:p w:rsidR="0000314C" w:rsidRPr="0000314C" w:rsidRDefault="0000314C" w:rsidP="0000314C">
      <w:pPr>
        <w:spacing w:after="0" w:line="240" w:lineRule="auto"/>
        <w:rPr>
          <w:rFonts w:ascii="Garamond" w:eastAsiaTheme="minorHAnsi" w:hAnsi="Garamond"/>
          <w:color w:val="000000" w:themeColor="text1"/>
          <w:sz w:val="24"/>
          <w:szCs w:val="24"/>
          <w:lang w:val="sq-AL"/>
        </w:rPr>
      </w:pPr>
    </w:p>
    <w:p w:rsidR="0000314C" w:rsidRPr="0000314C" w:rsidRDefault="0000314C" w:rsidP="0000314C">
      <w:pPr>
        <w:spacing w:after="0" w:line="240" w:lineRule="auto"/>
        <w:jc w:val="center"/>
        <w:rPr>
          <w:rFonts w:ascii="Garamond" w:eastAsiaTheme="minorHAnsi" w:hAnsi="Garamond"/>
          <w:color w:val="000000" w:themeColor="text1"/>
          <w:sz w:val="24"/>
          <w:szCs w:val="24"/>
          <w:lang w:val="sq-AL"/>
        </w:rPr>
      </w:pPr>
      <w:r w:rsidRPr="0000314C">
        <w:rPr>
          <w:rFonts w:ascii="Garamond" w:eastAsiaTheme="minorHAnsi" w:hAnsi="Garamond"/>
          <w:color w:val="000000" w:themeColor="text1"/>
          <w:sz w:val="24"/>
          <w:szCs w:val="24"/>
          <w:lang w:val="sq-AL"/>
        </w:rPr>
        <w:t>Neni 23/3</w:t>
      </w:r>
    </w:p>
    <w:p w:rsidR="0000314C" w:rsidRPr="0000314C" w:rsidRDefault="0000314C" w:rsidP="0000314C">
      <w:pPr>
        <w:spacing w:after="0" w:line="240" w:lineRule="auto"/>
        <w:jc w:val="center"/>
        <w:rPr>
          <w:rFonts w:ascii="Garamond" w:eastAsiaTheme="minorHAnsi" w:hAnsi="Garamond"/>
          <w:b/>
          <w:bCs/>
          <w:color w:val="000000" w:themeColor="text1"/>
          <w:sz w:val="24"/>
          <w:szCs w:val="24"/>
          <w:lang w:val="sq-AL"/>
        </w:rPr>
      </w:pPr>
      <w:r w:rsidRPr="0000314C">
        <w:rPr>
          <w:rFonts w:ascii="Garamond" w:eastAsiaTheme="minorHAnsi" w:hAnsi="Garamond"/>
          <w:b/>
          <w:bCs/>
          <w:color w:val="000000" w:themeColor="text1"/>
          <w:sz w:val="24"/>
          <w:szCs w:val="24"/>
          <w:lang w:val="sq-AL"/>
        </w:rPr>
        <w:t>Publikimi dhe aksesueshmëria e raportit për informacionin e tatimit mbi të ardhurat</w:t>
      </w:r>
    </w:p>
    <w:p w:rsidR="0000314C" w:rsidRPr="0000314C" w:rsidRDefault="0000314C" w:rsidP="0000314C">
      <w:pPr>
        <w:spacing w:after="0" w:line="240" w:lineRule="auto"/>
        <w:rPr>
          <w:rFonts w:ascii="Garamond" w:eastAsiaTheme="minorHAnsi" w:hAnsi="Garamond"/>
          <w:b/>
          <w:bCs/>
          <w:color w:val="000000" w:themeColor="text1"/>
          <w:sz w:val="24"/>
          <w:szCs w:val="24"/>
          <w:lang w:val="sq-AL"/>
        </w:rPr>
      </w:pPr>
    </w:p>
    <w:p w:rsidR="0000314C" w:rsidRPr="0000314C" w:rsidRDefault="0000314C" w:rsidP="0000314C">
      <w:pPr>
        <w:spacing w:after="0" w:line="240" w:lineRule="auto"/>
        <w:rPr>
          <w:rFonts w:ascii="Garamond" w:eastAsiaTheme="minorHAnsi" w:hAnsi="Garamond"/>
          <w:color w:val="000000" w:themeColor="text1"/>
          <w:sz w:val="24"/>
          <w:szCs w:val="24"/>
          <w:lang w:val="sq-AL"/>
        </w:rPr>
      </w:pPr>
      <w:r w:rsidRPr="0000314C">
        <w:rPr>
          <w:rFonts w:ascii="Garamond" w:eastAsiaTheme="minorHAnsi" w:hAnsi="Garamond"/>
          <w:color w:val="000000" w:themeColor="text1"/>
          <w:sz w:val="24"/>
          <w:szCs w:val="24"/>
          <w:lang w:val="sq-AL"/>
        </w:rPr>
        <w:t>1. Raporti për informacionin e tatimit mbi të ardhurat dhe, sipas rastit, pasqyrat financiare të parashikuara në nenin 23/1 të këtij ligji publikohen dhe depozitohen pranë autoritetit përkatës ku janë regjistruar brenda 12 muajve nga data e raportimit të periudhës për të cilin janë përgatitur.</w:t>
      </w:r>
    </w:p>
    <w:p w:rsidR="0000314C" w:rsidRPr="0000314C" w:rsidRDefault="0000314C" w:rsidP="0000314C">
      <w:pPr>
        <w:spacing w:after="0" w:line="240" w:lineRule="auto"/>
        <w:rPr>
          <w:rFonts w:ascii="Garamond" w:eastAsiaTheme="minorHAnsi" w:hAnsi="Garamond"/>
          <w:color w:val="000000" w:themeColor="text1"/>
          <w:sz w:val="24"/>
          <w:szCs w:val="24"/>
          <w:lang w:val="sq-AL"/>
        </w:rPr>
      </w:pPr>
      <w:r w:rsidRPr="0000314C">
        <w:rPr>
          <w:rFonts w:ascii="Garamond" w:eastAsiaTheme="minorHAnsi" w:hAnsi="Garamond"/>
          <w:color w:val="000000" w:themeColor="text1"/>
          <w:sz w:val="24"/>
          <w:szCs w:val="24"/>
          <w:lang w:val="sq-AL"/>
        </w:rPr>
        <w:t xml:space="preserve">2. </w:t>
      </w:r>
      <w:r w:rsidRPr="0000314C">
        <w:rPr>
          <w:rFonts w:ascii="Garamond" w:eastAsia="Times New Roman" w:hAnsi="Garamond"/>
          <w:color w:val="000000" w:themeColor="text1"/>
          <w:sz w:val="24"/>
          <w:szCs w:val="24"/>
          <w:lang w:val="sq-AL"/>
        </w:rPr>
        <w:t>Raporti dhe pasqyrat financiare bëhen të aksesueshme për publikun falas në gjuhën shqipe dhe të paktën në një nga gjuhët zyrtare të Bashkimit Evropian, në faqen e internetit të njësisë ekonomike ose të degës përkatëse.</w:t>
      </w:r>
    </w:p>
    <w:p w:rsidR="0000314C" w:rsidRPr="0000314C" w:rsidRDefault="0000314C" w:rsidP="0000314C">
      <w:pPr>
        <w:spacing w:after="0" w:line="240" w:lineRule="auto"/>
        <w:rPr>
          <w:rFonts w:ascii="Garamond" w:eastAsiaTheme="minorHAnsi" w:hAnsi="Garamond"/>
          <w:color w:val="000000" w:themeColor="text1"/>
          <w:sz w:val="24"/>
          <w:szCs w:val="24"/>
          <w:lang w:val="sq-AL"/>
        </w:rPr>
      </w:pPr>
      <w:r w:rsidRPr="0000314C">
        <w:rPr>
          <w:rFonts w:ascii="Garamond" w:eastAsiaTheme="minorHAnsi" w:hAnsi="Garamond"/>
          <w:color w:val="000000" w:themeColor="text1"/>
          <w:sz w:val="24"/>
          <w:szCs w:val="24"/>
          <w:lang w:val="sq-AL"/>
        </w:rPr>
        <w:t>3. Përjashtimisht, detyrimi i parashikuar në pikën 2 të këtij neni nuk zbatohet kur raporti dhe pasqyrat financiare janë të aksesueshme publikisht dhe falas në faqen elektronike të autoritetit përkatës ku njësia ekonomike është e regjistruar.</w:t>
      </w:r>
    </w:p>
    <w:p w:rsidR="0000314C" w:rsidRPr="0000314C" w:rsidRDefault="0000314C" w:rsidP="0000314C">
      <w:pPr>
        <w:spacing w:after="0" w:line="240" w:lineRule="auto"/>
        <w:rPr>
          <w:rFonts w:ascii="Garamond" w:eastAsiaTheme="minorHAnsi" w:hAnsi="Garamond"/>
          <w:color w:val="000000" w:themeColor="text1"/>
          <w:sz w:val="24"/>
          <w:szCs w:val="24"/>
          <w:lang w:val="sq-AL"/>
        </w:rPr>
      </w:pPr>
    </w:p>
    <w:p w:rsidR="0000314C" w:rsidRPr="0000314C" w:rsidRDefault="0000314C" w:rsidP="0000314C">
      <w:pPr>
        <w:spacing w:after="0" w:line="240" w:lineRule="auto"/>
        <w:jc w:val="center"/>
        <w:rPr>
          <w:rFonts w:ascii="Garamond" w:eastAsiaTheme="minorHAnsi" w:hAnsi="Garamond"/>
          <w:color w:val="000000" w:themeColor="text1"/>
          <w:sz w:val="24"/>
          <w:szCs w:val="24"/>
          <w:lang w:val="sq-AL"/>
        </w:rPr>
      </w:pPr>
      <w:r w:rsidRPr="0000314C">
        <w:rPr>
          <w:rFonts w:ascii="Garamond" w:eastAsiaTheme="minorHAnsi" w:hAnsi="Garamond"/>
          <w:color w:val="000000" w:themeColor="text1"/>
          <w:sz w:val="24"/>
          <w:szCs w:val="24"/>
          <w:lang w:val="sq-AL"/>
        </w:rPr>
        <w:t>Neni 23/4</w:t>
      </w:r>
    </w:p>
    <w:p w:rsidR="0000314C" w:rsidRPr="0000314C" w:rsidRDefault="0000314C" w:rsidP="0000314C">
      <w:pPr>
        <w:spacing w:after="0" w:line="240" w:lineRule="auto"/>
        <w:jc w:val="center"/>
        <w:rPr>
          <w:rFonts w:ascii="Garamond" w:eastAsiaTheme="minorHAnsi" w:hAnsi="Garamond"/>
          <w:b/>
          <w:bCs/>
          <w:color w:val="000000" w:themeColor="text1"/>
          <w:sz w:val="24"/>
          <w:szCs w:val="24"/>
          <w:lang w:val="sq-AL"/>
        </w:rPr>
      </w:pPr>
      <w:r w:rsidRPr="0000314C">
        <w:rPr>
          <w:rFonts w:ascii="Garamond" w:eastAsiaTheme="minorHAnsi" w:hAnsi="Garamond"/>
          <w:b/>
          <w:bCs/>
          <w:color w:val="000000" w:themeColor="text1"/>
          <w:sz w:val="24"/>
          <w:szCs w:val="24"/>
          <w:lang w:val="sq-AL"/>
        </w:rPr>
        <w:t>Përgjegjësia për hartimin dhe publikimin e raportit për informacionin e tatimit mbi të ardhurat</w:t>
      </w:r>
    </w:p>
    <w:p w:rsidR="0000314C" w:rsidRPr="0000314C" w:rsidRDefault="0000314C" w:rsidP="0000314C">
      <w:pPr>
        <w:spacing w:after="0" w:line="240" w:lineRule="auto"/>
        <w:rPr>
          <w:rFonts w:ascii="Garamond" w:eastAsiaTheme="minorHAnsi" w:hAnsi="Garamond"/>
          <w:color w:val="000000" w:themeColor="text1"/>
          <w:sz w:val="24"/>
          <w:szCs w:val="24"/>
          <w:lang w:val="sq-AL"/>
        </w:rPr>
      </w:pPr>
    </w:p>
    <w:p w:rsidR="0000314C" w:rsidRPr="0000314C" w:rsidRDefault="0000314C" w:rsidP="0000314C">
      <w:pPr>
        <w:spacing w:after="0" w:line="240" w:lineRule="auto"/>
        <w:rPr>
          <w:rFonts w:ascii="Garamond" w:eastAsiaTheme="minorHAnsi" w:hAnsi="Garamond"/>
          <w:color w:val="000000" w:themeColor="text1"/>
          <w:sz w:val="24"/>
          <w:szCs w:val="24"/>
          <w:lang w:val="sq-AL"/>
        </w:rPr>
      </w:pPr>
      <w:r w:rsidRPr="0000314C">
        <w:rPr>
          <w:rFonts w:ascii="Garamond" w:eastAsiaTheme="minorHAnsi" w:hAnsi="Garamond"/>
          <w:color w:val="000000" w:themeColor="text1"/>
          <w:sz w:val="24"/>
          <w:szCs w:val="24"/>
          <w:lang w:val="sq-AL"/>
        </w:rPr>
        <w:t>1. Anëtarët e organeve ekzekutive, drejtuese dhe mbikëqyrëse të njësive ekonomike mëmë në nivelin më të lartë ose të njësive ekonomike që nuk janë pjesë të grupit, të përmendura në nenin 23/1 të këtij ligji, duke vepruar brenda kompetencave të tyre, sipas legjislacionit shqiptar, kanë përgjegjësi solidare për të garantuar që raporti për informacionin e tatimit mbi të ardhurat të hartohet, të publikohet dhe të bëhet i aksesueshëm, në përputhje me nenet 23/1, 23/2 dhe 23/3 të këtij ligji.</w:t>
      </w:r>
    </w:p>
    <w:p w:rsidR="0000314C" w:rsidRPr="0000314C" w:rsidRDefault="0000314C" w:rsidP="0000314C">
      <w:pPr>
        <w:spacing w:after="0" w:line="240" w:lineRule="auto"/>
        <w:rPr>
          <w:rFonts w:ascii="Garamond" w:eastAsiaTheme="minorHAnsi" w:hAnsi="Garamond"/>
          <w:color w:val="000000" w:themeColor="text1"/>
          <w:sz w:val="24"/>
          <w:szCs w:val="24"/>
          <w:lang w:val="sq-AL"/>
        </w:rPr>
      </w:pPr>
      <w:r w:rsidRPr="0000314C">
        <w:rPr>
          <w:rFonts w:ascii="Garamond" w:eastAsiaTheme="minorHAnsi" w:hAnsi="Garamond"/>
          <w:color w:val="000000" w:themeColor="text1"/>
          <w:sz w:val="24"/>
          <w:szCs w:val="24"/>
          <w:lang w:val="sq-AL"/>
        </w:rPr>
        <w:t>2. Anëtarët e organeve ekzekutive, drejtuese dhe mbikëqyrëse të njësive ekonomike të kontrolluara, të përmendura në pikën 5 të nenit 23/1 të këtij ligji, si dhe personat e autorizuar për formalitetet e deklarimit të degëve, të përmendura në pikën 6 të nenit 23/1 të këtij ligji, kanë përgjegjësi solidare, sipas dijenisë dhe kapaciteteve të tyre maksimale, që raporti për informacionin e tatimit mbi të ardhurat të hartohet në përputhje me nenet 23/1 dhe 23/2 të këtij ligji dhe të publikohet e të bëhet i aksesueshëm në përputhje me nenin 23/3 të këtij ligji.</w:t>
      </w:r>
    </w:p>
    <w:p w:rsidR="0000314C" w:rsidRPr="00993C76" w:rsidRDefault="0000314C" w:rsidP="00DF6666">
      <w:pPr>
        <w:pStyle w:val="NeniNr"/>
        <w:keepNext w:val="0"/>
        <w:rPr>
          <w:szCs w:val="24"/>
          <w:lang w:val="sq-AL"/>
        </w:rPr>
      </w:pPr>
    </w:p>
    <w:p w:rsidR="00DF6666" w:rsidRPr="00993C76" w:rsidRDefault="00DF6666" w:rsidP="00DF6666">
      <w:pPr>
        <w:pStyle w:val="NeniNr"/>
        <w:keepNext w:val="0"/>
        <w:rPr>
          <w:szCs w:val="24"/>
          <w:lang w:val="sq-AL"/>
        </w:rPr>
      </w:pPr>
      <w:r w:rsidRPr="00993C76">
        <w:rPr>
          <w:szCs w:val="24"/>
          <w:lang w:val="sq-AL"/>
        </w:rPr>
        <w:t>KREU IV</w:t>
      </w:r>
    </w:p>
    <w:p w:rsidR="00DF6666" w:rsidRPr="00993C76" w:rsidRDefault="00DF6666" w:rsidP="00DF6666">
      <w:pPr>
        <w:pStyle w:val="NeniNr"/>
        <w:keepNext w:val="0"/>
        <w:rPr>
          <w:szCs w:val="24"/>
          <w:lang w:val="sq-AL"/>
        </w:rPr>
      </w:pPr>
      <w:r w:rsidRPr="00993C76">
        <w:rPr>
          <w:szCs w:val="24"/>
          <w:lang w:val="sq-AL"/>
        </w:rPr>
        <w:t>KËSHILLI KOMBËTAR I KONTABILITETIT</w:t>
      </w:r>
    </w:p>
    <w:p w:rsidR="00DF6666" w:rsidRPr="00993C76" w:rsidRDefault="00DF6666" w:rsidP="00DF6666">
      <w:pPr>
        <w:pStyle w:val="NeniNr"/>
        <w:keepNext w:val="0"/>
        <w:rPr>
          <w:szCs w:val="24"/>
          <w:lang w:val="sq-AL"/>
        </w:rPr>
      </w:pPr>
    </w:p>
    <w:p w:rsidR="00DF6666" w:rsidRPr="00993C76" w:rsidRDefault="00DF6666" w:rsidP="00DF6666">
      <w:pPr>
        <w:pStyle w:val="NeniNr"/>
        <w:keepNext w:val="0"/>
        <w:rPr>
          <w:szCs w:val="24"/>
          <w:lang w:val="sq-AL"/>
        </w:rPr>
      </w:pPr>
      <w:r w:rsidRPr="00993C76">
        <w:rPr>
          <w:szCs w:val="24"/>
          <w:lang w:val="sq-AL"/>
        </w:rPr>
        <w:t>Neni 24</w:t>
      </w:r>
    </w:p>
    <w:p w:rsidR="00DF6666" w:rsidRPr="00993C76" w:rsidRDefault="00DF6666" w:rsidP="00DF6666">
      <w:pPr>
        <w:pStyle w:val="NeniNr"/>
        <w:keepNext w:val="0"/>
        <w:rPr>
          <w:b/>
          <w:szCs w:val="24"/>
          <w:lang w:val="sq-AL"/>
        </w:rPr>
      </w:pPr>
      <w:r w:rsidRPr="00993C76">
        <w:rPr>
          <w:b/>
          <w:szCs w:val="24"/>
          <w:lang w:val="sq-AL"/>
        </w:rPr>
        <w:t xml:space="preserve"> Statusi dhe detyrat</w:t>
      </w:r>
    </w:p>
    <w:p w:rsidR="0000314C" w:rsidRPr="00993C76" w:rsidRDefault="0000314C" w:rsidP="0000314C">
      <w:pPr>
        <w:widowControl w:val="0"/>
        <w:spacing w:after="0" w:line="240" w:lineRule="auto"/>
        <w:ind w:firstLine="720"/>
        <w:jc w:val="center"/>
        <w:rPr>
          <w:rFonts w:ascii="Garamond" w:eastAsia="Times New Roman" w:hAnsi="Garamond"/>
          <w:i/>
          <w:sz w:val="24"/>
          <w:szCs w:val="24"/>
        </w:rPr>
      </w:pPr>
      <w:bookmarkStart w:id="6" w:name="_Hlk237947776"/>
      <w:r w:rsidRPr="00993C76">
        <w:rPr>
          <w:rFonts w:ascii="Garamond" w:eastAsia="Times New Roman" w:hAnsi="Garamond"/>
          <w:i/>
          <w:sz w:val="24"/>
          <w:szCs w:val="24"/>
        </w:rPr>
        <w:t>(</w:t>
      </w:r>
      <w:r w:rsidRPr="00993C76">
        <w:rPr>
          <w:rFonts w:ascii="Garamond" w:eastAsia="Times New Roman" w:hAnsi="Garamond"/>
          <w:i/>
          <w:sz w:val="24"/>
          <w:szCs w:val="24"/>
        </w:rPr>
        <w:t>Ndryshuar togfjal</w:t>
      </w:r>
      <w:r w:rsidR="00993C76">
        <w:rPr>
          <w:rFonts w:ascii="Garamond" w:eastAsia="Times New Roman" w:hAnsi="Garamond"/>
          <w:i/>
          <w:sz w:val="24"/>
          <w:szCs w:val="24"/>
        </w:rPr>
        <w:t>ë</w:t>
      </w:r>
      <w:r w:rsidRPr="00993C76">
        <w:rPr>
          <w:rFonts w:ascii="Garamond" w:eastAsia="Times New Roman" w:hAnsi="Garamond"/>
          <w:i/>
          <w:sz w:val="24"/>
          <w:szCs w:val="24"/>
        </w:rPr>
        <w:t>sh n</w:t>
      </w:r>
      <w:r w:rsidR="00993C76">
        <w:rPr>
          <w:rFonts w:ascii="Garamond" w:eastAsia="Times New Roman" w:hAnsi="Garamond"/>
          <w:i/>
          <w:sz w:val="24"/>
          <w:szCs w:val="24"/>
        </w:rPr>
        <w:t>ë</w:t>
      </w:r>
      <w:r w:rsidRPr="00993C76">
        <w:rPr>
          <w:rFonts w:ascii="Garamond" w:eastAsia="Times New Roman" w:hAnsi="Garamond"/>
          <w:i/>
          <w:sz w:val="24"/>
          <w:szCs w:val="24"/>
        </w:rPr>
        <w:t xml:space="preserve"> shkronj</w:t>
      </w:r>
      <w:r w:rsidR="00993C76">
        <w:rPr>
          <w:rFonts w:ascii="Garamond" w:eastAsia="Times New Roman" w:hAnsi="Garamond"/>
          <w:i/>
          <w:sz w:val="24"/>
          <w:szCs w:val="24"/>
        </w:rPr>
        <w:t>ë</w:t>
      </w:r>
      <w:r w:rsidRPr="00993C76">
        <w:rPr>
          <w:rFonts w:ascii="Garamond" w:eastAsia="Times New Roman" w:hAnsi="Garamond"/>
          <w:i/>
          <w:sz w:val="24"/>
          <w:szCs w:val="24"/>
        </w:rPr>
        <w:t>n “a”</w:t>
      </w:r>
      <w:r w:rsidR="00864FBA" w:rsidRPr="00993C76">
        <w:rPr>
          <w:rFonts w:ascii="Garamond" w:eastAsia="Times New Roman" w:hAnsi="Garamond"/>
          <w:i/>
          <w:sz w:val="24"/>
          <w:szCs w:val="24"/>
        </w:rPr>
        <w:t xml:space="preserve"> dhe “f”</w:t>
      </w:r>
      <w:r w:rsidRPr="00993C76">
        <w:rPr>
          <w:rFonts w:ascii="Garamond" w:eastAsia="Times New Roman" w:hAnsi="Garamond"/>
          <w:i/>
          <w:sz w:val="24"/>
          <w:szCs w:val="24"/>
        </w:rPr>
        <w:t>, fjalia e par</w:t>
      </w:r>
      <w:r w:rsidR="00993C76">
        <w:rPr>
          <w:rFonts w:ascii="Garamond" w:eastAsia="Times New Roman" w:hAnsi="Garamond"/>
          <w:i/>
          <w:sz w:val="24"/>
          <w:szCs w:val="24"/>
        </w:rPr>
        <w:t>ë</w:t>
      </w:r>
      <w:r w:rsidRPr="00993C76">
        <w:rPr>
          <w:rFonts w:ascii="Garamond" w:eastAsia="Times New Roman" w:hAnsi="Garamond"/>
          <w:i/>
          <w:sz w:val="24"/>
          <w:szCs w:val="24"/>
        </w:rPr>
        <w:t xml:space="preserve"> </w:t>
      </w:r>
      <w:r w:rsidR="00864FBA" w:rsidRPr="00993C76">
        <w:rPr>
          <w:rFonts w:ascii="Garamond" w:eastAsia="Times New Roman" w:hAnsi="Garamond"/>
          <w:i/>
          <w:sz w:val="24"/>
          <w:szCs w:val="24"/>
        </w:rPr>
        <w:t>n</w:t>
      </w:r>
      <w:r w:rsidR="00993C76">
        <w:rPr>
          <w:rFonts w:ascii="Garamond" w:eastAsia="Times New Roman" w:hAnsi="Garamond"/>
          <w:i/>
          <w:sz w:val="24"/>
          <w:szCs w:val="24"/>
        </w:rPr>
        <w:t>ë</w:t>
      </w:r>
      <w:r w:rsidR="00864FBA" w:rsidRPr="00993C76">
        <w:rPr>
          <w:rFonts w:ascii="Garamond" w:eastAsia="Times New Roman" w:hAnsi="Garamond"/>
          <w:i/>
          <w:sz w:val="24"/>
          <w:szCs w:val="24"/>
        </w:rPr>
        <w:t xml:space="preserve"> </w:t>
      </w:r>
      <w:r w:rsidRPr="00993C76">
        <w:rPr>
          <w:rFonts w:ascii="Garamond" w:eastAsia="Times New Roman" w:hAnsi="Garamond"/>
          <w:i/>
          <w:sz w:val="24"/>
          <w:szCs w:val="24"/>
        </w:rPr>
        <w:t>shkronj</w:t>
      </w:r>
      <w:r w:rsidR="00993C76">
        <w:rPr>
          <w:rFonts w:ascii="Garamond" w:eastAsia="Times New Roman" w:hAnsi="Garamond"/>
          <w:i/>
          <w:sz w:val="24"/>
          <w:szCs w:val="24"/>
        </w:rPr>
        <w:t>ë</w:t>
      </w:r>
      <w:r w:rsidR="00864FBA" w:rsidRPr="00993C76">
        <w:rPr>
          <w:rFonts w:ascii="Garamond" w:eastAsia="Times New Roman" w:hAnsi="Garamond"/>
          <w:i/>
          <w:sz w:val="24"/>
          <w:szCs w:val="24"/>
        </w:rPr>
        <w:t>n</w:t>
      </w:r>
      <w:r w:rsidRPr="00993C76">
        <w:rPr>
          <w:rFonts w:ascii="Garamond" w:eastAsia="Times New Roman" w:hAnsi="Garamond"/>
          <w:i/>
          <w:sz w:val="24"/>
          <w:szCs w:val="24"/>
        </w:rPr>
        <w:t xml:space="preserve"> “</w:t>
      </w:r>
      <w:r w:rsidR="00864FBA" w:rsidRPr="00993C76">
        <w:rPr>
          <w:rFonts w:ascii="Garamond" w:eastAsia="Times New Roman" w:hAnsi="Garamond"/>
          <w:i/>
          <w:sz w:val="24"/>
          <w:szCs w:val="24"/>
        </w:rPr>
        <w:t>e</w:t>
      </w:r>
      <w:r w:rsidRPr="00993C76">
        <w:rPr>
          <w:rFonts w:ascii="Garamond" w:eastAsia="Times New Roman" w:hAnsi="Garamond"/>
          <w:i/>
          <w:sz w:val="24"/>
          <w:szCs w:val="24"/>
        </w:rPr>
        <w:t xml:space="preserve">” </w:t>
      </w:r>
      <w:r w:rsidRPr="00993C76">
        <w:rPr>
          <w:rFonts w:ascii="Garamond" w:eastAsia="Times New Roman" w:hAnsi="Garamond"/>
          <w:i/>
          <w:sz w:val="24"/>
          <w:szCs w:val="24"/>
        </w:rPr>
        <w:t>t</w:t>
      </w:r>
      <w:r w:rsidR="00993C76">
        <w:rPr>
          <w:rFonts w:ascii="Garamond" w:eastAsia="Times New Roman" w:hAnsi="Garamond"/>
          <w:i/>
          <w:sz w:val="24"/>
          <w:szCs w:val="24"/>
        </w:rPr>
        <w:t>ë</w:t>
      </w:r>
      <w:r w:rsidRPr="00993C76">
        <w:rPr>
          <w:rFonts w:ascii="Garamond" w:eastAsia="Times New Roman" w:hAnsi="Garamond"/>
          <w:i/>
          <w:sz w:val="24"/>
          <w:szCs w:val="24"/>
        </w:rPr>
        <w:t xml:space="preserve"> pik</w:t>
      </w:r>
      <w:r w:rsidR="00993C76">
        <w:rPr>
          <w:rFonts w:ascii="Garamond" w:eastAsia="Times New Roman" w:hAnsi="Garamond"/>
          <w:i/>
          <w:sz w:val="24"/>
          <w:szCs w:val="24"/>
        </w:rPr>
        <w:t>ë</w:t>
      </w:r>
      <w:r w:rsidRPr="00993C76">
        <w:rPr>
          <w:rFonts w:ascii="Garamond" w:eastAsia="Times New Roman" w:hAnsi="Garamond"/>
          <w:i/>
          <w:sz w:val="24"/>
          <w:szCs w:val="24"/>
        </w:rPr>
        <w:t>s 1</w:t>
      </w:r>
      <w:r w:rsidR="00864FBA" w:rsidRPr="00993C76">
        <w:rPr>
          <w:rFonts w:ascii="Garamond" w:eastAsia="Times New Roman" w:hAnsi="Garamond"/>
          <w:i/>
          <w:sz w:val="24"/>
          <w:szCs w:val="24"/>
        </w:rPr>
        <w:t xml:space="preserve"> dhe shkronja “g” </w:t>
      </w:r>
      <w:r w:rsidRPr="00993C76">
        <w:rPr>
          <w:rFonts w:ascii="Garamond" w:eastAsia="Times New Roman" w:hAnsi="Garamond"/>
          <w:i/>
          <w:sz w:val="24"/>
          <w:szCs w:val="24"/>
        </w:rPr>
        <w:t>me ligjin nr. 87/2026, datë 16.7.2026)</w:t>
      </w:r>
    </w:p>
    <w:bookmarkEnd w:id="6"/>
    <w:p w:rsidR="00DF6666" w:rsidRPr="00993C76" w:rsidRDefault="00DF6666" w:rsidP="00DF6666">
      <w:pPr>
        <w:pStyle w:val="NeniNr"/>
        <w:keepNext w:val="0"/>
        <w:rPr>
          <w:b/>
          <w:szCs w:val="24"/>
          <w:lang w:val="sq-AL"/>
        </w:rPr>
      </w:pPr>
    </w:p>
    <w:p w:rsidR="00DF6666" w:rsidRPr="00993C76" w:rsidRDefault="00DF6666" w:rsidP="00DF6666">
      <w:pPr>
        <w:widowControl w:val="0"/>
        <w:spacing w:after="0" w:line="240" w:lineRule="auto"/>
        <w:rPr>
          <w:rFonts w:ascii="Garamond" w:hAnsi="Garamond"/>
          <w:sz w:val="24"/>
          <w:szCs w:val="24"/>
          <w:lang w:val="sq-AL"/>
        </w:rPr>
      </w:pPr>
      <w:r w:rsidRPr="00993C76">
        <w:rPr>
          <w:rFonts w:ascii="Garamond" w:hAnsi="Garamond"/>
          <w:sz w:val="24"/>
          <w:szCs w:val="24"/>
          <w:lang w:val="sq-AL"/>
        </w:rPr>
        <w:t>1. Këshilli Kombëtar i Kontabilitetit është organizëm profesional publik i pavarur dhe gëzon personalitet juridik.</w:t>
      </w:r>
    </w:p>
    <w:p w:rsidR="00DF6666" w:rsidRPr="00993C76" w:rsidRDefault="00DF6666" w:rsidP="00DF6666">
      <w:pPr>
        <w:widowControl w:val="0"/>
        <w:spacing w:after="0" w:line="240" w:lineRule="auto"/>
        <w:rPr>
          <w:rFonts w:ascii="Garamond" w:hAnsi="Garamond"/>
          <w:sz w:val="24"/>
          <w:szCs w:val="24"/>
          <w:lang w:val="sq-AL"/>
        </w:rPr>
      </w:pPr>
      <w:r w:rsidRPr="00993C76">
        <w:rPr>
          <w:rFonts w:ascii="Garamond" w:hAnsi="Garamond"/>
          <w:sz w:val="24"/>
          <w:szCs w:val="24"/>
          <w:lang w:val="sq-AL"/>
        </w:rPr>
        <w:t>2. Këshilli Kombëtar i Kontabilitetit ka për detyrë:</w:t>
      </w:r>
    </w:p>
    <w:p w:rsidR="00DF6666" w:rsidRPr="00993C76" w:rsidRDefault="00DF6666" w:rsidP="00DF6666">
      <w:pPr>
        <w:widowControl w:val="0"/>
        <w:spacing w:after="0" w:line="240" w:lineRule="auto"/>
        <w:contextualSpacing/>
        <w:rPr>
          <w:rFonts w:ascii="Garamond" w:hAnsi="Garamond"/>
          <w:sz w:val="24"/>
          <w:szCs w:val="24"/>
          <w:lang w:val="sq-AL"/>
        </w:rPr>
      </w:pPr>
      <w:r w:rsidRPr="00993C76">
        <w:rPr>
          <w:rFonts w:ascii="Garamond" w:hAnsi="Garamond"/>
          <w:sz w:val="24"/>
          <w:szCs w:val="24"/>
          <w:lang w:val="sq-AL"/>
        </w:rPr>
        <w:t xml:space="preserve">a) të hartojë standardet kontabël kombëtare, në përputhje me kërkesat e këtij ligji dhe në koherencë me </w:t>
      </w:r>
      <w:r w:rsidR="0000314C" w:rsidRPr="00993C76">
        <w:rPr>
          <w:rFonts w:ascii="Garamond" w:hAnsi="Garamond"/>
          <w:color w:val="000000" w:themeColor="text1"/>
          <w:sz w:val="24"/>
          <w:szCs w:val="24"/>
        </w:rPr>
        <w:t>standardet kontabël ndërkombëtare të raportimit financiar</w:t>
      </w:r>
      <w:r w:rsidRPr="00993C76">
        <w:rPr>
          <w:rFonts w:ascii="Garamond" w:hAnsi="Garamond"/>
          <w:sz w:val="24"/>
          <w:szCs w:val="24"/>
          <w:lang w:val="sq-AL"/>
        </w:rPr>
        <w:t xml:space="preserve">. </w:t>
      </w:r>
    </w:p>
    <w:p w:rsidR="00DF6666" w:rsidRPr="00993C76" w:rsidRDefault="00DF6666" w:rsidP="00DF6666">
      <w:pPr>
        <w:widowControl w:val="0"/>
        <w:spacing w:after="0" w:line="240" w:lineRule="auto"/>
        <w:rPr>
          <w:rFonts w:ascii="Garamond" w:hAnsi="Garamond"/>
          <w:sz w:val="24"/>
          <w:szCs w:val="24"/>
          <w:lang w:val="sq-AL"/>
        </w:rPr>
      </w:pPr>
      <w:r w:rsidRPr="00993C76">
        <w:rPr>
          <w:rFonts w:ascii="Garamond" w:hAnsi="Garamond"/>
          <w:sz w:val="24"/>
          <w:szCs w:val="24"/>
          <w:lang w:val="sq-AL"/>
        </w:rPr>
        <w:t xml:space="preserve">Nëse për arsye të legjislacionit dhe të praktikave kontabël, brenda vendit, Këshilli Kombëtar i Kontabilitetit e shikon të nevojshme që të shmanget nga zbatimi i disa </w:t>
      </w:r>
      <w:r w:rsidR="0000314C" w:rsidRPr="00993C76">
        <w:rPr>
          <w:rFonts w:ascii="Garamond" w:hAnsi="Garamond"/>
          <w:color w:val="000000" w:themeColor="text1"/>
          <w:sz w:val="24"/>
          <w:szCs w:val="24"/>
        </w:rPr>
        <w:t>standardeve kontabël ndërkombëtare</w:t>
      </w:r>
      <w:r w:rsidRPr="00993C76">
        <w:rPr>
          <w:rFonts w:ascii="Garamond" w:hAnsi="Garamond"/>
          <w:sz w:val="24"/>
          <w:szCs w:val="24"/>
          <w:lang w:val="sq-AL"/>
        </w:rPr>
        <w:t xml:space="preserve">, ai </w:t>
      </w:r>
      <w:r w:rsidR="0000314C" w:rsidRPr="00993C76">
        <w:rPr>
          <w:rFonts w:ascii="Garamond" w:hAnsi="Garamond"/>
          <w:color w:val="000000" w:themeColor="text1"/>
          <w:sz w:val="24"/>
          <w:szCs w:val="24"/>
        </w:rPr>
        <w:t>i rekomandon ministrit përgjegjës për financat</w:t>
      </w:r>
      <w:r w:rsidR="0000314C" w:rsidRPr="00993C76">
        <w:rPr>
          <w:rFonts w:ascii="Garamond" w:hAnsi="Garamond"/>
          <w:color w:val="000000" w:themeColor="text1"/>
          <w:sz w:val="24"/>
          <w:szCs w:val="24"/>
        </w:rPr>
        <w:t xml:space="preserve"> </w:t>
      </w:r>
      <w:r w:rsidRPr="00993C76">
        <w:rPr>
          <w:rFonts w:ascii="Garamond" w:hAnsi="Garamond"/>
          <w:sz w:val="24"/>
          <w:szCs w:val="24"/>
          <w:lang w:val="sq-AL"/>
        </w:rPr>
        <w:t>që ta bëjë një gjë të tillë, vetëm pasi të shpjegojë dhe të justifikojë arsyet e këtij veprimi, pa cenuar kërkesat e përcaktuara në nenin 3, pika 4, të këtij ligji;</w:t>
      </w:r>
    </w:p>
    <w:p w:rsidR="00DF6666" w:rsidRPr="00993C76" w:rsidRDefault="00DF6666" w:rsidP="00DF6666">
      <w:pPr>
        <w:widowControl w:val="0"/>
        <w:spacing w:after="0" w:line="240" w:lineRule="auto"/>
        <w:rPr>
          <w:rFonts w:ascii="Garamond" w:hAnsi="Garamond"/>
          <w:sz w:val="24"/>
          <w:szCs w:val="24"/>
          <w:lang w:val="sq-AL"/>
        </w:rPr>
      </w:pPr>
      <w:r w:rsidRPr="00993C76">
        <w:rPr>
          <w:rFonts w:ascii="Garamond" w:hAnsi="Garamond"/>
          <w:sz w:val="24"/>
          <w:szCs w:val="24"/>
          <w:lang w:val="sq-AL"/>
        </w:rPr>
        <w:t xml:space="preserve">b) të përpunojë një sistem kontabël, ku, përveç standardeve kombëtare të kontabilitetit, të përcaktojë </w:t>
      </w:r>
      <w:r w:rsidRPr="00993C76">
        <w:rPr>
          <w:rFonts w:ascii="Garamond" w:hAnsi="Garamond"/>
          <w:sz w:val="24"/>
          <w:szCs w:val="24"/>
          <w:lang w:val="sq-AL"/>
        </w:rPr>
        <w:lastRenderedPageBreak/>
        <w:t>rregullat për mbajtjen e kontabilitetit, si dhe formatet për pasqyrat financiare;</w:t>
      </w:r>
    </w:p>
    <w:p w:rsidR="00DF6666" w:rsidRPr="00993C76" w:rsidRDefault="00DF6666" w:rsidP="00DF6666">
      <w:pPr>
        <w:widowControl w:val="0"/>
        <w:spacing w:after="0" w:line="240" w:lineRule="auto"/>
        <w:rPr>
          <w:rFonts w:ascii="Garamond" w:hAnsi="Garamond"/>
          <w:sz w:val="24"/>
          <w:szCs w:val="24"/>
          <w:lang w:val="sq-AL"/>
        </w:rPr>
      </w:pPr>
      <w:r w:rsidRPr="00993C76">
        <w:rPr>
          <w:rFonts w:ascii="Garamond" w:hAnsi="Garamond"/>
          <w:sz w:val="24"/>
          <w:szCs w:val="24"/>
          <w:lang w:val="sq-AL"/>
        </w:rPr>
        <w:t>c) të evidentojë nevojat dhe të propozojë zgjidhjet për përmirësimin e metodave kontabël për mbajtjen e kontabilitetit dhe për kualifikimet;</w:t>
      </w:r>
    </w:p>
    <w:p w:rsidR="00DF6666" w:rsidRPr="00993C76" w:rsidRDefault="00DF6666" w:rsidP="00DF6666">
      <w:pPr>
        <w:widowControl w:val="0"/>
        <w:spacing w:after="0" w:line="240" w:lineRule="auto"/>
        <w:rPr>
          <w:rFonts w:ascii="Garamond" w:hAnsi="Garamond"/>
          <w:sz w:val="24"/>
          <w:szCs w:val="24"/>
          <w:lang w:val="sq-AL"/>
        </w:rPr>
      </w:pPr>
      <w:r w:rsidRPr="00993C76">
        <w:rPr>
          <w:rFonts w:ascii="Garamond" w:hAnsi="Garamond"/>
          <w:sz w:val="24"/>
          <w:szCs w:val="24"/>
          <w:lang w:val="sq-AL"/>
        </w:rPr>
        <w:t>ç) të interpretojë dhe të përgjithësojë problemet që dalin nga praktika dhe standardet kontabël, të cilat i paraqet në formën e udhëzimeve kontabël;</w:t>
      </w:r>
    </w:p>
    <w:p w:rsidR="00DF6666" w:rsidRPr="00993C76" w:rsidRDefault="00DF6666" w:rsidP="00DF6666">
      <w:pPr>
        <w:widowControl w:val="0"/>
        <w:spacing w:after="0" w:line="240" w:lineRule="auto"/>
        <w:rPr>
          <w:rFonts w:ascii="Garamond" w:hAnsi="Garamond"/>
          <w:sz w:val="24"/>
          <w:szCs w:val="24"/>
          <w:lang w:val="sq-AL"/>
        </w:rPr>
      </w:pPr>
      <w:r w:rsidRPr="00993C76">
        <w:rPr>
          <w:rFonts w:ascii="Garamond" w:hAnsi="Garamond"/>
          <w:sz w:val="24"/>
          <w:szCs w:val="24"/>
          <w:lang w:val="sq-AL"/>
        </w:rPr>
        <w:t>d) të shqyrtojë dhe të japë mendime për të gjitha projektligjet dhe projektaktet nënligjore, rregulluese, të cilat përmbajnë dispozita për kontabilitetin, për përgatitjen e llogarive, që lidhen me njësitë ekonomike, subjekte të këtij ligji, si dhe me profesionet me bazë kontabilitetin;</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z w:val="24"/>
          <w:szCs w:val="24"/>
          <w:lang w:val="sq-AL"/>
        </w:rPr>
        <w:t xml:space="preserve">dh) të vendosë marrëdhënie me organizata profesionale vendase e të huaja dhe të marrë pjesë në veprimtaritë kombëtare dhe ndërkombëtare për </w:t>
      </w:r>
      <w:r w:rsidRPr="00993C76">
        <w:rPr>
          <w:rFonts w:ascii="Garamond" w:hAnsi="Garamond"/>
          <w:spacing w:val="-4"/>
          <w:sz w:val="24"/>
          <w:szCs w:val="24"/>
          <w:lang w:val="sq-AL"/>
        </w:rPr>
        <w:t>kontabilitetin;</w:t>
      </w:r>
    </w:p>
    <w:p w:rsidR="00DF6666" w:rsidRPr="00993C76" w:rsidRDefault="00DF6666" w:rsidP="0000314C">
      <w:pPr>
        <w:spacing w:after="0" w:line="240" w:lineRule="auto"/>
        <w:rPr>
          <w:rFonts w:ascii="Garamond" w:hAnsi="Garamond"/>
          <w:spacing w:val="-4"/>
          <w:sz w:val="24"/>
          <w:szCs w:val="24"/>
          <w:lang w:val="sq-AL"/>
        </w:rPr>
      </w:pPr>
      <w:r w:rsidRPr="00993C76">
        <w:rPr>
          <w:rFonts w:ascii="Garamond" w:hAnsi="Garamond"/>
          <w:spacing w:val="-4"/>
          <w:sz w:val="24"/>
          <w:szCs w:val="24"/>
          <w:lang w:val="sq-AL"/>
        </w:rPr>
        <w:t xml:space="preserve">e) </w:t>
      </w:r>
      <w:r w:rsidR="0000314C" w:rsidRPr="00993C76">
        <w:rPr>
          <w:rFonts w:ascii="Garamond" w:eastAsiaTheme="minorHAnsi" w:hAnsi="Garamond"/>
          <w:color w:val="000000" w:themeColor="text1"/>
          <w:sz w:val="24"/>
          <w:szCs w:val="24"/>
          <w:lang w:val="sq-AL"/>
        </w:rPr>
        <w:t>të publikojë në faqen zyrtare të institucionit standardet kombëtare të kontabilitetit dhe përkthimin në gjuhën shqipe të standardeve kontabël ndërkombëtare të raportimit financiar dhe standardeve të raportimit të qëndrueshmërisë, të detyrueshme apo vullnetare për zbatim.</w:t>
      </w:r>
      <w:r w:rsidR="0000314C" w:rsidRPr="00993C76">
        <w:rPr>
          <w:rFonts w:ascii="Garamond" w:eastAsiaTheme="minorHAnsi" w:hAnsi="Garamond"/>
          <w:color w:val="000000" w:themeColor="text1"/>
          <w:sz w:val="24"/>
          <w:szCs w:val="24"/>
          <w:lang w:val="sq-AL"/>
        </w:rPr>
        <w:t xml:space="preserve"> </w:t>
      </w:r>
      <w:r w:rsidRPr="00993C76">
        <w:rPr>
          <w:rFonts w:ascii="Garamond" w:hAnsi="Garamond"/>
          <w:spacing w:val="-4"/>
          <w:sz w:val="24"/>
          <w:szCs w:val="24"/>
          <w:lang w:val="sq-AL"/>
        </w:rPr>
        <w:t>Gjithashtu, ka të drejtën të publikojë edhe materiale të tjera, jo të detyrueshme për zbatim, me karakter dhe qëllim informues, në funksion të mbajtjes së kontabilitetit dhe hartimit të pasqyrave financiare;</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ë) të botojë Standardet Kombëtare të Kontabilitetit dhe materiale të tjera për zbatim në lidhje me këto standarde;</w:t>
      </w:r>
    </w:p>
    <w:p w:rsidR="0000314C" w:rsidRPr="00993C76" w:rsidRDefault="00DF6666" w:rsidP="00DF6666">
      <w:pPr>
        <w:widowControl w:val="0"/>
        <w:spacing w:after="0" w:line="240" w:lineRule="auto"/>
        <w:rPr>
          <w:rFonts w:ascii="Garamond" w:hAnsi="Garamond"/>
          <w:color w:val="000000" w:themeColor="text1"/>
          <w:sz w:val="24"/>
          <w:szCs w:val="24"/>
        </w:rPr>
      </w:pPr>
      <w:r w:rsidRPr="00993C76">
        <w:rPr>
          <w:rFonts w:ascii="Garamond" w:hAnsi="Garamond"/>
          <w:spacing w:val="-4"/>
          <w:sz w:val="24"/>
          <w:szCs w:val="24"/>
          <w:lang w:val="sq-AL"/>
        </w:rPr>
        <w:t xml:space="preserve">f) të monitorojë zbatimin e standardeve të kontabilitetit dhe </w:t>
      </w:r>
      <w:r w:rsidR="0000314C" w:rsidRPr="00993C76">
        <w:rPr>
          <w:rFonts w:ascii="Garamond" w:hAnsi="Garamond"/>
          <w:color w:val="000000" w:themeColor="text1"/>
          <w:sz w:val="24"/>
          <w:szCs w:val="24"/>
        </w:rPr>
        <w:t>raportimit financiar dhe raportimit të qëndrueshmërisë</w:t>
      </w:r>
      <w:r w:rsidR="0000314C" w:rsidRPr="00993C76">
        <w:rPr>
          <w:rFonts w:ascii="Garamond" w:hAnsi="Garamond"/>
          <w:color w:val="000000" w:themeColor="text1"/>
          <w:sz w:val="24"/>
          <w:szCs w:val="24"/>
        </w:rPr>
        <w:t>.</w:t>
      </w:r>
    </w:p>
    <w:p w:rsidR="0000314C" w:rsidRPr="00993C76" w:rsidRDefault="00DF6666" w:rsidP="0000314C">
      <w:pPr>
        <w:spacing w:after="0" w:line="240" w:lineRule="auto"/>
        <w:rPr>
          <w:rFonts w:ascii="Garamond" w:eastAsiaTheme="minorHAnsi" w:hAnsi="Garamond"/>
          <w:color w:val="000000" w:themeColor="text1"/>
          <w:sz w:val="24"/>
          <w:szCs w:val="24"/>
          <w:lang w:val="sq-AL"/>
        </w:rPr>
      </w:pPr>
      <w:r w:rsidRPr="00993C76">
        <w:rPr>
          <w:rFonts w:ascii="Garamond" w:hAnsi="Garamond"/>
          <w:spacing w:val="-4"/>
          <w:sz w:val="24"/>
          <w:szCs w:val="24"/>
          <w:lang w:val="sq-AL"/>
        </w:rPr>
        <w:t xml:space="preserve">g) </w:t>
      </w:r>
      <w:r w:rsidR="0000314C" w:rsidRPr="00993C76">
        <w:rPr>
          <w:rFonts w:ascii="Garamond" w:eastAsiaTheme="minorHAnsi" w:hAnsi="Garamond"/>
          <w:color w:val="000000" w:themeColor="text1"/>
          <w:sz w:val="24"/>
          <w:szCs w:val="24"/>
          <w:lang w:val="sq-AL"/>
        </w:rPr>
        <w:t>të organizojë tryeza të rrumbullakëta, seminare, konferenca dhe të tjera të ngjashme me to, me qëllim rritjen e transparencës përmes përfshirjes së palëve të interesit në procesin e përmirësimit të raportimit financiar, informimin e palëve të interesit për zhvillimet në këtë fushë, si dhe nxitjen e zbatimit korrekt nga njësitë ekonomike të SKK-ve/SNRF-ve dhe standardeve të qëndrueshmërisë.</w:t>
      </w:r>
    </w:p>
    <w:p w:rsidR="0000314C" w:rsidRPr="0000314C" w:rsidRDefault="0000314C" w:rsidP="0000314C">
      <w:pPr>
        <w:spacing w:after="0" w:line="240" w:lineRule="auto"/>
        <w:rPr>
          <w:rFonts w:ascii="Garamond" w:eastAsiaTheme="minorHAnsi" w:hAnsi="Garamond"/>
          <w:color w:val="000000" w:themeColor="text1"/>
          <w:sz w:val="24"/>
          <w:szCs w:val="24"/>
          <w:lang w:val="sq-AL"/>
        </w:rPr>
      </w:pPr>
    </w:p>
    <w:p w:rsidR="00DF6666" w:rsidRPr="00993C76" w:rsidRDefault="00DF6666" w:rsidP="00DF6666">
      <w:pPr>
        <w:pStyle w:val="NeniNr"/>
        <w:keepNext w:val="0"/>
        <w:rPr>
          <w:spacing w:val="-4"/>
          <w:szCs w:val="24"/>
          <w:lang w:val="sq-AL"/>
        </w:rPr>
      </w:pPr>
      <w:r w:rsidRPr="00993C76">
        <w:rPr>
          <w:spacing w:val="-4"/>
          <w:szCs w:val="24"/>
          <w:lang w:val="sq-AL"/>
        </w:rPr>
        <w:t xml:space="preserve">Neni 25 </w:t>
      </w:r>
    </w:p>
    <w:p w:rsidR="00DF6666" w:rsidRPr="00993C76" w:rsidRDefault="00DF6666" w:rsidP="00DF6666">
      <w:pPr>
        <w:pStyle w:val="NeniNr"/>
        <w:keepNext w:val="0"/>
        <w:rPr>
          <w:b/>
          <w:spacing w:val="-4"/>
          <w:szCs w:val="24"/>
          <w:lang w:val="sq-AL"/>
        </w:rPr>
      </w:pPr>
      <w:r w:rsidRPr="00993C76">
        <w:rPr>
          <w:b/>
          <w:spacing w:val="-4"/>
          <w:szCs w:val="24"/>
          <w:lang w:val="sq-AL"/>
        </w:rPr>
        <w:t>Përbërja dhe mandati</w:t>
      </w:r>
    </w:p>
    <w:p w:rsidR="00864FBA" w:rsidRPr="00993C76" w:rsidRDefault="00864FBA" w:rsidP="00864FBA">
      <w:pPr>
        <w:widowControl w:val="0"/>
        <w:spacing w:after="0" w:line="240" w:lineRule="auto"/>
        <w:ind w:firstLine="720"/>
        <w:jc w:val="center"/>
        <w:rPr>
          <w:rFonts w:ascii="Garamond" w:eastAsia="Times New Roman" w:hAnsi="Garamond"/>
          <w:i/>
          <w:sz w:val="24"/>
          <w:szCs w:val="24"/>
        </w:rPr>
      </w:pPr>
      <w:bookmarkStart w:id="7" w:name="_Hlk237947996"/>
      <w:r w:rsidRPr="00993C76">
        <w:rPr>
          <w:rFonts w:ascii="Garamond" w:eastAsia="Times New Roman" w:hAnsi="Garamond"/>
          <w:i/>
          <w:sz w:val="24"/>
          <w:szCs w:val="24"/>
        </w:rPr>
        <w:t>(Ndryshuar togfjal</w:t>
      </w:r>
      <w:r w:rsidR="00993C76">
        <w:rPr>
          <w:rFonts w:ascii="Garamond" w:eastAsia="Times New Roman" w:hAnsi="Garamond"/>
          <w:i/>
          <w:sz w:val="24"/>
          <w:szCs w:val="24"/>
        </w:rPr>
        <w:t>ë</w:t>
      </w:r>
      <w:r w:rsidRPr="00993C76">
        <w:rPr>
          <w:rFonts w:ascii="Garamond" w:eastAsia="Times New Roman" w:hAnsi="Garamond"/>
          <w:i/>
          <w:sz w:val="24"/>
          <w:szCs w:val="24"/>
        </w:rPr>
        <w:t>sh n</w:t>
      </w:r>
      <w:r w:rsidR="00993C76">
        <w:rPr>
          <w:rFonts w:ascii="Garamond" w:eastAsia="Times New Roman" w:hAnsi="Garamond"/>
          <w:i/>
          <w:sz w:val="24"/>
          <w:szCs w:val="24"/>
        </w:rPr>
        <w:t>ë</w:t>
      </w:r>
      <w:r w:rsidRPr="00993C76">
        <w:rPr>
          <w:rFonts w:ascii="Garamond" w:eastAsia="Times New Roman" w:hAnsi="Garamond"/>
          <w:i/>
          <w:sz w:val="24"/>
          <w:szCs w:val="24"/>
        </w:rPr>
        <w:t xml:space="preserve"> </w:t>
      </w:r>
      <w:r w:rsidRPr="00993C76">
        <w:rPr>
          <w:rFonts w:ascii="Garamond" w:eastAsia="Times New Roman" w:hAnsi="Garamond"/>
          <w:i/>
          <w:sz w:val="24"/>
          <w:szCs w:val="24"/>
        </w:rPr>
        <w:t>pik</w:t>
      </w:r>
      <w:r w:rsidR="00993C76">
        <w:rPr>
          <w:rFonts w:ascii="Garamond" w:eastAsia="Times New Roman" w:hAnsi="Garamond"/>
          <w:i/>
          <w:sz w:val="24"/>
          <w:szCs w:val="24"/>
        </w:rPr>
        <w:t>ë</w:t>
      </w:r>
      <w:r w:rsidRPr="00993C76">
        <w:rPr>
          <w:rFonts w:ascii="Garamond" w:eastAsia="Times New Roman" w:hAnsi="Garamond"/>
          <w:i/>
          <w:sz w:val="24"/>
          <w:szCs w:val="24"/>
        </w:rPr>
        <w:t>n 2 dhe shtuar togfjal</w:t>
      </w:r>
      <w:r w:rsidR="00993C76">
        <w:rPr>
          <w:rFonts w:ascii="Garamond" w:eastAsia="Times New Roman" w:hAnsi="Garamond"/>
          <w:i/>
          <w:sz w:val="24"/>
          <w:szCs w:val="24"/>
        </w:rPr>
        <w:t>ë</w:t>
      </w:r>
      <w:r w:rsidRPr="00993C76">
        <w:rPr>
          <w:rFonts w:ascii="Garamond" w:eastAsia="Times New Roman" w:hAnsi="Garamond"/>
          <w:i/>
          <w:sz w:val="24"/>
          <w:szCs w:val="24"/>
        </w:rPr>
        <w:t>sh n</w:t>
      </w:r>
      <w:r w:rsidR="00993C76">
        <w:rPr>
          <w:rFonts w:ascii="Garamond" w:eastAsia="Times New Roman" w:hAnsi="Garamond"/>
          <w:i/>
          <w:sz w:val="24"/>
          <w:szCs w:val="24"/>
        </w:rPr>
        <w:t>ë</w:t>
      </w:r>
      <w:r w:rsidRPr="00993C76">
        <w:rPr>
          <w:rFonts w:ascii="Garamond" w:eastAsia="Times New Roman" w:hAnsi="Garamond"/>
          <w:i/>
          <w:sz w:val="24"/>
          <w:szCs w:val="24"/>
        </w:rPr>
        <w:t xml:space="preserve"> pik</w:t>
      </w:r>
      <w:r w:rsidR="00993C76">
        <w:rPr>
          <w:rFonts w:ascii="Garamond" w:eastAsia="Times New Roman" w:hAnsi="Garamond"/>
          <w:i/>
          <w:sz w:val="24"/>
          <w:szCs w:val="24"/>
        </w:rPr>
        <w:t>ë</w:t>
      </w:r>
      <w:r w:rsidRPr="00993C76">
        <w:rPr>
          <w:rFonts w:ascii="Garamond" w:eastAsia="Times New Roman" w:hAnsi="Garamond"/>
          <w:i/>
          <w:sz w:val="24"/>
          <w:szCs w:val="24"/>
        </w:rPr>
        <w:t>n 4</w:t>
      </w:r>
      <w:r w:rsidRPr="00993C76">
        <w:rPr>
          <w:rFonts w:ascii="Garamond" w:eastAsia="Times New Roman" w:hAnsi="Garamond"/>
          <w:i/>
          <w:sz w:val="24"/>
          <w:szCs w:val="24"/>
        </w:rPr>
        <w:t xml:space="preserve"> me ligjin nr. 87/2026, datë 16.7.2026)</w:t>
      </w:r>
    </w:p>
    <w:bookmarkEnd w:id="7"/>
    <w:p w:rsidR="00DF6666" w:rsidRPr="00993C76" w:rsidRDefault="00DF6666" w:rsidP="00DF6666">
      <w:pPr>
        <w:widowControl w:val="0"/>
        <w:tabs>
          <w:tab w:val="left" w:pos="1453"/>
        </w:tabs>
        <w:spacing w:after="0" w:line="240" w:lineRule="auto"/>
        <w:jc w:val="center"/>
        <w:rPr>
          <w:rFonts w:ascii="Garamond" w:hAnsi="Garamond"/>
          <w:b/>
          <w:spacing w:val="-4"/>
          <w:sz w:val="24"/>
          <w:szCs w:val="24"/>
          <w:lang w:val="sq-AL"/>
        </w:rPr>
      </w:pP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1. Këshilli Kombëtar i Kontabilitetit përbëhet nga 7 anëtarë, prej të cilëve:</w:t>
      </w:r>
    </w:p>
    <w:p w:rsidR="00DF6666" w:rsidRPr="00993C76" w:rsidRDefault="00DF6666" w:rsidP="00DF6666">
      <w:pPr>
        <w:widowControl w:val="0"/>
        <w:spacing w:after="0" w:line="240" w:lineRule="auto"/>
        <w:contextualSpacing/>
        <w:rPr>
          <w:rFonts w:ascii="Garamond" w:hAnsi="Garamond"/>
          <w:spacing w:val="-4"/>
          <w:sz w:val="24"/>
          <w:szCs w:val="24"/>
          <w:lang w:val="sq-AL"/>
        </w:rPr>
      </w:pPr>
      <w:r w:rsidRPr="00993C76">
        <w:rPr>
          <w:rFonts w:ascii="Garamond" w:hAnsi="Garamond"/>
          <w:spacing w:val="-4"/>
          <w:sz w:val="24"/>
          <w:szCs w:val="24"/>
          <w:lang w:val="sq-AL"/>
        </w:rPr>
        <w:t xml:space="preserve">a) një anëtar propozohet nga organizata profesionale e auditimit ligjor; </w:t>
      </w:r>
    </w:p>
    <w:p w:rsidR="00DF6666" w:rsidRPr="00993C76" w:rsidRDefault="00DF6666" w:rsidP="00DF6666">
      <w:pPr>
        <w:widowControl w:val="0"/>
        <w:spacing w:after="0" w:line="240" w:lineRule="auto"/>
        <w:contextualSpacing/>
        <w:rPr>
          <w:rFonts w:ascii="Garamond" w:hAnsi="Garamond"/>
          <w:spacing w:val="-4"/>
          <w:sz w:val="24"/>
          <w:szCs w:val="24"/>
          <w:lang w:val="sq-AL"/>
        </w:rPr>
      </w:pPr>
      <w:r w:rsidRPr="00993C76">
        <w:rPr>
          <w:rFonts w:ascii="Garamond" w:hAnsi="Garamond"/>
          <w:spacing w:val="-4"/>
          <w:sz w:val="24"/>
          <w:szCs w:val="24"/>
          <w:lang w:val="sq-AL"/>
        </w:rPr>
        <w:t>b) një anëtar propozohet nga shoqatat profesionale të kontabilitetit;</w:t>
      </w:r>
    </w:p>
    <w:p w:rsidR="00DF6666" w:rsidRPr="00993C76" w:rsidRDefault="00DF6666" w:rsidP="00DF6666">
      <w:pPr>
        <w:widowControl w:val="0"/>
        <w:spacing w:after="0" w:line="240" w:lineRule="auto"/>
        <w:contextualSpacing/>
        <w:rPr>
          <w:rFonts w:ascii="Garamond" w:hAnsi="Garamond"/>
          <w:spacing w:val="-4"/>
          <w:sz w:val="24"/>
          <w:szCs w:val="24"/>
          <w:lang w:val="sq-AL"/>
        </w:rPr>
      </w:pPr>
      <w:r w:rsidRPr="00993C76">
        <w:rPr>
          <w:rFonts w:ascii="Garamond" w:hAnsi="Garamond"/>
          <w:spacing w:val="-4"/>
          <w:sz w:val="24"/>
          <w:szCs w:val="24"/>
          <w:lang w:val="sq-AL"/>
        </w:rPr>
        <w:t>c) një anëtar propozohet nga dhomat e tregtisë (përfaqësues të njësive ekonomike të mëdha ose njësive ekonomike me interes publik) ose nga shoqata e bankave;</w:t>
      </w:r>
    </w:p>
    <w:p w:rsidR="00DF6666" w:rsidRPr="00993C76" w:rsidRDefault="00DF6666" w:rsidP="00DF6666">
      <w:pPr>
        <w:widowControl w:val="0"/>
        <w:spacing w:after="0" w:line="240" w:lineRule="auto"/>
        <w:contextualSpacing/>
        <w:rPr>
          <w:rFonts w:ascii="Garamond" w:hAnsi="Garamond"/>
          <w:spacing w:val="-4"/>
          <w:sz w:val="24"/>
          <w:szCs w:val="24"/>
          <w:lang w:val="sq-AL"/>
        </w:rPr>
      </w:pPr>
      <w:r w:rsidRPr="00993C76">
        <w:rPr>
          <w:rFonts w:ascii="Garamond" w:hAnsi="Garamond"/>
          <w:spacing w:val="-4"/>
          <w:sz w:val="24"/>
          <w:szCs w:val="24"/>
          <w:lang w:val="sq-AL"/>
        </w:rPr>
        <w:t>ç) tre anëtarë propozohen nga ministria përgjegjëse për financat, ku njëri prej të cilëve është përfaqësues i strukturës përgjegjëse për administrimin e të ardhurave;</w:t>
      </w:r>
    </w:p>
    <w:p w:rsidR="00DF6666" w:rsidRPr="00993C76" w:rsidRDefault="00DF6666" w:rsidP="00DF6666">
      <w:pPr>
        <w:widowControl w:val="0"/>
        <w:spacing w:after="0" w:line="240" w:lineRule="auto"/>
        <w:contextualSpacing/>
        <w:rPr>
          <w:rFonts w:ascii="Garamond" w:hAnsi="Garamond"/>
          <w:spacing w:val="-4"/>
          <w:sz w:val="24"/>
          <w:szCs w:val="24"/>
          <w:lang w:val="sq-AL"/>
        </w:rPr>
      </w:pPr>
      <w:r w:rsidRPr="00993C76">
        <w:rPr>
          <w:rFonts w:ascii="Garamond" w:hAnsi="Garamond"/>
          <w:spacing w:val="-4"/>
          <w:sz w:val="24"/>
          <w:szCs w:val="24"/>
          <w:lang w:val="sq-AL"/>
        </w:rPr>
        <w:t>d) një anëtar propozohet nga Bordi i Mbikëqyrjes Publike.</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 xml:space="preserve">2. Anëtarët e Këshillit Kombëtar të Kontabilitetit </w:t>
      </w:r>
      <w:r w:rsidR="00864FBA" w:rsidRPr="00993C76">
        <w:rPr>
          <w:rFonts w:ascii="Garamond" w:hAnsi="Garamond"/>
          <w:color w:val="000000" w:themeColor="text1"/>
          <w:sz w:val="24"/>
          <w:szCs w:val="24"/>
        </w:rPr>
        <w:t>mandatohen dhe lirohen me urdhër</w:t>
      </w:r>
      <w:r w:rsidR="00864FBA" w:rsidRPr="00993C76">
        <w:rPr>
          <w:rFonts w:ascii="Garamond" w:hAnsi="Garamond"/>
          <w:color w:val="000000" w:themeColor="text1"/>
          <w:sz w:val="24"/>
          <w:szCs w:val="24"/>
        </w:rPr>
        <w:t xml:space="preserve"> </w:t>
      </w:r>
      <w:r w:rsidRPr="00993C76">
        <w:rPr>
          <w:rFonts w:ascii="Garamond" w:hAnsi="Garamond"/>
          <w:spacing w:val="-4"/>
          <w:sz w:val="24"/>
          <w:szCs w:val="24"/>
          <w:lang w:val="sq-AL"/>
        </w:rPr>
        <w:t>të ministrit përgjegjës për financat.</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3. Anëtarët e Këshillit Kombëtar të Kontabilitetit kanë mandat 4-vjeçar dhe mund të rimandatohen vetëm një herë me miratimin e ministrit përgjegjës për financat.</w:t>
      </w:r>
    </w:p>
    <w:p w:rsidR="00DF6666" w:rsidRPr="00993C76" w:rsidRDefault="00DF6666" w:rsidP="00DF6666">
      <w:pPr>
        <w:widowControl w:val="0"/>
        <w:spacing w:after="0" w:line="240" w:lineRule="auto"/>
        <w:rPr>
          <w:rFonts w:ascii="Garamond" w:hAnsi="Garamond"/>
          <w:spacing w:val="-4"/>
          <w:sz w:val="24"/>
          <w:szCs w:val="24"/>
          <w:shd w:val="clear" w:color="auto" w:fill="FFFFFF"/>
          <w:lang w:val="sq-AL"/>
        </w:rPr>
      </w:pPr>
      <w:r w:rsidRPr="00993C76">
        <w:rPr>
          <w:rFonts w:ascii="Garamond" w:hAnsi="Garamond"/>
          <w:spacing w:val="-4"/>
          <w:sz w:val="24"/>
          <w:szCs w:val="24"/>
          <w:lang w:val="sq-AL"/>
        </w:rPr>
        <w:t>4. Kandidatët për anëtarë të Këshillit Kombëtar të Kontabilitetit duhet të jenë persona me edukim në fushën e kontabilitetit dhe/ose financës</w:t>
      </w:r>
      <w:r w:rsidR="00864FBA" w:rsidRPr="00993C76">
        <w:rPr>
          <w:rFonts w:ascii="Garamond" w:hAnsi="Garamond"/>
          <w:sz w:val="24"/>
          <w:szCs w:val="24"/>
        </w:rPr>
        <w:t xml:space="preserve"> </w:t>
      </w:r>
      <w:r w:rsidR="00864FBA" w:rsidRPr="00993C76">
        <w:rPr>
          <w:rFonts w:ascii="Garamond" w:hAnsi="Garamond"/>
          <w:spacing w:val="-4"/>
          <w:sz w:val="24"/>
          <w:szCs w:val="24"/>
          <w:lang w:val="sq-AL"/>
        </w:rPr>
        <w:t>dhe/ose raportimin e qëndrueshmërisë</w:t>
      </w:r>
      <w:r w:rsidRPr="00993C76">
        <w:rPr>
          <w:rFonts w:ascii="Garamond" w:hAnsi="Garamond"/>
          <w:spacing w:val="-4"/>
          <w:sz w:val="24"/>
          <w:szCs w:val="24"/>
          <w:lang w:val="sq-AL"/>
        </w:rPr>
        <w:t>, si dhe ekspertë në teorinë dhe metodologjinë e kontabilitetit ose praktikues në fushën e kontabilitetit.</w:t>
      </w:r>
      <w:r w:rsidRPr="00993C76">
        <w:rPr>
          <w:rFonts w:ascii="Garamond" w:hAnsi="Garamond"/>
          <w:spacing w:val="-4"/>
          <w:sz w:val="24"/>
          <w:szCs w:val="24"/>
          <w:shd w:val="clear" w:color="auto" w:fill="FFFFFF"/>
          <w:lang w:val="sq-AL"/>
        </w:rPr>
        <w:t xml:space="preserve"> </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5. Anëtarët e Këshillit Kombëtar të Kontabilitetit, për realizimin e detyrave, angazhohen me kohë jo të plotë pune.</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6. Veprimtarinë e Këshillit Kombëtar të Kontabilitetit e mbështet një strukturë administrative me personel të punësuar. Struktura, organika, pagat për të punësuarit dhe honoraret e anëtarëve të këtij këshilli miratohen me vendim të Këshillit të Ministrave.</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7. Anëtarit të Këshillit Kombëtar të Kontabilitetit i hiqet mandati para përfundimit të tij, me propozimin e Këshillit Kombëtar të Kontabilitetit, me urdhër të ministrit përgjegjës për financat, vetëm në rastet kur ai:</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a) vdes;</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b) jep dorëheqjen;</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c) bëhet i paaftë për shkak sëmundjeje;</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ç) kryen një vepër penale;</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d) nuk përmbush kërkesat e caktuara në rregulloren e brendshme të Këshillit Kombëtar të Kontabilitetit.</w:t>
      </w:r>
    </w:p>
    <w:p w:rsidR="00DF6666" w:rsidRPr="00993C76" w:rsidRDefault="00DF6666" w:rsidP="00DF6666">
      <w:pPr>
        <w:widowControl w:val="0"/>
        <w:spacing w:after="0" w:line="240" w:lineRule="auto"/>
        <w:rPr>
          <w:rFonts w:ascii="Garamond" w:hAnsi="Garamond"/>
          <w:spacing w:val="-4"/>
          <w:sz w:val="24"/>
          <w:szCs w:val="24"/>
          <w:lang w:val="sq-AL"/>
        </w:rPr>
      </w:pPr>
    </w:p>
    <w:p w:rsidR="00DF6666" w:rsidRPr="00993C76" w:rsidRDefault="00DF6666" w:rsidP="00DF6666">
      <w:pPr>
        <w:pStyle w:val="NeniNr"/>
        <w:keepNext w:val="0"/>
        <w:rPr>
          <w:spacing w:val="-4"/>
          <w:szCs w:val="24"/>
          <w:lang w:val="sq-AL"/>
        </w:rPr>
      </w:pPr>
      <w:r w:rsidRPr="00993C76">
        <w:rPr>
          <w:spacing w:val="-4"/>
          <w:szCs w:val="24"/>
          <w:lang w:val="sq-AL"/>
        </w:rPr>
        <w:t>Neni 26</w:t>
      </w:r>
    </w:p>
    <w:p w:rsidR="00DF6666" w:rsidRPr="00993C76" w:rsidRDefault="00DF6666" w:rsidP="00DF6666">
      <w:pPr>
        <w:pStyle w:val="NeniNr"/>
        <w:keepNext w:val="0"/>
        <w:rPr>
          <w:b/>
          <w:spacing w:val="-4"/>
          <w:szCs w:val="24"/>
          <w:lang w:val="sq-AL"/>
        </w:rPr>
      </w:pPr>
      <w:r w:rsidRPr="00993C76">
        <w:rPr>
          <w:b/>
          <w:spacing w:val="-4"/>
          <w:szCs w:val="24"/>
          <w:lang w:val="sq-AL"/>
        </w:rPr>
        <w:lastRenderedPageBreak/>
        <w:t>Organizimi dhe funksionimi</w:t>
      </w:r>
    </w:p>
    <w:p w:rsidR="00DF6666" w:rsidRPr="00993C76" w:rsidRDefault="00DF6666" w:rsidP="00DF6666">
      <w:pPr>
        <w:widowControl w:val="0"/>
        <w:tabs>
          <w:tab w:val="left" w:pos="1453"/>
        </w:tabs>
        <w:spacing w:after="0" w:line="240" w:lineRule="auto"/>
        <w:jc w:val="center"/>
        <w:rPr>
          <w:rFonts w:ascii="Garamond" w:hAnsi="Garamond"/>
          <w:b/>
          <w:spacing w:val="-4"/>
          <w:sz w:val="24"/>
          <w:szCs w:val="24"/>
          <w:lang w:val="sq-AL"/>
        </w:rPr>
      </w:pP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 xml:space="preserve">1. Organizimi dhe funksionimi i Këshillit Kombëtar të Kontabilitetit, kërkesat e posaçme që duhet të përmbushë një kandidat për të qenë anëtar i këshillit, procedurat e përzgjedhjes dhe rastet e shkarkimit të anëtarëve, procedurat për hartimin e standardeve kontabël kombëtare dhe të produkteve të tjera, të realizuara nga anëtarët e këtij këshilli ose të tretët, përcaktohen në rregulloren e funksionimit të tij, e cila miratohet nga Këshilli i Ministrave. </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2. Kryetari dhe nënkryetari i Këshillit Kombëtar të Kontabilitetit zgjidhen nga anëtarët e këshillit, sipas procedurave të përcaktuara në rregulloren e brendshme.</w:t>
      </w:r>
    </w:p>
    <w:p w:rsidR="00DF6666" w:rsidRPr="00993C76" w:rsidRDefault="00DF6666" w:rsidP="00DF6666">
      <w:pPr>
        <w:widowControl w:val="0"/>
        <w:spacing w:after="0" w:line="240" w:lineRule="auto"/>
        <w:rPr>
          <w:rFonts w:ascii="Garamond" w:hAnsi="Garamond"/>
          <w:spacing w:val="-4"/>
          <w:sz w:val="24"/>
          <w:szCs w:val="24"/>
          <w:lang w:val="sq-AL"/>
        </w:rPr>
      </w:pPr>
    </w:p>
    <w:p w:rsidR="00DF6666" w:rsidRPr="00993C76" w:rsidRDefault="00DF6666" w:rsidP="00DF6666">
      <w:pPr>
        <w:pStyle w:val="NeniNr"/>
        <w:keepNext w:val="0"/>
        <w:rPr>
          <w:spacing w:val="-4"/>
          <w:szCs w:val="24"/>
          <w:lang w:val="sq-AL"/>
        </w:rPr>
      </w:pPr>
      <w:r w:rsidRPr="00993C76">
        <w:rPr>
          <w:spacing w:val="-4"/>
          <w:szCs w:val="24"/>
          <w:lang w:val="sq-AL"/>
        </w:rPr>
        <w:t>Neni 27</w:t>
      </w:r>
    </w:p>
    <w:p w:rsidR="00DF6666" w:rsidRPr="00993C76" w:rsidRDefault="00DF6666" w:rsidP="00DF6666">
      <w:pPr>
        <w:pStyle w:val="NeniNr"/>
        <w:keepNext w:val="0"/>
        <w:rPr>
          <w:b/>
          <w:spacing w:val="-4"/>
          <w:szCs w:val="24"/>
          <w:lang w:val="sq-AL"/>
        </w:rPr>
      </w:pPr>
      <w:r w:rsidRPr="00993C76">
        <w:rPr>
          <w:b/>
          <w:spacing w:val="-4"/>
          <w:szCs w:val="24"/>
          <w:lang w:val="sq-AL"/>
        </w:rPr>
        <w:t xml:space="preserve"> Raportimi</w:t>
      </w:r>
    </w:p>
    <w:p w:rsidR="00864FBA" w:rsidRPr="00993C76" w:rsidRDefault="00864FBA" w:rsidP="00864FBA">
      <w:pPr>
        <w:widowControl w:val="0"/>
        <w:spacing w:after="0" w:line="240" w:lineRule="auto"/>
        <w:ind w:firstLine="720"/>
        <w:jc w:val="center"/>
        <w:rPr>
          <w:rFonts w:ascii="Garamond" w:eastAsia="Times New Roman" w:hAnsi="Garamond"/>
          <w:i/>
          <w:sz w:val="24"/>
          <w:szCs w:val="24"/>
        </w:rPr>
      </w:pPr>
      <w:r w:rsidRPr="00993C76">
        <w:rPr>
          <w:rFonts w:ascii="Garamond" w:eastAsia="Times New Roman" w:hAnsi="Garamond"/>
          <w:i/>
          <w:sz w:val="24"/>
          <w:szCs w:val="24"/>
        </w:rPr>
        <w:t>(Ndryshuar togfjal</w:t>
      </w:r>
      <w:r w:rsidR="00993C76">
        <w:rPr>
          <w:rFonts w:ascii="Garamond" w:eastAsia="Times New Roman" w:hAnsi="Garamond"/>
          <w:i/>
          <w:sz w:val="24"/>
          <w:szCs w:val="24"/>
        </w:rPr>
        <w:t>ë</w:t>
      </w:r>
      <w:r w:rsidRPr="00993C76">
        <w:rPr>
          <w:rFonts w:ascii="Garamond" w:eastAsia="Times New Roman" w:hAnsi="Garamond"/>
          <w:i/>
          <w:sz w:val="24"/>
          <w:szCs w:val="24"/>
        </w:rPr>
        <w:t>sh n</w:t>
      </w:r>
      <w:r w:rsidR="00993C76">
        <w:rPr>
          <w:rFonts w:ascii="Garamond" w:eastAsia="Times New Roman" w:hAnsi="Garamond"/>
          <w:i/>
          <w:sz w:val="24"/>
          <w:szCs w:val="24"/>
        </w:rPr>
        <w:t>ë</w:t>
      </w:r>
      <w:r w:rsidRPr="00993C76">
        <w:rPr>
          <w:rFonts w:ascii="Garamond" w:eastAsia="Times New Roman" w:hAnsi="Garamond"/>
          <w:i/>
          <w:sz w:val="24"/>
          <w:szCs w:val="24"/>
        </w:rPr>
        <w:t xml:space="preserve"> pik</w:t>
      </w:r>
      <w:r w:rsidR="00993C76">
        <w:rPr>
          <w:rFonts w:ascii="Garamond" w:eastAsia="Times New Roman" w:hAnsi="Garamond"/>
          <w:i/>
          <w:sz w:val="24"/>
          <w:szCs w:val="24"/>
        </w:rPr>
        <w:t>ë</w:t>
      </w:r>
      <w:r w:rsidRPr="00993C76">
        <w:rPr>
          <w:rFonts w:ascii="Garamond" w:eastAsia="Times New Roman" w:hAnsi="Garamond"/>
          <w:i/>
          <w:sz w:val="24"/>
          <w:szCs w:val="24"/>
        </w:rPr>
        <w:t>n 2 me ligjin nr. 87/2026, datë 16.7.2026)</w:t>
      </w:r>
    </w:p>
    <w:p w:rsidR="00DF6666" w:rsidRPr="00993C76" w:rsidRDefault="00DF6666" w:rsidP="00DF6666">
      <w:pPr>
        <w:pStyle w:val="NeniNr"/>
        <w:keepNext w:val="0"/>
        <w:rPr>
          <w:b/>
          <w:spacing w:val="-4"/>
          <w:szCs w:val="24"/>
          <w:lang w:val="sq-AL"/>
        </w:rPr>
      </w:pP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 xml:space="preserve">1. Këshilli Kombëtar i Kontabilitetit raporton me shkrim pranë ministrit përgjegjës për financat, brenda 3-mujorit të parë të vitit pasardhës, në lidhje me veprimtarinë vjetore të tij. </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 xml:space="preserve">2. Raporti, sipas pikës 1, të këtij neni, ku trajtohen me hollësi edhe problemet e konstatuara gjatë monitorimeve në lidhje me përgatitjen e </w:t>
      </w:r>
      <w:r w:rsidR="00864FBA" w:rsidRPr="00993C76">
        <w:rPr>
          <w:rFonts w:ascii="Garamond" w:hAnsi="Garamond"/>
          <w:color w:val="000000" w:themeColor="text1"/>
          <w:sz w:val="24"/>
          <w:szCs w:val="24"/>
        </w:rPr>
        <w:t>pasqyrave financiare dhe raportit të qëndrueshmërisë</w:t>
      </w:r>
      <w:r w:rsidRPr="00993C76">
        <w:rPr>
          <w:rFonts w:ascii="Garamond" w:hAnsi="Garamond"/>
          <w:spacing w:val="-4"/>
          <w:sz w:val="24"/>
          <w:szCs w:val="24"/>
          <w:lang w:val="sq-AL"/>
        </w:rPr>
        <w:t xml:space="preserve">, si dhe zgjidhjet e sugjeruara, i dërgohet për informacion Bordit të Mbikëqyrjes Publike, brenda afatit të pikës 1, të këtij neni. </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3. Raporti vjetor publikohet në faqen zyrtare të Këshillit Kombëtar të Kontabilitetit brenda afatit të përcaktuar në pikën 1 të këtij neni.</w:t>
      </w:r>
    </w:p>
    <w:p w:rsidR="00DF6666" w:rsidRPr="00993C76" w:rsidRDefault="00DF6666" w:rsidP="00DF6666">
      <w:pPr>
        <w:widowControl w:val="0"/>
        <w:tabs>
          <w:tab w:val="left" w:pos="1453"/>
        </w:tabs>
        <w:spacing w:after="0" w:line="240" w:lineRule="auto"/>
        <w:jc w:val="center"/>
        <w:rPr>
          <w:rFonts w:ascii="Garamond" w:hAnsi="Garamond"/>
          <w:b/>
          <w:spacing w:val="-4"/>
          <w:sz w:val="24"/>
          <w:szCs w:val="24"/>
          <w:lang w:val="sq-AL"/>
        </w:rPr>
      </w:pPr>
    </w:p>
    <w:p w:rsidR="00DF6666" w:rsidRPr="00993C76" w:rsidRDefault="00DF6666" w:rsidP="00DF6666">
      <w:pPr>
        <w:pStyle w:val="NeniNr"/>
        <w:keepNext w:val="0"/>
        <w:rPr>
          <w:spacing w:val="-4"/>
          <w:szCs w:val="24"/>
          <w:lang w:val="sq-AL"/>
        </w:rPr>
      </w:pPr>
      <w:r w:rsidRPr="00993C76">
        <w:rPr>
          <w:spacing w:val="-4"/>
          <w:szCs w:val="24"/>
          <w:lang w:val="sq-AL"/>
        </w:rPr>
        <w:t>Neni 28</w:t>
      </w:r>
    </w:p>
    <w:p w:rsidR="00DF6666" w:rsidRPr="00993C76" w:rsidRDefault="00DF6666" w:rsidP="00DF6666">
      <w:pPr>
        <w:pStyle w:val="NeniNr"/>
        <w:keepNext w:val="0"/>
        <w:rPr>
          <w:b/>
          <w:spacing w:val="-4"/>
          <w:szCs w:val="24"/>
          <w:lang w:val="sq-AL"/>
        </w:rPr>
      </w:pPr>
      <w:r w:rsidRPr="00993C76">
        <w:rPr>
          <w:b/>
          <w:spacing w:val="-4"/>
          <w:szCs w:val="24"/>
          <w:lang w:val="sq-AL"/>
        </w:rPr>
        <w:t>Burimet e financimit</w:t>
      </w:r>
    </w:p>
    <w:p w:rsidR="00DF6666" w:rsidRPr="00993C76" w:rsidRDefault="00DF6666" w:rsidP="00DF6666">
      <w:pPr>
        <w:widowControl w:val="0"/>
        <w:tabs>
          <w:tab w:val="left" w:pos="1453"/>
        </w:tabs>
        <w:spacing w:after="0" w:line="240" w:lineRule="auto"/>
        <w:jc w:val="center"/>
        <w:rPr>
          <w:rFonts w:ascii="Garamond" w:hAnsi="Garamond"/>
          <w:b/>
          <w:spacing w:val="-4"/>
          <w:sz w:val="24"/>
          <w:szCs w:val="24"/>
          <w:lang w:val="sq-AL"/>
        </w:rPr>
      </w:pP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1. Veprimtaria e Këshillit Kombëtar të Kontabilitetit financohet nga buxheti i shtetit. Ai ka të drejtë të përdorë edhe të ardhurat që realizon nga punët që kryen.</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2. Këshilli Kombëtar i Kontabilitetit mund të përdorë financime, donacione apo sponsorizime nga subjektet dhe organizmat financiarë dhe profesionalë vendas e të huaj, në përputhje me legjislacionin në fuqi.</w:t>
      </w:r>
    </w:p>
    <w:p w:rsidR="00DF6666" w:rsidRPr="00993C76" w:rsidRDefault="00DF6666" w:rsidP="00DF6666">
      <w:pPr>
        <w:widowControl w:val="0"/>
        <w:tabs>
          <w:tab w:val="left" w:pos="1453"/>
        </w:tabs>
        <w:spacing w:after="0" w:line="240" w:lineRule="auto"/>
        <w:jc w:val="left"/>
        <w:rPr>
          <w:rFonts w:ascii="Garamond" w:hAnsi="Garamond"/>
          <w:spacing w:val="-4"/>
          <w:sz w:val="24"/>
          <w:szCs w:val="24"/>
          <w:lang w:val="sq-AL"/>
        </w:rPr>
      </w:pPr>
    </w:p>
    <w:p w:rsidR="00DF6666" w:rsidRPr="00993C76" w:rsidRDefault="00DF6666" w:rsidP="00DF6666">
      <w:pPr>
        <w:pStyle w:val="NeniNr"/>
        <w:keepNext w:val="0"/>
        <w:rPr>
          <w:spacing w:val="-4"/>
          <w:szCs w:val="24"/>
          <w:lang w:val="sq-AL"/>
        </w:rPr>
      </w:pPr>
      <w:r w:rsidRPr="00993C76">
        <w:rPr>
          <w:spacing w:val="-4"/>
          <w:szCs w:val="24"/>
          <w:lang w:val="sq-AL"/>
        </w:rPr>
        <w:t>Neni 29</w:t>
      </w:r>
    </w:p>
    <w:p w:rsidR="00DF6666" w:rsidRPr="00993C76" w:rsidRDefault="00DF6666" w:rsidP="00DF6666">
      <w:pPr>
        <w:pStyle w:val="NeniNr"/>
        <w:keepNext w:val="0"/>
        <w:rPr>
          <w:b/>
          <w:spacing w:val="-4"/>
          <w:szCs w:val="24"/>
          <w:lang w:val="sq-AL"/>
        </w:rPr>
      </w:pPr>
      <w:r w:rsidRPr="00993C76">
        <w:rPr>
          <w:b/>
          <w:spacing w:val="-4"/>
          <w:szCs w:val="24"/>
          <w:lang w:val="sq-AL"/>
        </w:rPr>
        <w:t>Shkeljet dhe dënimet</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Mosrespektimi i kërkesave të këtij ligji, në varësi të dëmit të shkaktuar, është objekt i masave administrative, civile ose penale, sipas legjislacionit në fuqi.</w:t>
      </w:r>
    </w:p>
    <w:p w:rsidR="00DF6666" w:rsidRPr="00993C76" w:rsidRDefault="00DF6666" w:rsidP="00DF6666">
      <w:pPr>
        <w:widowControl w:val="0"/>
        <w:tabs>
          <w:tab w:val="left" w:pos="1453"/>
        </w:tabs>
        <w:spacing w:after="0" w:line="240" w:lineRule="auto"/>
        <w:rPr>
          <w:rFonts w:ascii="Garamond" w:hAnsi="Garamond"/>
          <w:spacing w:val="-4"/>
          <w:sz w:val="24"/>
          <w:szCs w:val="24"/>
          <w:lang w:val="sq-AL"/>
        </w:rPr>
      </w:pPr>
    </w:p>
    <w:p w:rsidR="00DF6666" w:rsidRPr="00993C76" w:rsidRDefault="00DF6666" w:rsidP="00DF6666">
      <w:pPr>
        <w:pStyle w:val="NeniNr"/>
        <w:keepNext w:val="0"/>
        <w:rPr>
          <w:spacing w:val="-4"/>
          <w:szCs w:val="24"/>
          <w:lang w:val="sq-AL"/>
        </w:rPr>
      </w:pPr>
      <w:r w:rsidRPr="00993C76">
        <w:rPr>
          <w:spacing w:val="-4"/>
          <w:szCs w:val="24"/>
          <w:lang w:val="sq-AL"/>
        </w:rPr>
        <w:t>KREU V</w:t>
      </w:r>
    </w:p>
    <w:p w:rsidR="00DF6666" w:rsidRPr="00993C76" w:rsidRDefault="00DF6666" w:rsidP="00DF6666">
      <w:pPr>
        <w:pStyle w:val="NeniNr"/>
        <w:keepNext w:val="0"/>
        <w:rPr>
          <w:spacing w:val="-4"/>
          <w:szCs w:val="24"/>
          <w:lang w:val="sq-AL"/>
        </w:rPr>
      </w:pPr>
      <w:r w:rsidRPr="00993C76">
        <w:rPr>
          <w:spacing w:val="-4"/>
          <w:szCs w:val="24"/>
          <w:lang w:val="sq-AL"/>
        </w:rPr>
        <w:t>DISPOZITA KALIMTARE DHE TË FUNDIT</w:t>
      </w:r>
    </w:p>
    <w:p w:rsidR="00DF6666" w:rsidRPr="00993C76" w:rsidRDefault="00DF6666" w:rsidP="00DF6666">
      <w:pPr>
        <w:pStyle w:val="NeniNr"/>
        <w:keepNext w:val="0"/>
        <w:rPr>
          <w:rFonts w:eastAsia="Calibri"/>
          <w:spacing w:val="-4"/>
          <w:szCs w:val="24"/>
          <w:lang w:val="sq-AL"/>
        </w:rPr>
      </w:pPr>
    </w:p>
    <w:p w:rsidR="00DF6666" w:rsidRPr="00993C76" w:rsidRDefault="00DF6666" w:rsidP="00DF6666">
      <w:pPr>
        <w:pStyle w:val="NeniNr"/>
        <w:keepNext w:val="0"/>
        <w:rPr>
          <w:spacing w:val="-4"/>
          <w:szCs w:val="24"/>
          <w:lang w:val="sq-AL"/>
        </w:rPr>
      </w:pPr>
      <w:r w:rsidRPr="00993C76">
        <w:rPr>
          <w:spacing w:val="-4"/>
          <w:szCs w:val="24"/>
          <w:lang w:val="sq-AL"/>
        </w:rPr>
        <w:t>Neni 30</w:t>
      </w:r>
    </w:p>
    <w:p w:rsidR="00DF6666" w:rsidRPr="00993C76" w:rsidRDefault="00DF6666" w:rsidP="00DF6666">
      <w:pPr>
        <w:pStyle w:val="NeniNr"/>
        <w:keepNext w:val="0"/>
        <w:rPr>
          <w:b/>
          <w:spacing w:val="-4"/>
          <w:szCs w:val="24"/>
          <w:lang w:val="sq-AL"/>
        </w:rPr>
      </w:pPr>
      <w:r w:rsidRPr="00993C76">
        <w:rPr>
          <w:b/>
          <w:spacing w:val="-4"/>
          <w:szCs w:val="24"/>
          <w:lang w:val="sq-AL"/>
        </w:rPr>
        <w:t>Aktet nënligjore</w:t>
      </w:r>
    </w:p>
    <w:p w:rsidR="00DF6666" w:rsidRPr="00993C76" w:rsidRDefault="00DF6666" w:rsidP="00DF6666">
      <w:pPr>
        <w:widowControl w:val="0"/>
        <w:tabs>
          <w:tab w:val="left" w:pos="1453"/>
        </w:tabs>
        <w:spacing w:after="0" w:line="240" w:lineRule="auto"/>
        <w:jc w:val="center"/>
        <w:rPr>
          <w:rFonts w:ascii="Garamond" w:hAnsi="Garamond"/>
          <w:b/>
          <w:spacing w:val="-4"/>
          <w:sz w:val="24"/>
          <w:szCs w:val="24"/>
          <w:lang w:val="sq-AL"/>
        </w:rPr>
      </w:pP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Ngarkohet Këshilli i Ministrave që, brenda 6 muajve nga data e hyrjes në fuqi të këtij ligji, të miratojë aktet nënligjore të përcaktuara në nenet 25, pika 6, dhe 26, pika 1, të këtij ligji.</w:t>
      </w:r>
    </w:p>
    <w:p w:rsidR="00DF6666" w:rsidRPr="00993C76" w:rsidRDefault="00DF6666" w:rsidP="00DF6666">
      <w:pPr>
        <w:widowControl w:val="0"/>
        <w:spacing w:after="0" w:line="240" w:lineRule="auto"/>
        <w:rPr>
          <w:rFonts w:ascii="Garamond" w:hAnsi="Garamond"/>
          <w:spacing w:val="-4"/>
          <w:sz w:val="24"/>
          <w:szCs w:val="24"/>
          <w:lang w:val="sq-AL"/>
        </w:rPr>
      </w:pPr>
    </w:p>
    <w:p w:rsidR="00DF6666" w:rsidRPr="00993C76" w:rsidRDefault="00DF6666" w:rsidP="00DF6666">
      <w:pPr>
        <w:pStyle w:val="NeniNr"/>
        <w:keepNext w:val="0"/>
        <w:rPr>
          <w:spacing w:val="-4"/>
          <w:szCs w:val="24"/>
          <w:lang w:val="sq-AL"/>
        </w:rPr>
      </w:pPr>
      <w:r w:rsidRPr="00993C76">
        <w:rPr>
          <w:spacing w:val="-4"/>
          <w:szCs w:val="24"/>
          <w:lang w:val="sq-AL"/>
        </w:rPr>
        <w:t>Neni 31</w:t>
      </w:r>
    </w:p>
    <w:p w:rsidR="00DF6666" w:rsidRPr="00993C76" w:rsidRDefault="00DF6666" w:rsidP="00DF6666">
      <w:pPr>
        <w:pStyle w:val="NeniNr"/>
        <w:keepNext w:val="0"/>
        <w:rPr>
          <w:b/>
          <w:spacing w:val="-4"/>
          <w:szCs w:val="24"/>
          <w:lang w:val="sq-AL"/>
        </w:rPr>
      </w:pPr>
      <w:r w:rsidRPr="00993C76">
        <w:rPr>
          <w:b/>
          <w:spacing w:val="-4"/>
          <w:szCs w:val="24"/>
          <w:lang w:val="sq-AL"/>
        </w:rPr>
        <w:t>Dispozita kalimtare</w:t>
      </w:r>
    </w:p>
    <w:p w:rsidR="00864FBA" w:rsidRPr="00993C76" w:rsidRDefault="00864FBA" w:rsidP="00864FBA">
      <w:pPr>
        <w:widowControl w:val="0"/>
        <w:spacing w:after="0" w:line="240" w:lineRule="auto"/>
        <w:ind w:firstLine="720"/>
        <w:jc w:val="center"/>
        <w:rPr>
          <w:rFonts w:ascii="Garamond" w:eastAsia="Times New Roman" w:hAnsi="Garamond"/>
          <w:i/>
          <w:sz w:val="24"/>
          <w:szCs w:val="24"/>
        </w:rPr>
      </w:pPr>
      <w:r w:rsidRPr="00993C76">
        <w:rPr>
          <w:rFonts w:ascii="Garamond" w:eastAsia="Times New Roman" w:hAnsi="Garamond"/>
          <w:i/>
          <w:sz w:val="24"/>
          <w:szCs w:val="24"/>
        </w:rPr>
        <w:t>(</w:t>
      </w:r>
      <w:r w:rsidR="00FE2A65" w:rsidRPr="00993C76">
        <w:rPr>
          <w:rFonts w:ascii="Garamond" w:eastAsia="Times New Roman" w:hAnsi="Garamond"/>
          <w:i/>
          <w:sz w:val="24"/>
          <w:szCs w:val="24"/>
        </w:rPr>
        <w:t>Shtuar pikat 4 dhe 5</w:t>
      </w:r>
      <w:r w:rsidRPr="00993C76">
        <w:rPr>
          <w:rFonts w:ascii="Garamond" w:eastAsia="Times New Roman" w:hAnsi="Garamond"/>
          <w:i/>
          <w:sz w:val="24"/>
          <w:szCs w:val="24"/>
        </w:rPr>
        <w:t xml:space="preserve"> me ligjin nr. 87/2026, datë 16.7.2026)</w:t>
      </w:r>
    </w:p>
    <w:p w:rsidR="00DF6666" w:rsidRPr="00993C76" w:rsidRDefault="00DF6666" w:rsidP="00DF6666">
      <w:pPr>
        <w:widowControl w:val="0"/>
        <w:tabs>
          <w:tab w:val="left" w:pos="1453"/>
        </w:tabs>
        <w:spacing w:after="0" w:line="240" w:lineRule="auto"/>
        <w:jc w:val="center"/>
        <w:rPr>
          <w:rFonts w:ascii="Garamond" w:hAnsi="Garamond"/>
          <w:b/>
          <w:spacing w:val="-4"/>
          <w:sz w:val="24"/>
          <w:szCs w:val="24"/>
          <w:lang w:val="sq-AL"/>
        </w:rPr>
      </w:pP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1. Pavarësisht nga përcaktimet e bëra në nenin 25, pikat 1 dhe 2, hyrja n</w:t>
      </w:r>
      <w:r w:rsidRPr="00993C76">
        <w:rPr>
          <w:rFonts w:ascii="Garamond" w:hAnsi="Garamond" w:cs="Garamond"/>
          <w:spacing w:val="-4"/>
          <w:sz w:val="24"/>
          <w:szCs w:val="24"/>
          <w:lang w:val="sq-AL"/>
        </w:rPr>
        <w:t>ë</w:t>
      </w:r>
      <w:r w:rsidRPr="00993C76">
        <w:rPr>
          <w:rFonts w:ascii="Garamond" w:hAnsi="Garamond"/>
          <w:spacing w:val="-4"/>
          <w:sz w:val="24"/>
          <w:szCs w:val="24"/>
          <w:lang w:val="sq-AL"/>
        </w:rPr>
        <w:t xml:space="preserve"> fuqi e k</w:t>
      </w:r>
      <w:r w:rsidRPr="00993C76">
        <w:rPr>
          <w:rFonts w:ascii="Garamond" w:hAnsi="Garamond" w:cs="Garamond"/>
          <w:spacing w:val="-4"/>
          <w:sz w:val="24"/>
          <w:szCs w:val="24"/>
          <w:lang w:val="sq-AL"/>
        </w:rPr>
        <w:t>ë</w:t>
      </w:r>
      <w:r w:rsidRPr="00993C76">
        <w:rPr>
          <w:rFonts w:ascii="Garamond" w:hAnsi="Garamond"/>
          <w:spacing w:val="-4"/>
          <w:sz w:val="24"/>
          <w:szCs w:val="24"/>
          <w:lang w:val="sq-AL"/>
        </w:rPr>
        <w:t>tij ligji nuk cenon mandatet e pap</w:t>
      </w:r>
      <w:r w:rsidRPr="00993C76">
        <w:rPr>
          <w:rFonts w:ascii="Garamond" w:hAnsi="Garamond" w:cs="Garamond"/>
          <w:spacing w:val="-4"/>
          <w:sz w:val="24"/>
          <w:szCs w:val="24"/>
          <w:lang w:val="sq-AL"/>
        </w:rPr>
        <w:t>ë</w:t>
      </w:r>
      <w:r w:rsidRPr="00993C76">
        <w:rPr>
          <w:rFonts w:ascii="Garamond" w:hAnsi="Garamond"/>
          <w:spacing w:val="-4"/>
          <w:sz w:val="24"/>
          <w:szCs w:val="24"/>
          <w:lang w:val="sq-AL"/>
        </w:rPr>
        <w:t>rfunduara t</w:t>
      </w:r>
      <w:r w:rsidRPr="00993C76">
        <w:rPr>
          <w:rFonts w:ascii="Garamond" w:hAnsi="Garamond" w:cs="Garamond"/>
          <w:spacing w:val="-4"/>
          <w:sz w:val="24"/>
          <w:szCs w:val="24"/>
          <w:lang w:val="sq-AL"/>
        </w:rPr>
        <w:t>ë</w:t>
      </w:r>
      <w:r w:rsidRPr="00993C76">
        <w:rPr>
          <w:rFonts w:ascii="Garamond" w:hAnsi="Garamond"/>
          <w:spacing w:val="-4"/>
          <w:sz w:val="24"/>
          <w:szCs w:val="24"/>
          <w:lang w:val="sq-AL"/>
        </w:rPr>
        <w:t xml:space="preserve"> an</w:t>
      </w:r>
      <w:r w:rsidRPr="00993C76">
        <w:rPr>
          <w:rFonts w:ascii="Garamond" w:hAnsi="Garamond" w:cs="Garamond"/>
          <w:spacing w:val="-4"/>
          <w:sz w:val="24"/>
          <w:szCs w:val="24"/>
          <w:lang w:val="sq-AL"/>
        </w:rPr>
        <w:t>ë</w:t>
      </w:r>
      <w:r w:rsidRPr="00993C76">
        <w:rPr>
          <w:rFonts w:ascii="Garamond" w:hAnsi="Garamond"/>
          <w:spacing w:val="-4"/>
          <w:sz w:val="24"/>
          <w:szCs w:val="24"/>
          <w:lang w:val="sq-AL"/>
        </w:rPr>
        <w:t>tar</w:t>
      </w:r>
      <w:r w:rsidRPr="00993C76">
        <w:rPr>
          <w:rFonts w:ascii="Garamond" w:hAnsi="Garamond" w:cs="Garamond"/>
          <w:spacing w:val="-4"/>
          <w:sz w:val="24"/>
          <w:szCs w:val="24"/>
          <w:lang w:val="sq-AL"/>
        </w:rPr>
        <w:t>ë</w:t>
      </w:r>
      <w:r w:rsidRPr="00993C76">
        <w:rPr>
          <w:rFonts w:ascii="Garamond" w:hAnsi="Garamond"/>
          <w:spacing w:val="-4"/>
          <w:sz w:val="24"/>
          <w:szCs w:val="24"/>
          <w:lang w:val="sq-AL"/>
        </w:rPr>
        <w:t>ve t</w:t>
      </w:r>
      <w:r w:rsidRPr="00993C76">
        <w:rPr>
          <w:rFonts w:ascii="Garamond" w:hAnsi="Garamond" w:cs="Garamond"/>
          <w:spacing w:val="-4"/>
          <w:sz w:val="24"/>
          <w:szCs w:val="24"/>
          <w:lang w:val="sq-AL"/>
        </w:rPr>
        <w:t>ë</w:t>
      </w:r>
      <w:r w:rsidRPr="00993C76">
        <w:rPr>
          <w:rFonts w:ascii="Garamond" w:hAnsi="Garamond"/>
          <w:spacing w:val="-4"/>
          <w:sz w:val="24"/>
          <w:szCs w:val="24"/>
          <w:lang w:val="sq-AL"/>
        </w:rPr>
        <w:t xml:space="preserve"> K</w:t>
      </w:r>
      <w:r w:rsidRPr="00993C76">
        <w:rPr>
          <w:rFonts w:ascii="Garamond" w:hAnsi="Garamond" w:cs="Garamond"/>
          <w:spacing w:val="-4"/>
          <w:sz w:val="24"/>
          <w:szCs w:val="24"/>
          <w:lang w:val="sq-AL"/>
        </w:rPr>
        <w:t>ë</w:t>
      </w:r>
      <w:r w:rsidRPr="00993C76">
        <w:rPr>
          <w:rFonts w:ascii="Garamond" w:hAnsi="Garamond"/>
          <w:spacing w:val="-4"/>
          <w:sz w:val="24"/>
          <w:szCs w:val="24"/>
          <w:lang w:val="sq-AL"/>
        </w:rPr>
        <w:t>shillit Komb</w:t>
      </w:r>
      <w:r w:rsidRPr="00993C76">
        <w:rPr>
          <w:rFonts w:ascii="Garamond" w:hAnsi="Garamond" w:cs="Garamond"/>
          <w:spacing w:val="-4"/>
          <w:sz w:val="24"/>
          <w:szCs w:val="24"/>
          <w:lang w:val="sq-AL"/>
        </w:rPr>
        <w:t>ë</w:t>
      </w:r>
      <w:r w:rsidRPr="00993C76">
        <w:rPr>
          <w:rFonts w:ascii="Garamond" w:hAnsi="Garamond"/>
          <w:spacing w:val="-4"/>
          <w:sz w:val="24"/>
          <w:szCs w:val="24"/>
          <w:lang w:val="sq-AL"/>
        </w:rPr>
        <w:t>tar t</w:t>
      </w:r>
      <w:r w:rsidRPr="00993C76">
        <w:rPr>
          <w:rFonts w:ascii="Garamond" w:hAnsi="Garamond" w:cs="Garamond"/>
          <w:spacing w:val="-4"/>
          <w:sz w:val="24"/>
          <w:szCs w:val="24"/>
          <w:lang w:val="sq-AL"/>
        </w:rPr>
        <w:t>ë</w:t>
      </w:r>
      <w:r w:rsidRPr="00993C76">
        <w:rPr>
          <w:rFonts w:ascii="Garamond" w:hAnsi="Garamond"/>
          <w:spacing w:val="-4"/>
          <w:sz w:val="24"/>
          <w:szCs w:val="24"/>
          <w:lang w:val="sq-AL"/>
        </w:rPr>
        <w:t xml:space="preserve"> Kontabilitetit, t</w:t>
      </w:r>
      <w:r w:rsidRPr="00993C76">
        <w:rPr>
          <w:rFonts w:ascii="Garamond" w:hAnsi="Garamond" w:cs="Garamond"/>
          <w:spacing w:val="-4"/>
          <w:sz w:val="24"/>
          <w:szCs w:val="24"/>
          <w:lang w:val="sq-AL"/>
        </w:rPr>
        <w:t>ë</w:t>
      </w:r>
      <w:r w:rsidRPr="00993C76">
        <w:rPr>
          <w:rFonts w:ascii="Garamond" w:hAnsi="Garamond"/>
          <w:spacing w:val="-4"/>
          <w:sz w:val="24"/>
          <w:szCs w:val="24"/>
          <w:lang w:val="sq-AL"/>
        </w:rPr>
        <w:t xml:space="preserve"> cil</w:t>
      </w:r>
      <w:r w:rsidRPr="00993C76">
        <w:rPr>
          <w:rFonts w:ascii="Garamond" w:hAnsi="Garamond" w:cs="Garamond"/>
          <w:spacing w:val="-4"/>
          <w:sz w:val="24"/>
          <w:szCs w:val="24"/>
          <w:lang w:val="sq-AL"/>
        </w:rPr>
        <w:t>ë</w:t>
      </w:r>
      <w:r w:rsidRPr="00993C76">
        <w:rPr>
          <w:rFonts w:ascii="Garamond" w:hAnsi="Garamond"/>
          <w:spacing w:val="-4"/>
          <w:sz w:val="24"/>
          <w:szCs w:val="24"/>
          <w:lang w:val="sq-AL"/>
        </w:rPr>
        <w:t>t vazhdojn</w:t>
      </w:r>
      <w:r w:rsidRPr="00993C76">
        <w:rPr>
          <w:rFonts w:ascii="Garamond" w:hAnsi="Garamond" w:cs="Garamond"/>
          <w:spacing w:val="-4"/>
          <w:sz w:val="24"/>
          <w:szCs w:val="24"/>
          <w:lang w:val="sq-AL"/>
        </w:rPr>
        <w:t>ë</w:t>
      </w:r>
      <w:r w:rsidRPr="00993C76">
        <w:rPr>
          <w:rFonts w:ascii="Garamond" w:hAnsi="Garamond"/>
          <w:spacing w:val="-4"/>
          <w:sz w:val="24"/>
          <w:szCs w:val="24"/>
          <w:lang w:val="sq-AL"/>
        </w:rPr>
        <w:t xml:space="preserve"> t</w:t>
      </w:r>
      <w:r w:rsidRPr="00993C76">
        <w:rPr>
          <w:rFonts w:ascii="Garamond" w:hAnsi="Garamond" w:cs="Garamond"/>
          <w:spacing w:val="-4"/>
          <w:sz w:val="24"/>
          <w:szCs w:val="24"/>
          <w:lang w:val="sq-AL"/>
        </w:rPr>
        <w:t>ë</w:t>
      </w:r>
      <w:r w:rsidRPr="00993C76">
        <w:rPr>
          <w:rFonts w:ascii="Garamond" w:hAnsi="Garamond"/>
          <w:spacing w:val="-4"/>
          <w:sz w:val="24"/>
          <w:szCs w:val="24"/>
          <w:lang w:val="sq-AL"/>
        </w:rPr>
        <w:t xml:space="preserve"> jen</w:t>
      </w:r>
      <w:r w:rsidRPr="00993C76">
        <w:rPr>
          <w:rFonts w:ascii="Garamond" w:hAnsi="Garamond" w:cs="Garamond"/>
          <w:spacing w:val="-4"/>
          <w:sz w:val="24"/>
          <w:szCs w:val="24"/>
          <w:lang w:val="sq-AL"/>
        </w:rPr>
        <w:t>ë</w:t>
      </w:r>
      <w:r w:rsidRPr="00993C76">
        <w:rPr>
          <w:rFonts w:ascii="Garamond" w:hAnsi="Garamond"/>
          <w:spacing w:val="-4"/>
          <w:sz w:val="24"/>
          <w:szCs w:val="24"/>
          <w:lang w:val="sq-AL"/>
        </w:rPr>
        <w:t xml:space="preserve"> pjes</w:t>
      </w:r>
      <w:r w:rsidRPr="00993C76">
        <w:rPr>
          <w:rFonts w:ascii="Garamond" w:hAnsi="Garamond" w:cs="Garamond"/>
          <w:spacing w:val="-4"/>
          <w:sz w:val="24"/>
          <w:szCs w:val="24"/>
          <w:lang w:val="sq-AL"/>
        </w:rPr>
        <w:t>ë</w:t>
      </w:r>
      <w:r w:rsidRPr="00993C76">
        <w:rPr>
          <w:rFonts w:ascii="Garamond" w:hAnsi="Garamond"/>
          <w:spacing w:val="-4"/>
          <w:sz w:val="24"/>
          <w:szCs w:val="24"/>
          <w:lang w:val="sq-AL"/>
        </w:rPr>
        <w:t xml:space="preserve"> e tij deri n</w:t>
      </w:r>
      <w:r w:rsidRPr="00993C76">
        <w:rPr>
          <w:rFonts w:ascii="Garamond" w:hAnsi="Garamond" w:cs="Garamond"/>
          <w:spacing w:val="-4"/>
          <w:sz w:val="24"/>
          <w:szCs w:val="24"/>
          <w:lang w:val="sq-AL"/>
        </w:rPr>
        <w:t>ë</w:t>
      </w:r>
      <w:r w:rsidRPr="00993C76">
        <w:rPr>
          <w:rFonts w:ascii="Garamond" w:hAnsi="Garamond"/>
          <w:spacing w:val="-4"/>
          <w:sz w:val="24"/>
          <w:szCs w:val="24"/>
          <w:lang w:val="sq-AL"/>
        </w:rPr>
        <w:t xml:space="preserve"> miratimin e rregullores së funksionimit të tij, sipas nenit 26, pika 1, dhe nxjerrjes së urdhrit të ministrit përgjegjës për financat, sipas nenit 25, pika 2, të këtij ligji.</w:t>
      </w:r>
    </w:p>
    <w:p w:rsidR="00DF6666" w:rsidRPr="00993C76" w:rsidRDefault="00DF6666" w:rsidP="00DF6666">
      <w:pPr>
        <w:widowControl w:val="0"/>
        <w:autoSpaceDE w:val="0"/>
        <w:autoSpaceDN w:val="0"/>
        <w:adjustRightInd w:val="0"/>
        <w:spacing w:after="0" w:line="240" w:lineRule="auto"/>
        <w:rPr>
          <w:rFonts w:ascii="Garamond" w:hAnsi="Garamond"/>
          <w:spacing w:val="-4"/>
          <w:sz w:val="24"/>
          <w:szCs w:val="24"/>
          <w:lang w:val="sq-AL"/>
        </w:rPr>
      </w:pPr>
      <w:r w:rsidRPr="00993C76">
        <w:rPr>
          <w:rFonts w:ascii="Garamond" w:hAnsi="Garamond"/>
          <w:spacing w:val="-4"/>
          <w:sz w:val="24"/>
          <w:szCs w:val="24"/>
          <w:lang w:val="sq-AL"/>
        </w:rPr>
        <w:t xml:space="preserve">Në rast rimandatimi, sipas nenit 25, pika 3, të këtij ligji, kufizimet e ripërtëritjes së mandateve të anëtarëve të Këshillit Kombëtar të Kontabilitetit llogariten që nga koha kur organi përkatës është ngritur dhe ka funksionuar për herë të parë. </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 xml:space="preserve">2. Pavarësisht nga përcaktimet e bëra në nenin 25, pika 6, të këtij ligji, hyrja në fuqi e këtij ligji nuk </w:t>
      </w:r>
      <w:r w:rsidRPr="00993C76">
        <w:rPr>
          <w:rFonts w:ascii="Garamond" w:hAnsi="Garamond"/>
          <w:spacing w:val="-4"/>
          <w:sz w:val="24"/>
          <w:szCs w:val="24"/>
          <w:lang w:val="sq-AL"/>
        </w:rPr>
        <w:lastRenderedPageBreak/>
        <w:t>cenon/ndërpret marrëdhëniet e punësimit të strukturës administrative që mbështet Këshillin Kombëtar të Kontabilitetit.</w:t>
      </w: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 xml:space="preserve">3. Me hyrjen në fuqi të këtij ligji, Këshilli Kombëtar i Kontabilitetit merr masat e nevojshme për rishikimin e standardeve kontabël, sipas kërkesave të këtij ligji. </w:t>
      </w:r>
    </w:p>
    <w:p w:rsidR="00864FBA" w:rsidRPr="00864FBA" w:rsidRDefault="00864FBA" w:rsidP="00864FBA">
      <w:pPr>
        <w:spacing w:after="0" w:line="240" w:lineRule="auto"/>
        <w:rPr>
          <w:rFonts w:ascii="Garamond" w:eastAsiaTheme="minorHAnsi" w:hAnsi="Garamond"/>
          <w:color w:val="000000" w:themeColor="text1"/>
          <w:sz w:val="24"/>
          <w:szCs w:val="24"/>
          <w:lang w:val="sq-AL"/>
        </w:rPr>
      </w:pPr>
      <w:r w:rsidRPr="00864FBA">
        <w:rPr>
          <w:rFonts w:ascii="Garamond" w:eastAsiaTheme="minorHAnsi" w:hAnsi="Garamond"/>
          <w:color w:val="000000" w:themeColor="text1"/>
          <w:sz w:val="24"/>
          <w:szCs w:val="24"/>
          <w:lang w:val="sq-AL"/>
        </w:rPr>
        <w:t xml:space="preserve">4. Kërkesat për raportimin e qëndrueshmërisë, raportin e konsoliduar të qëndrueshmërisë dhe raportin për informacionin mbi tatimin mbi të ardhurat zbatohen në mënyrë të detyrueshme për periudhat raportuese që fillojnë nga viti 2028 e në vijim. Njësitë ekonomike të përcaktuara në nenin 18 të këtij ligji hartojnë dhe publikojnë raportin jofinanciar për periudhat raportuese përfshirë atë të vitit 2027, në përputhje me kërkesat e këtij ligji. </w:t>
      </w:r>
    </w:p>
    <w:p w:rsidR="00864FBA" w:rsidRPr="00864FBA" w:rsidRDefault="00864FBA" w:rsidP="00864FBA">
      <w:pPr>
        <w:spacing w:after="0" w:line="240" w:lineRule="auto"/>
        <w:rPr>
          <w:rFonts w:ascii="Garamond" w:eastAsiaTheme="minorHAnsi" w:hAnsi="Garamond"/>
          <w:color w:val="000000" w:themeColor="text1"/>
          <w:sz w:val="24"/>
          <w:szCs w:val="24"/>
          <w:lang w:val="sq-AL"/>
        </w:rPr>
      </w:pPr>
      <w:r w:rsidRPr="00864FBA">
        <w:rPr>
          <w:rFonts w:ascii="Garamond" w:eastAsiaTheme="minorHAnsi" w:hAnsi="Garamond"/>
          <w:color w:val="000000" w:themeColor="text1"/>
          <w:sz w:val="24"/>
          <w:szCs w:val="24"/>
          <w:lang w:val="sq-AL"/>
        </w:rPr>
        <w:t>Nga periudha raportuese e vitit 2028 e në vijim raportimi jofinanciar shfuqizohet dhe zëvendësohet nga raportimi i qëndrueshmërisë. Njësitë ekonomike mund të zbatojnë raportimin e qëndrueshmërisë mbi baza vullnetare, duke filluar nga periudha raportuese e vitit 2028 e në vijim.</w:t>
      </w:r>
    </w:p>
    <w:p w:rsidR="00864FBA" w:rsidRPr="00864FBA" w:rsidRDefault="00864FBA" w:rsidP="00864FBA">
      <w:pPr>
        <w:spacing w:after="0" w:line="240" w:lineRule="auto"/>
        <w:rPr>
          <w:rFonts w:ascii="Garamond" w:eastAsiaTheme="minorHAnsi" w:hAnsi="Garamond"/>
          <w:color w:val="000000" w:themeColor="text1"/>
          <w:sz w:val="24"/>
          <w:szCs w:val="24"/>
          <w:lang w:val="sq-AL"/>
        </w:rPr>
      </w:pPr>
      <w:r w:rsidRPr="00864FBA">
        <w:rPr>
          <w:rFonts w:ascii="Garamond" w:eastAsiaTheme="minorEastAsia" w:hAnsi="Garamond"/>
          <w:bCs/>
          <w:color w:val="000000" w:themeColor="text1"/>
          <w:sz w:val="24"/>
          <w:szCs w:val="24"/>
          <w:lang w:val="sq-AL"/>
        </w:rPr>
        <w:t>5. Deri në miratimin e rregullimeve teknike përkatëse të raportimit elektronik dhe të taksonomis</w:t>
      </w:r>
      <w:r w:rsidRPr="00864FBA">
        <w:rPr>
          <w:rFonts w:ascii="Garamond" w:eastAsiaTheme="minorHAnsi" w:hAnsi="Garamond"/>
          <w:bCs/>
          <w:color w:val="000000" w:themeColor="text1"/>
          <w:sz w:val="24"/>
          <w:szCs w:val="24"/>
          <w:lang w:val="sq-AL"/>
        </w:rPr>
        <w:t>ë</w:t>
      </w:r>
      <w:r w:rsidRPr="00864FBA">
        <w:rPr>
          <w:rFonts w:ascii="Garamond" w:eastAsiaTheme="minorEastAsia" w:hAnsi="Garamond"/>
          <w:bCs/>
          <w:color w:val="000000" w:themeColor="text1"/>
          <w:sz w:val="24"/>
          <w:szCs w:val="24"/>
          <w:lang w:val="sq-AL"/>
        </w:rPr>
        <w:t>, sipas legjislacionit të zbatueshëm të Bashkimit Evropian, njësitë ekonomike individuale dhe ato mëmë nuk kanë detyrimin të zbatojn</w:t>
      </w:r>
      <w:r w:rsidRPr="00864FBA">
        <w:rPr>
          <w:rFonts w:ascii="Garamond" w:eastAsiaTheme="minorHAnsi" w:hAnsi="Garamond"/>
          <w:bCs/>
          <w:color w:val="000000" w:themeColor="text1"/>
          <w:sz w:val="24"/>
          <w:szCs w:val="24"/>
          <w:lang w:val="sq-AL"/>
        </w:rPr>
        <w:t>ë</w:t>
      </w:r>
      <w:r w:rsidRPr="00864FBA">
        <w:rPr>
          <w:rFonts w:ascii="Garamond" w:eastAsiaTheme="minorEastAsia" w:hAnsi="Garamond"/>
          <w:bCs/>
          <w:color w:val="000000" w:themeColor="text1"/>
          <w:sz w:val="24"/>
          <w:szCs w:val="24"/>
          <w:lang w:val="sq-AL"/>
        </w:rPr>
        <w:t xml:space="preserve"> k</w:t>
      </w:r>
      <w:r w:rsidRPr="00864FBA">
        <w:rPr>
          <w:rFonts w:ascii="Garamond" w:eastAsiaTheme="minorHAnsi" w:hAnsi="Garamond"/>
          <w:bCs/>
          <w:color w:val="000000" w:themeColor="text1"/>
          <w:sz w:val="24"/>
          <w:szCs w:val="24"/>
          <w:lang w:val="sq-AL"/>
        </w:rPr>
        <w:t>ë</w:t>
      </w:r>
      <w:r w:rsidRPr="00864FBA">
        <w:rPr>
          <w:rFonts w:ascii="Garamond" w:eastAsiaTheme="minorEastAsia" w:hAnsi="Garamond"/>
          <w:bCs/>
          <w:color w:val="000000" w:themeColor="text1"/>
          <w:sz w:val="24"/>
          <w:szCs w:val="24"/>
          <w:lang w:val="sq-AL"/>
        </w:rPr>
        <w:t>rkesat e nenit 22/1 të këtij ligji. Rregullat e hollësishme dhe procedurat për formatin, paraqitjen, depozitimin dhe publikimin e informacionit të parashikuar në këtë nen miratohen me akt nënligjor nga ministri përgjegjës për financat</w:t>
      </w:r>
      <w:r w:rsidRPr="00864FBA">
        <w:rPr>
          <w:rFonts w:ascii="Garamond" w:eastAsiaTheme="minorHAnsi" w:hAnsi="Garamond"/>
          <w:bCs/>
          <w:color w:val="000000" w:themeColor="text1"/>
          <w:sz w:val="24"/>
          <w:szCs w:val="24"/>
          <w:lang w:val="sq-AL"/>
        </w:rPr>
        <w:t>, me propozim të Këshillit Kombëtar të Kontabilitetit.</w:t>
      </w:r>
    </w:p>
    <w:p w:rsidR="00864FBA" w:rsidRPr="00993C76" w:rsidRDefault="00864FBA" w:rsidP="00DF6666">
      <w:pPr>
        <w:widowControl w:val="0"/>
        <w:spacing w:after="0" w:line="240" w:lineRule="auto"/>
        <w:rPr>
          <w:rFonts w:ascii="Garamond" w:hAnsi="Garamond"/>
          <w:spacing w:val="-4"/>
          <w:sz w:val="24"/>
          <w:szCs w:val="24"/>
          <w:lang w:val="sq-AL"/>
        </w:rPr>
      </w:pPr>
    </w:p>
    <w:p w:rsidR="00DF6666" w:rsidRPr="00993C76" w:rsidRDefault="00DF6666" w:rsidP="00DF6666">
      <w:pPr>
        <w:pStyle w:val="NeniNr"/>
        <w:keepNext w:val="0"/>
        <w:rPr>
          <w:spacing w:val="-4"/>
          <w:szCs w:val="24"/>
          <w:lang w:val="sq-AL"/>
        </w:rPr>
      </w:pPr>
      <w:r w:rsidRPr="00993C76">
        <w:rPr>
          <w:spacing w:val="-4"/>
          <w:szCs w:val="24"/>
          <w:lang w:val="sq-AL"/>
        </w:rPr>
        <w:t>Neni 32</w:t>
      </w:r>
    </w:p>
    <w:p w:rsidR="00DF6666" w:rsidRPr="00993C76" w:rsidRDefault="00DF6666" w:rsidP="00DF6666">
      <w:pPr>
        <w:pStyle w:val="NeniNr"/>
        <w:keepNext w:val="0"/>
        <w:rPr>
          <w:b/>
          <w:spacing w:val="-4"/>
          <w:szCs w:val="24"/>
          <w:lang w:val="sq-AL"/>
        </w:rPr>
      </w:pPr>
      <w:r w:rsidRPr="00993C76">
        <w:rPr>
          <w:b/>
          <w:spacing w:val="-4"/>
          <w:szCs w:val="24"/>
          <w:lang w:val="sq-AL"/>
        </w:rPr>
        <w:t>Shfuqizime</w:t>
      </w:r>
    </w:p>
    <w:p w:rsidR="00DF6666" w:rsidRPr="00993C76" w:rsidRDefault="00DF6666" w:rsidP="00DF6666">
      <w:pPr>
        <w:widowControl w:val="0"/>
        <w:tabs>
          <w:tab w:val="left" w:pos="1453"/>
        </w:tabs>
        <w:spacing w:after="0" w:line="240" w:lineRule="auto"/>
        <w:jc w:val="center"/>
        <w:rPr>
          <w:rFonts w:ascii="Garamond" w:hAnsi="Garamond"/>
          <w:b/>
          <w:spacing w:val="-4"/>
          <w:sz w:val="24"/>
          <w:szCs w:val="24"/>
          <w:lang w:val="sq-AL"/>
        </w:rPr>
      </w:pPr>
    </w:p>
    <w:p w:rsidR="00DF6666" w:rsidRPr="00993C76" w:rsidRDefault="00DF6666" w:rsidP="00DF6666">
      <w:pPr>
        <w:widowControl w:val="0"/>
        <w:spacing w:after="0" w:line="240" w:lineRule="auto"/>
        <w:rPr>
          <w:rFonts w:ascii="Garamond" w:hAnsi="Garamond"/>
          <w:spacing w:val="-4"/>
          <w:sz w:val="24"/>
          <w:szCs w:val="24"/>
          <w:lang w:val="sq-AL"/>
        </w:rPr>
      </w:pPr>
      <w:r w:rsidRPr="00993C76">
        <w:rPr>
          <w:rFonts w:ascii="Garamond" w:hAnsi="Garamond"/>
          <w:spacing w:val="-4"/>
          <w:sz w:val="24"/>
          <w:szCs w:val="24"/>
          <w:lang w:val="sq-AL"/>
        </w:rPr>
        <w:t xml:space="preserve">Ligji nr. 9228, datë 29.4.2004, </w:t>
      </w:r>
      <w:r w:rsidRPr="00993C76">
        <w:rPr>
          <w:rFonts w:ascii="Garamond" w:hAnsi="Garamond" w:cs="Garamond"/>
          <w:spacing w:val="-4"/>
          <w:sz w:val="24"/>
          <w:szCs w:val="24"/>
          <w:lang w:val="sq-AL"/>
        </w:rPr>
        <w:t>“</w:t>
      </w:r>
      <w:r w:rsidRPr="00993C76">
        <w:rPr>
          <w:rFonts w:ascii="Garamond" w:hAnsi="Garamond"/>
          <w:spacing w:val="-4"/>
          <w:sz w:val="24"/>
          <w:szCs w:val="24"/>
          <w:lang w:val="sq-AL"/>
        </w:rPr>
        <w:t>P</w:t>
      </w:r>
      <w:r w:rsidRPr="00993C76">
        <w:rPr>
          <w:rFonts w:ascii="Garamond" w:hAnsi="Garamond" w:cs="Garamond"/>
          <w:spacing w:val="-4"/>
          <w:sz w:val="24"/>
          <w:szCs w:val="24"/>
          <w:lang w:val="sq-AL"/>
        </w:rPr>
        <w:t>ë</w:t>
      </w:r>
      <w:r w:rsidRPr="00993C76">
        <w:rPr>
          <w:rFonts w:ascii="Garamond" w:hAnsi="Garamond"/>
          <w:spacing w:val="-4"/>
          <w:sz w:val="24"/>
          <w:szCs w:val="24"/>
          <w:lang w:val="sq-AL"/>
        </w:rPr>
        <w:t>r kontabilitetin dhe pasqyrat financiare</w:t>
      </w:r>
      <w:r w:rsidRPr="00993C76">
        <w:rPr>
          <w:rFonts w:ascii="Garamond" w:hAnsi="Garamond" w:cs="Garamond"/>
          <w:spacing w:val="-4"/>
          <w:sz w:val="24"/>
          <w:szCs w:val="24"/>
          <w:lang w:val="sq-AL"/>
        </w:rPr>
        <w:t>”</w:t>
      </w:r>
      <w:r w:rsidRPr="00993C76">
        <w:rPr>
          <w:rFonts w:ascii="Garamond" w:hAnsi="Garamond"/>
          <w:spacing w:val="-4"/>
          <w:sz w:val="24"/>
          <w:szCs w:val="24"/>
          <w:lang w:val="sq-AL"/>
        </w:rPr>
        <w:t>, i ndryshuar, si dhe aktet q</w:t>
      </w:r>
      <w:r w:rsidRPr="00993C76">
        <w:rPr>
          <w:rFonts w:ascii="Garamond" w:hAnsi="Garamond" w:cs="Garamond"/>
          <w:spacing w:val="-4"/>
          <w:sz w:val="24"/>
          <w:szCs w:val="24"/>
          <w:lang w:val="sq-AL"/>
        </w:rPr>
        <w:t>ë</w:t>
      </w:r>
      <w:r w:rsidRPr="00993C76">
        <w:rPr>
          <w:rFonts w:ascii="Garamond" w:hAnsi="Garamond"/>
          <w:spacing w:val="-4"/>
          <w:sz w:val="24"/>
          <w:szCs w:val="24"/>
          <w:lang w:val="sq-AL"/>
        </w:rPr>
        <w:t xml:space="preserve"> bien n</w:t>
      </w:r>
      <w:r w:rsidRPr="00993C76">
        <w:rPr>
          <w:rFonts w:ascii="Garamond" w:hAnsi="Garamond" w:cs="Garamond"/>
          <w:spacing w:val="-4"/>
          <w:sz w:val="24"/>
          <w:szCs w:val="24"/>
          <w:lang w:val="sq-AL"/>
        </w:rPr>
        <w:t>ë</w:t>
      </w:r>
      <w:r w:rsidRPr="00993C76">
        <w:rPr>
          <w:rFonts w:ascii="Garamond" w:hAnsi="Garamond"/>
          <w:spacing w:val="-4"/>
          <w:sz w:val="24"/>
          <w:szCs w:val="24"/>
          <w:lang w:val="sq-AL"/>
        </w:rPr>
        <w:t xml:space="preserve"> kund</w:t>
      </w:r>
      <w:r w:rsidRPr="00993C76">
        <w:rPr>
          <w:rFonts w:ascii="Garamond" w:hAnsi="Garamond" w:cs="Garamond"/>
          <w:spacing w:val="-4"/>
          <w:sz w:val="24"/>
          <w:szCs w:val="24"/>
          <w:lang w:val="sq-AL"/>
        </w:rPr>
        <w:t>ë</w:t>
      </w:r>
      <w:r w:rsidRPr="00993C76">
        <w:rPr>
          <w:rFonts w:ascii="Garamond" w:hAnsi="Garamond"/>
          <w:spacing w:val="-4"/>
          <w:sz w:val="24"/>
          <w:szCs w:val="24"/>
          <w:lang w:val="sq-AL"/>
        </w:rPr>
        <w:t>rshtim me dispozitat e këtij ligji shfuqizohen.</w:t>
      </w:r>
    </w:p>
    <w:p w:rsidR="00DF6666" w:rsidRPr="00993C76" w:rsidRDefault="00DF6666" w:rsidP="00DF6666">
      <w:pPr>
        <w:widowControl w:val="0"/>
        <w:tabs>
          <w:tab w:val="left" w:pos="1453"/>
        </w:tabs>
        <w:spacing w:after="0" w:line="240" w:lineRule="auto"/>
        <w:jc w:val="center"/>
        <w:rPr>
          <w:rFonts w:ascii="Garamond" w:hAnsi="Garamond"/>
          <w:spacing w:val="-4"/>
          <w:sz w:val="24"/>
          <w:szCs w:val="24"/>
          <w:lang w:val="sq-AL"/>
        </w:rPr>
      </w:pPr>
    </w:p>
    <w:p w:rsidR="00DF6666" w:rsidRPr="00993C76" w:rsidRDefault="00DF6666" w:rsidP="00DF6666">
      <w:pPr>
        <w:pStyle w:val="NeniNr"/>
        <w:keepNext w:val="0"/>
        <w:rPr>
          <w:spacing w:val="-4"/>
          <w:szCs w:val="24"/>
          <w:lang w:val="sq-AL"/>
        </w:rPr>
      </w:pPr>
      <w:r w:rsidRPr="00993C76">
        <w:rPr>
          <w:spacing w:val="-4"/>
          <w:szCs w:val="24"/>
          <w:lang w:val="sq-AL"/>
        </w:rPr>
        <w:t>Neni 33</w:t>
      </w:r>
    </w:p>
    <w:p w:rsidR="00DF6666" w:rsidRPr="00993C76" w:rsidRDefault="00DF6666" w:rsidP="00DF6666">
      <w:pPr>
        <w:pStyle w:val="NeniNr"/>
        <w:keepNext w:val="0"/>
        <w:rPr>
          <w:b/>
          <w:spacing w:val="-4"/>
          <w:szCs w:val="24"/>
          <w:lang w:val="sq-AL"/>
        </w:rPr>
      </w:pPr>
      <w:r w:rsidRPr="00993C76">
        <w:rPr>
          <w:b/>
          <w:spacing w:val="-4"/>
          <w:szCs w:val="24"/>
          <w:lang w:val="sq-AL"/>
        </w:rPr>
        <w:t>Hyrja në fuqi</w:t>
      </w:r>
    </w:p>
    <w:p w:rsidR="00DF6666" w:rsidRPr="00993C76" w:rsidRDefault="00DF6666" w:rsidP="00DF6666">
      <w:pPr>
        <w:widowControl w:val="0"/>
        <w:tabs>
          <w:tab w:val="left" w:pos="1453"/>
        </w:tabs>
        <w:spacing w:after="0" w:line="240" w:lineRule="auto"/>
        <w:jc w:val="left"/>
        <w:rPr>
          <w:rFonts w:ascii="Garamond" w:hAnsi="Garamond"/>
          <w:spacing w:val="-4"/>
          <w:sz w:val="24"/>
          <w:szCs w:val="24"/>
          <w:lang w:val="sq-AL"/>
        </w:rPr>
      </w:pPr>
    </w:p>
    <w:p w:rsidR="00DF6666" w:rsidRPr="00993C76" w:rsidRDefault="00DF6666" w:rsidP="00DF6666">
      <w:pPr>
        <w:widowControl w:val="0"/>
        <w:spacing w:after="0" w:line="240" w:lineRule="auto"/>
        <w:jc w:val="left"/>
        <w:rPr>
          <w:rFonts w:ascii="Garamond" w:hAnsi="Garamond"/>
          <w:spacing w:val="-4"/>
          <w:sz w:val="24"/>
          <w:szCs w:val="24"/>
          <w:lang w:val="sq-AL"/>
        </w:rPr>
      </w:pPr>
      <w:r w:rsidRPr="00993C76">
        <w:rPr>
          <w:rFonts w:ascii="Garamond" w:hAnsi="Garamond"/>
          <w:spacing w:val="-4"/>
          <w:sz w:val="24"/>
          <w:szCs w:val="24"/>
          <w:lang w:val="sq-AL"/>
        </w:rPr>
        <w:t>Ky ligj hyn në fuqi në datën 1 janar 2019.</w:t>
      </w:r>
    </w:p>
    <w:p w:rsidR="00DF6666" w:rsidRPr="00993C76" w:rsidRDefault="00DF6666" w:rsidP="00DF6666">
      <w:pPr>
        <w:widowControl w:val="0"/>
        <w:tabs>
          <w:tab w:val="left" w:pos="1453"/>
        </w:tabs>
        <w:spacing w:after="0" w:line="240" w:lineRule="auto"/>
        <w:jc w:val="left"/>
        <w:rPr>
          <w:rFonts w:ascii="Garamond" w:hAnsi="Garamond"/>
          <w:spacing w:val="-4"/>
          <w:sz w:val="24"/>
          <w:szCs w:val="24"/>
          <w:lang w:val="sq-AL"/>
        </w:rPr>
      </w:pPr>
    </w:p>
    <w:p w:rsidR="00DF6666" w:rsidRPr="00993C76" w:rsidRDefault="00DF6666" w:rsidP="00DF6666">
      <w:pPr>
        <w:widowControl w:val="0"/>
        <w:tabs>
          <w:tab w:val="left" w:pos="1453"/>
        </w:tabs>
        <w:spacing w:after="0" w:line="240" w:lineRule="auto"/>
        <w:rPr>
          <w:rFonts w:ascii="Garamond" w:hAnsi="Garamond"/>
          <w:spacing w:val="-4"/>
          <w:sz w:val="24"/>
          <w:szCs w:val="24"/>
          <w:lang w:val="sq-AL"/>
        </w:rPr>
      </w:pPr>
      <w:r w:rsidRPr="00993C76">
        <w:rPr>
          <w:rFonts w:ascii="Garamond" w:hAnsi="Garamond"/>
          <w:spacing w:val="-4"/>
          <w:sz w:val="24"/>
          <w:szCs w:val="24"/>
          <w:lang w:val="sq-AL"/>
        </w:rPr>
        <w:t>Miratuar në datën 10.5.2018</w:t>
      </w:r>
    </w:p>
    <w:p w:rsidR="00DF6666" w:rsidRPr="00993C76" w:rsidRDefault="00DF6666" w:rsidP="00DF6666">
      <w:pPr>
        <w:pStyle w:val="Paragrafi"/>
        <w:ind w:firstLine="0"/>
        <w:rPr>
          <w:b/>
          <w:szCs w:val="24"/>
          <w:lang w:val="sq-AL"/>
        </w:rPr>
      </w:pPr>
      <w:r w:rsidRPr="00993C76">
        <w:rPr>
          <w:b/>
          <w:szCs w:val="24"/>
          <w:lang w:val="sq-AL"/>
        </w:rPr>
        <w:t>Shpallur me dekretin nr. 10786, datë 17.5.2018 të Presidentit të Republikës së Shqipërisë, Ilir Meta</w:t>
      </w:r>
    </w:p>
    <w:p w:rsidR="00DF6666" w:rsidRPr="00993C76" w:rsidRDefault="00DF6666" w:rsidP="00DF6666">
      <w:pPr>
        <w:widowControl w:val="0"/>
        <w:tabs>
          <w:tab w:val="left" w:pos="1453"/>
        </w:tabs>
        <w:spacing w:after="0" w:line="240" w:lineRule="auto"/>
        <w:rPr>
          <w:rFonts w:ascii="Garamond" w:hAnsi="Garamond"/>
          <w:spacing w:val="-4"/>
          <w:sz w:val="24"/>
          <w:szCs w:val="24"/>
          <w:lang w:val="sq-AL"/>
        </w:rPr>
      </w:pPr>
    </w:p>
    <w:p w:rsidR="00DF6666" w:rsidRPr="00993C76" w:rsidRDefault="00DF6666" w:rsidP="00DF6666">
      <w:pPr>
        <w:widowControl w:val="0"/>
        <w:shd w:val="clear" w:color="auto" w:fill="FFFFFF"/>
        <w:spacing w:after="0" w:line="240" w:lineRule="auto"/>
        <w:rPr>
          <w:rFonts w:ascii="Garamond" w:hAnsi="Garamond"/>
          <w:b/>
          <w:spacing w:val="-4"/>
          <w:sz w:val="24"/>
          <w:szCs w:val="24"/>
          <w:lang w:val="sq-AL"/>
        </w:rPr>
      </w:pPr>
    </w:p>
    <w:p w:rsidR="00DF6666" w:rsidRPr="00993C76" w:rsidRDefault="00DF6666" w:rsidP="00DF6666">
      <w:pPr>
        <w:spacing w:after="0" w:line="240" w:lineRule="auto"/>
        <w:ind w:firstLine="0"/>
        <w:jc w:val="left"/>
        <w:rPr>
          <w:rFonts w:ascii="Garamond" w:eastAsia="Times New Roman" w:hAnsi="Garamond" w:cs="CG Times"/>
          <w:spacing w:val="-4"/>
          <w:sz w:val="24"/>
          <w:szCs w:val="24"/>
          <w:lang w:val="sq-AL" w:eastAsia="en-GB"/>
        </w:rPr>
        <w:sectPr w:rsidR="00DF6666" w:rsidRPr="00993C76" w:rsidSect="00DF6666">
          <w:pgSz w:w="11907" w:h="16840"/>
          <w:pgMar w:top="720" w:right="1134" w:bottom="720" w:left="1134" w:header="851" w:footer="851" w:gutter="0"/>
          <w:cols w:space="454"/>
        </w:sectPr>
      </w:pPr>
    </w:p>
    <w:p w:rsidR="00DF6666" w:rsidRPr="00993C76" w:rsidRDefault="00DF6666" w:rsidP="00DF6666">
      <w:pPr>
        <w:widowControl w:val="0"/>
        <w:spacing w:after="0" w:line="240" w:lineRule="auto"/>
        <w:jc w:val="left"/>
        <w:rPr>
          <w:rFonts w:ascii="Garamond" w:hAnsi="Garamond"/>
          <w:sz w:val="24"/>
          <w:szCs w:val="24"/>
          <w:lang w:val="sq-AL"/>
        </w:rPr>
      </w:pPr>
      <w:r w:rsidRPr="00993C76">
        <w:rPr>
          <w:rFonts w:ascii="Garamond" w:hAnsi="Garamond"/>
          <w:sz w:val="24"/>
          <w:szCs w:val="24"/>
          <w:lang w:val="sq-AL"/>
        </w:rPr>
        <w:lastRenderedPageBreak/>
        <w:t>ANEKSI 1</w:t>
      </w:r>
      <w:r w:rsidR="00864FBA" w:rsidRPr="00993C76">
        <w:rPr>
          <w:rFonts w:ascii="Garamond" w:hAnsi="Garamond"/>
          <w:sz w:val="24"/>
          <w:szCs w:val="24"/>
          <w:lang w:val="sq-AL"/>
        </w:rPr>
        <w:t xml:space="preserve"> </w:t>
      </w:r>
      <w:r w:rsidRPr="00993C76">
        <w:rPr>
          <w:rFonts w:ascii="Garamond" w:hAnsi="Garamond"/>
          <w:sz w:val="24"/>
          <w:szCs w:val="24"/>
          <w:lang w:val="sq-AL"/>
        </w:rPr>
        <w:t>(mijë lekë)</w:t>
      </w:r>
    </w:p>
    <w:p w:rsidR="00864FBA" w:rsidRPr="00993C76" w:rsidRDefault="00864FBA" w:rsidP="00864FBA">
      <w:pPr>
        <w:widowControl w:val="0"/>
        <w:spacing w:after="0" w:line="240" w:lineRule="auto"/>
        <w:ind w:firstLine="720"/>
        <w:jc w:val="center"/>
        <w:rPr>
          <w:rFonts w:ascii="Garamond" w:eastAsia="Times New Roman" w:hAnsi="Garamond"/>
          <w:i/>
          <w:sz w:val="24"/>
          <w:szCs w:val="24"/>
        </w:rPr>
      </w:pPr>
      <w:r w:rsidRPr="00993C76">
        <w:rPr>
          <w:rFonts w:ascii="Garamond" w:eastAsia="Times New Roman" w:hAnsi="Garamond"/>
          <w:i/>
          <w:sz w:val="24"/>
          <w:szCs w:val="24"/>
        </w:rPr>
        <w:t>(Ndryshuar me ligjin nr. 87/2026, datë 16.7.2026)</w:t>
      </w:r>
    </w:p>
    <w:p w:rsidR="00DF6666" w:rsidRPr="00993C76" w:rsidRDefault="00DF6666" w:rsidP="00DF6666">
      <w:pPr>
        <w:widowControl w:val="0"/>
        <w:spacing w:after="0" w:line="240" w:lineRule="auto"/>
        <w:jc w:val="left"/>
        <w:rPr>
          <w:rFonts w:ascii="Garamond" w:hAnsi="Garamond"/>
          <w:b/>
          <w:sz w:val="24"/>
          <w:szCs w:val="24"/>
          <w:lang w:val="sq-AL"/>
        </w:rPr>
      </w:pPr>
    </w:p>
    <w:tbl>
      <w:tblPr>
        <w:tblW w:w="534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680" w:firstRow="0" w:lastRow="0" w:firstColumn="1" w:lastColumn="0" w:noHBand="1" w:noVBand="1"/>
      </w:tblPr>
      <w:tblGrid>
        <w:gridCol w:w="4111"/>
        <w:gridCol w:w="1469"/>
        <w:gridCol w:w="1469"/>
        <w:gridCol w:w="1471"/>
        <w:gridCol w:w="1471"/>
      </w:tblGrid>
      <w:tr w:rsidR="00864FBA" w:rsidRPr="00864FBA" w:rsidTr="00D47E99">
        <w:trPr>
          <w:trHeight w:val="345"/>
          <w:jc w:val="center"/>
        </w:trPr>
        <w:tc>
          <w:tcPr>
            <w:tcW w:w="2057" w:type="pct"/>
            <w:shd w:val="clear" w:color="8963A7" w:fill="8963A7"/>
            <w:noWrap/>
            <w:vAlign w:val="center"/>
            <w:hideMark/>
          </w:tcPr>
          <w:p w:rsidR="00864FBA" w:rsidRPr="00864FBA" w:rsidRDefault="00864FBA" w:rsidP="00864FBA">
            <w:pPr>
              <w:spacing w:after="0" w:line="240" w:lineRule="auto"/>
              <w:jc w:val="left"/>
              <w:rPr>
                <w:rFonts w:ascii="Garamond" w:eastAsia="Times New Roman" w:hAnsi="Garamond"/>
                <w:b/>
                <w:bCs/>
                <w:i/>
                <w:iCs/>
                <w:color w:val="000000" w:themeColor="text1"/>
                <w:sz w:val="24"/>
                <w:szCs w:val="24"/>
                <w:lang w:val="sq-AL" w:eastAsia="it-IT"/>
              </w:rPr>
            </w:pPr>
            <w:r w:rsidRPr="00864FBA">
              <w:rPr>
                <w:rFonts w:ascii="Garamond" w:eastAsia="Times New Roman" w:hAnsi="Garamond"/>
                <w:b/>
                <w:bCs/>
                <w:i/>
                <w:iCs/>
                <w:color w:val="000000" w:themeColor="text1"/>
                <w:sz w:val="24"/>
                <w:szCs w:val="24"/>
                <w:lang w:val="sq-AL" w:eastAsia="it-IT"/>
              </w:rPr>
              <w:t>Madhësia</w:t>
            </w:r>
          </w:p>
        </w:tc>
        <w:tc>
          <w:tcPr>
            <w:tcW w:w="735" w:type="pct"/>
            <w:shd w:val="clear" w:color="8963A7" w:fill="8963A7"/>
            <w:noWrap/>
            <w:vAlign w:val="center"/>
            <w:hideMark/>
          </w:tcPr>
          <w:p w:rsidR="00864FBA" w:rsidRPr="00864FBA" w:rsidRDefault="00864FBA" w:rsidP="00864FBA">
            <w:pPr>
              <w:spacing w:after="0" w:line="240" w:lineRule="auto"/>
              <w:jc w:val="center"/>
              <w:rPr>
                <w:rFonts w:ascii="Garamond" w:eastAsia="Times New Roman" w:hAnsi="Garamond"/>
                <w:b/>
                <w:bCs/>
                <w:i/>
                <w:iCs/>
                <w:color w:val="000000" w:themeColor="text1"/>
                <w:sz w:val="24"/>
                <w:szCs w:val="24"/>
                <w:lang w:val="sq-AL" w:eastAsia="it-IT"/>
              </w:rPr>
            </w:pPr>
            <w:r w:rsidRPr="00864FBA">
              <w:rPr>
                <w:rFonts w:ascii="Garamond" w:eastAsia="Times New Roman" w:hAnsi="Garamond"/>
                <w:b/>
                <w:bCs/>
                <w:i/>
                <w:iCs/>
                <w:color w:val="000000" w:themeColor="text1"/>
                <w:sz w:val="24"/>
                <w:szCs w:val="24"/>
                <w:lang w:val="sq-AL" w:eastAsia="it-IT"/>
              </w:rPr>
              <w:t>2019-2021</w:t>
            </w:r>
          </w:p>
        </w:tc>
        <w:tc>
          <w:tcPr>
            <w:tcW w:w="735" w:type="pct"/>
            <w:shd w:val="clear" w:color="8963A7" w:fill="8963A7"/>
            <w:noWrap/>
            <w:vAlign w:val="center"/>
            <w:hideMark/>
          </w:tcPr>
          <w:p w:rsidR="00864FBA" w:rsidRPr="00864FBA" w:rsidRDefault="00864FBA" w:rsidP="00864FBA">
            <w:pPr>
              <w:spacing w:after="0" w:line="240" w:lineRule="auto"/>
              <w:jc w:val="center"/>
              <w:rPr>
                <w:rFonts w:ascii="Garamond" w:eastAsia="Times New Roman" w:hAnsi="Garamond"/>
                <w:b/>
                <w:bCs/>
                <w:i/>
                <w:iCs/>
                <w:color w:val="000000" w:themeColor="text1"/>
                <w:sz w:val="24"/>
                <w:szCs w:val="24"/>
                <w:lang w:val="sq-AL" w:eastAsia="it-IT"/>
              </w:rPr>
            </w:pPr>
            <w:r w:rsidRPr="00864FBA">
              <w:rPr>
                <w:rFonts w:ascii="Garamond" w:eastAsia="Times New Roman" w:hAnsi="Garamond"/>
                <w:b/>
                <w:bCs/>
                <w:i/>
                <w:iCs/>
                <w:color w:val="000000" w:themeColor="text1"/>
                <w:sz w:val="24"/>
                <w:szCs w:val="24"/>
                <w:lang w:val="sq-AL" w:eastAsia="it-IT"/>
              </w:rPr>
              <w:t>2022-2024</w:t>
            </w:r>
          </w:p>
        </w:tc>
        <w:tc>
          <w:tcPr>
            <w:tcW w:w="736" w:type="pct"/>
            <w:shd w:val="clear" w:color="8963A7" w:fill="8963A7"/>
            <w:noWrap/>
            <w:vAlign w:val="center"/>
            <w:hideMark/>
          </w:tcPr>
          <w:p w:rsidR="00864FBA" w:rsidRPr="00864FBA" w:rsidRDefault="00864FBA" w:rsidP="00864FBA">
            <w:pPr>
              <w:spacing w:after="0" w:line="240" w:lineRule="auto"/>
              <w:jc w:val="center"/>
              <w:rPr>
                <w:rFonts w:ascii="Garamond" w:eastAsia="Times New Roman" w:hAnsi="Garamond"/>
                <w:b/>
                <w:bCs/>
                <w:i/>
                <w:iCs/>
                <w:color w:val="000000" w:themeColor="text1"/>
                <w:sz w:val="24"/>
                <w:szCs w:val="24"/>
                <w:lang w:val="sq-AL" w:eastAsia="it-IT"/>
              </w:rPr>
            </w:pPr>
            <w:r w:rsidRPr="00864FBA">
              <w:rPr>
                <w:rFonts w:ascii="Garamond" w:eastAsia="Times New Roman" w:hAnsi="Garamond"/>
                <w:b/>
                <w:bCs/>
                <w:i/>
                <w:iCs/>
                <w:color w:val="000000" w:themeColor="text1"/>
                <w:sz w:val="24"/>
                <w:szCs w:val="24"/>
                <w:lang w:val="sq-AL" w:eastAsia="it-IT"/>
              </w:rPr>
              <w:t>2025-2027</w:t>
            </w:r>
          </w:p>
        </w:tc>
        <w:tc>
          <w:tcPr>
            <w:tcW w:w="736" w:type="pct"/>
            <w:shd w:val="clear" w:color="8963A7" w:fill="8963A7"/>
            <w:noWrap/>
            <w:vAlign w:val="center"/>
            <w:hideMark/>
          </w:tcPr>
          <w:p w:rsidR="00864FBA" w:rsidRPr="00864FBA" w:rsidRDefault="00864FBA" w:rsidP="00864FBA">
            <w:pPr>
              <w:spacing w:after="0" w:line="240" w:lineRule="auto"/>
              <w:jc w:val="center"/>
              <w:rPr>
                <w:rFonts w:ascii="Garamond" w:eastAsia="Times New Roman" w:hAnsi="Garamond"/>
                <w:b/>
                <w:bCs/>
                <w:i/>
                <w:iCs/>
                <w:color w:val="000000" w:themeColor="text1"/>
                <w:sz w:val="24"/>
                <w:szCs w:val="24"/>
                <w:lang w:val="sq-AL" w:eastAsia="it-IT"/>
              </w:rPr>
            </w:pPr>
            <w:r w:rsidRPr="00864FBA">
              <w:rPr>
                <w:rFonts w:ascii="Garamond" w:eastAsia="Times New Roman" w:hAnsi="Garamond"/>
                <w:b/>
                <w:bCs/>
                <w:i/>
                <w:iCs/>
                <w:color w:val="000000" w:themeColor="text1"/>
                <w:sz w:val="24"/>
                <w:szCs w:val="24"/>
                <w:lang w:val="sq-AL" w:eastAsia="it-IT"/>
              </w:rPr>
              <w:t>2028</w:t>
            </w:r>
          </w:p>
        </w:tc>
      </w:tr>
      <w:tr w:rsidR="00864FBA" w:rsidRPr="00864FBA" w:rsidTr="00D47E99">
        <w:trPr>
          <w:trHeight w:val="345"/>
          <w:jc w:val="center"/>
        </w:trPr>
        <w:tc>
          <w:tcPr>
            <w:tcW w:w="2057" w:type="pct"/>
            <w:shd w:val="clear" w:color="E8E0ED" w:fill="E8E0ED"/>
            <w:noWrap/>
            <w:vAlign w:val="center"/>
            <w:hideMark/>
          </w:tcPr>
          <w:p w:rsidR="00864FBA" w:rsidRPr="00864FBA" w:rsidRDefault="00864FBA" w:rsidP="00864FBA">
            <w:pPr>
              <w:spacing w:after="0" w:line="240" w:lineRule="auto"/>
              <w:jc w:val="left"/>
              <w:rPr>
                <w:rFonts w:ascii="Garamond" w:eastAsia="Times New Roman" w:hAnsi="Garamond"/>
                <w:b/>
                <w:bCs/>
                <w:color w:val="000000" w:themeColor="text1"/>
                <w:sz w:val="24"/>
                <w:szCs w:val="24"/>
                <w:lang w:val="sq-AL" w:eastAsia="it-IT"/>
              </w:rPr>
            </w:pPr>
            <w:r w:rsidRPr="00864FBA">
              <w:rPr>
                <w:rFonts w:ascii="Garamond" w:eastAsia="Times New Roman" w:hAnsi="Garamond"/>
                <w:b/>
                <w:bCs/>
                <w:color w:val="000000" w:themeColor="text1"/>
                <w:sz w:val="24"/>
                <w:szCs w:val="24"/>
                <w:lang w:val="sq-AL" w:eastAsia="it-IT"/>
              </w:rPr>
              <w:t>Mikronjësi</w:t>
            </w:r>
          </w:p>
        </w:tc>
        <w:tc>
          <w:tcPr>
            <w:tcW w:w="735" w:type="pct"/>
            <w:shd w:val="clear" w:color="E8E0ED" w:fill="E8E0ED"/>
            <w:noWrap/>
            <w:vAlign w:val="center"/>
          </w:tcPr>
          <w:p w:rsidR="00864FBA" w:rsidRPr="00864FBA" w:rsidRDefault="00864FBA" w:rsidP="00864FBA">
            <w:pPr>
              <w:spacing w:after="0" w:line="240" w:lineRule="auto"/>
              <w:jc w:val="center"/>
              <w:rPr>
                <w:rFonts w:ascii="Garamond" w:eastAsia="Times New Roman" w:hAnsi="Garamond"/>
                <w:color w:val="000000" w:themeColor="text1"/>
                <w:sz w:val="24"/>
                <w:szCs w:val="24"/>
                <w:lang w:val="sq-AL" w:eastAsia="it-IT"/>
              </w:rPr>
            </w:pPr>
          </w:p>
        </w:tc>
        <w:tc>
          <w:tcPr>
            <w:tcW w:w="735" w:type="pct"/>
            <w:shd w:val="clear" w:color="E8E0ED" w:fill="E8E0ED"/>
            <w:noWrap/>
            <w:vAlign w:val="center"/>
          </w:tcPr>
          <w:p w:rsidR="00864FBA" w:rsidRPr="00864FBA" w:rsidRDefault="00864FBA" w:rsidP="00864FBA">
            <w:pPr>
              <w:spacing w:after="0" w:line="240" w:lineRule="auto"/>
              <w:jc w:val="center"/>
              <w:rPr>
                <w:rFonts w:ascii="Garamond" w:eastAsia="Times New Roman" w:hAnsi="Garamond"/>
                <w:color w:val="000000" w:themeColor="text1"/>
                <w:sz w:val="24"/>
                <w:szCs w:val="24"/>
                <w:lang w:val="sq-AL" w:eastAsia="it-IT"/>
              </w:rPr>
            </w:pPr>
          </w:p>
        </w:tc>
        <w:tc>
          <w:tcPr>
            <w:tcW w:w="736" w:type="pct"/>
            <w:shd w:val="clear" w:color="E8E0ED" w:fill="E8E0ED"/>
            <w:noWrap/>
            <w:vAlign w:val="center"/>
          </w:tcPr>
          <w:p w:rsidR="00864FBA" w:rsidRPr="00864FBA" w:rsidRDefault="00864FBA" w:rsidP="00864FBA">
            <w:pPr>
              <w:spacing w:after="0" w:line="240" w:lineRule="auto"/>
              <w:jc w:val="center"/>
              <w:rPr>
                <w:rFonts w:ascii="Garamond" w:eastAsia="Times New Roman" w:hAnsi="Garamond"/>
                <w:color w:val="000000" w:themeColor="text1"/>
                <w:sz w:val="24"/>
                <w:szCs w:val="24"/>
                <w:lang w:val="sq-AL" w:eastAsia="it-IT"/>
              </w:rPr>
            </w:pPr>
          </w:p>
        </w:tc>
        <w:tc>
          <w:tcPr>
            <w:tcW w:w="736" w:type="pct"/>
            <w:shd w:val="clear" w:color="E8E0ED" w:fill="E8E0ED"/>
            <w:noWrap/>
            <w:vAlign w:val="center"/>
            <w:hideMark/>
          </w:tcPr>
          <w:p w:rsidR="00864FBA" w:rsidRPr="00864FBA" w:rsidRDefault="00864FBA" w:rsidP="00864FBA">
            <w:pPr>
              <w:spacing w:after="0" w:line="240" w:lineRule="auto"/>
              <w:jc w:val="center"/>
              <w:rPr>
                <w:rFonts w:ascii="Garamond" w:eastAsia="Times New Roman" w:hAnsi="Garamond"/>
                <w:color w:val="000000" w:themeColor="text1"/>
                <w:sz w:val="24"/>
                <w:szCs w:val="24"/>
                <w:lang w:val="sq-AL" w:eastAsia="it-IT"/>
              </w:rPr>
            </w:pPr>
          </w:p>
        </w:tc>
      </w:tr>
      <w:tr w:rsidR="00864FBA" w:rsidRPr="00864FBA" w:rsidTr="00D47E99">
        <w:trPr>
          <w:trHeight w:val="345"/>
          <w:jc w:val="center"/>
        </w:trPr>
        <w:tc>
          <w:tcPr>
            <w:tcW w:w="2057" w:type="pct"/>
            <w:noWrap/>
            <w:vAlign w:val="center"/>
            <w:hideMark/>
          </w:tcPr>
          <w:p w:rsidR="00864FBA" w:rsidRPr="00864FBA" w:rsidRDefault="00864FBA" w:rsidP="00864FBA">
            <w:pPr>
              <w:spacing w:after="0" w:line="240" w:lineRule="auto"/>
              <w:jc w:val="left"/>
              <w:rPr>
                <w:rFonts w:ascii="Garamond" w:eastAsia="Times New Roman" w:hAnsi="Garamond"/>
                <w:color w:val="000000" w:themeColor="text1"/>
                <w:sz w:val="24"/>
                <w:szCs w:val="24"/>
                <w:lang w:val="sq-AL" w:eastAsia="it-IT"/>
              </w:rPr>
            </w:pPr>
            <w:r w:rsidRPr="00864FBA">
              <w:rPr>
                <w:rFonts w:ascii="Garamond" w:eastAsia="Times New Roman" w:hAnsi="Garamond"/>
                <w:color w:val="000000" w:themeColor="text1"/>
                <w:sz w:val="24"/>
                <w:szCs w:val="24"/>
                <w:lang w:val="sq-AL" w:eastAsia="it-IT"/>
              </w:rPr>
              <w:t>Aktivet</w:t>
            </w:r>
          </w:p>
        </w:tc>
        <w:tc>
          <w:tcPr>
            <w:tcW w:w="735" w:type="pct"/>
            <w:noWrap/>
            <w:vAlign w:val="center"/>
            <w:hideMark/>
          </w:tcPr>
          <w:p w:rsidR="00864FBA" w:rsidRPr="00864FBA" w:rsidRDefault="00864FBA" w:rsidP="00864FBA">
            <w:pPr>
              <w:spacing w:after="0" w:line="240" w:lineRule="auto"/>
              <w:jc w:val="center"/>
              <w:rPr>
                <w:rFonts w:ascii="Garamond" w:eastAsia="Times New Roman" w:hAnsi="Garamond"/>
                <w:color w:val="000000" w:themeColor="text1"/>
                <w:sz w:val="24"/>
                <w:szCs w:val="24"/>
                <w:lang w:val="sq-AL" w:eastAsia="it-IT"/>
              </w:rPr>
            </w:pPr>
            <w:r w:rsidRPr="00864FBA">
              <w:rPr>
                <w:rFonts w:ascii="Garamond" w:hAnsi="Garamond"/>
                <w:color w:val="000000" w:themeColor="text1"/>
                <w:sz w:val="24"/>
                <w:szCs w:val="24"/>
                <w:shd w:val="clear" w:color="auto" w:fill="FFFFFF"/>
                <w:lang w:val="sq-AL"/>
              </w:rPr>
              <w:t xml:space="preserve">≤ </w:t>
            </w:r>
            <w:r w:rsidRPr="00864FBA">
              <w:rPr>
                <w:rFonts w:ascii="Garamond" w:eastAsia="Times New Roman" w:hAnsi="Garamond"/>
                <w:color w:val="000000" w:themeColor="text1"/>
                <w:sz w:val="24"/>
                <w:szCs w:val="24"/>
                <w:lang w:val="sq-AL" w:eastAsia="it-IT"/>
              </w:rPr>
              <w:t>15 000</w:t>
            </w:r>
          </w:p>
        </w:tc>
        <w:tc>
          <w:tcPr>
            <w:tcW w:w="735" w:type="pct"/>
            <w:noWrap/>
            <w:vAlign w:val="center"/>
            <w:hideMark/>
          </w:tcPr>
          <w:p w:rsidR="00864FBA" w:rsidRPr="00864FBA" w:rsidRDefault="00864FBA" w:rsidP="00864FBA">
            <w:pPr>
              <w:spacing w:after="0" w:line="240" w:lineRule="auto"/>
              <w:jc w:val="center"/>
              <w:rPr>
                <w:rFonts w:ascii="Garamond" w:eastAsia="Times New Roman" w:hAnsi="Garamond"/>
                <w:color w:val="000000" w:themeColor="text1"/>
                <w:sz w:val="24"/>
                <w:szCs w:val="24"/>
                <w:lang w:val="sq-AL" w:eastAsia="it-IT"/>
              </w:rPr>
            </w:pPr>
            <w:r w:rsidRPr="00864FBA">
              <w:rPr>
                <w:rFonts w:ascii="Garamond" w:hAnsi="Garamond"/>
                <w:color w:val="000000" w:themeColor="text1"/>
                <w:sz w:val="24"/>
                <w:szCs w:val="24"/>
                <w:lang w:val="sq-AL" w:eastAsia="it-IT"/>
              </w:rPr>
              <w:t xml:space="preserve"> </w:t>
            </w:r>
            <w:r w:rsidRPr="00864FBA">
              <w:rPr>
                <w:rFonts w:ascii="Garamond" w:hAnsi="Garamond"/>
                <w:color w:val="000000" w:themeColor="text1"/>
                <w:sz w:val="24"/>
                <w:szCs w:val="24"/>
                <w:shd w:val="clear" w:color="auto" w:fill="FFFFFF"/>
                <w:lang w:val="sq-AL"/>
              </w:rPr>
              <w:t>≤ 25</w:t>
            </w:r>
            <w:r w:rsidRPr="00864FBA">
              <w:rPr>
                <w:rFonts w:ascii="Garamond" w:eastAsia="Times New Roman" w:hAnsi="Garamond"/>
                <w:color w:val="000000" w:themeColor="text1"/>
                <w:sz w:val="24"/>
                <w:szCs w:val="24"/>
                <w:lang w:val="sq-AL" w:eastAsia="it-IT"/>
              </w:rPr>
              <w:t xml:space="preserve"> 000 </w:t>
            </w:r>
          </w:p>
        </w:tc>
        <w:tc>
          <w:tcPr>
            <w:tcW w:w="736" w:type="pct"/>
            <w:noWrap/>
            <w:vAlign w:val="center"/>
            <w:hideMark/>
          </w:tcPr>
          <w:p w:rsidR="00864FBA" w:rsidRPr="00864FBA" w:rsidRDefault="00864FBA" w:rsidP="00864FBA">
            <w:pPr>
              <w:spacing w:after="0" w:line="240" w:lineRule="auto"/>
              <w:jc w:val="center"/>
              <w:rPr>
                <w:rFonts w:ascii="Garamond" w:eastAsia="Times New Roman" w:hAnsi="Garamond"/>
                <w:color w:val="000000" w:themeColor="text1"/>
                <w:sz w:val="24"/>
                <w:szCs w:val="24"/>
                <w:lang w:val="sq-AL" w:eastAsia="it-IT"/>
              </w:rPr>
            </w:pPr>
            <w:r w:rsidRPr="00864FBA">
              <w:rPr>
                <w:rFonts w:ascii="Garamond" w:hAnsi="Garamond"/>
                <w:color w:val="000000" w:themeColor="text1"/>
                <w:sz w:val="24"/>
                <w:szCs w:val="24"/>
                <w:shd w:val="clear" w:color="auto" w:fill="FFFFFF"/>
                <w:lang w:val="sq-AL"/>
              </w:rPr>
              <w:t>≤ 35 0</w:t>
            </w:r>
            <w:r w:rsidRPr="00864FBA">
              <w:rPr>
                <w:rFonts w:ascii="Garamond" w:eastAsia="Times New Roman" w:hAnsi="Garamond"/>
                <w:color w:val="000000" w:themeColor="text1"/>
                <w:sz w:val="24"/>
                <w:szCs w:val="24"/>
                <w:lang w:val="sq-AL" w:eastAsia="it-IT"/>
              </w:rPr>
              <w:t xml:space="preserve">00 </w:t>
            </w:r>
          </w:p>
        </w:tc>
        <w:tc>
          <w:tcPr>
            <w:tcW w:w="736" w:type="pct"/>
            <w:noWrap/>
            <w:vAlign w:val="center"/>
            <w:hideMark/>
          </w:tcPr>
          <w:p w:rsidR="00864FBA" w:rsidRPr="00864FBA" w:rsidRDefault="00864FBA" w:rsidP="00864FBA">
            <w:pPr>
              <w:spacing w:after="0" w:line="240" w:lineRule="auto"/>
              <w:jc w:val="center"/>
              <w:rPr>
                <w:rFonts w:ascii="Garamond" w:eastAsia="Times New Roman" w:hAnsi="Garamond"/>
                <w:color w:val="000000" w:themeColor="text1"/>
                <w:sz w:val="24"/>
                <w:szCs w:val="24"/>
                <w:lang w:val="sq-AL" w:eastAsia="it-IT"/>
              </w:rPr>
            </w:pPr>
            <w:r w:rsidRPr="00864FBA">
              <w:rPr>
                <w:rFonts w:ascii="Garamond" w:hAnsi="Garamond"/>
                <w:color w:val="000000" w:themeColor="text1"/>
                <w:sz w:val="24"/>
                <w:szCs w:val="24"/>
                <w:shd w:val="clear" w:color="auto" w:fill="FFFFFF"/>
                <w:lang w:val="sq-AL"/>
              </w:rPr>
              <w:t xml:space="preserve">≤ </w:t>
            </w:r>
            <w:r w:rsidRPr="00864FBA">
              <w:rPr>
                <w:rFonts w:ascii="Garamond" w:eastAsia="Times New Roman" w:hAnsi="Garamond"/>
                <w:color w:val="000000" w:themeColor="text1"/>
                <w:sz w:val="24"/>
                <w:szCs w:val="24"/>
                <w:lang w:val="sq-AL" w:eastAsia="it-IT"/>
              </w:rPr>
              <w:t>45 000</w:t>
            </w:r>
          </w:p>
        </w:tc>
      </w:tr>
      <w:tr w:rsidR="00864FBA" w:rsidRPr="00864FBA" w:rsidTr="00D47E99">
        <w:trPr>
          <w:trHeight w:val="345"/>
          <w:jc w:val="center"/>
        </w:trPr>
        <w:tc>
          <w:tcPr>
            <w:tcW w:w="2057" w:type="pct"/>
            <w:noWrap/>
            <w:vAlign w:val="center"/>
            <w:hideMark/>
          </w:tcPr>
          <w:p w:rsidR="00864FBA" w:rsidRPr="00864FBA" w:rsidRDefault="00864FBA" w:rsidP="00864FBA">
            <w:pPr>
              <w:spacing w:after="0" w:line="240" w:lineRule="auto"/>
              <w:jc w:val="left"/>
              <w:rPr>
                <w:rFonts w:ascii="Garamond" w:eastAsia="Times New Roman" w:hAnsi="Garamond"/>
                <w:color w:val="000000" w:themeColor="text1"/>
                <w:sz w:val="24"/>
                <w:szCs w:val="24"/>
                <w:lang w:val="sq-AL" w:eastAsia="it-IT"/>
              </w:rPr>
            </w:pPr>
            <w:r w:rsidRPr="00864FBA">
              <w:rPr>
                <w:rFonts w:ascii="Garamond" w:eastAsia="Times New Roman" w:hAnsi="Garamond"/>
                <w:color w:val="000000" w:themeColor="text1"/>
                <w:sz w:val="24"/>
                <w:szCs w:val="24"/>
                <w:lang w:val="sq-AL" w:eastAsia="it-IT"/>
              </w:rPr>
              <w:t xml:space="preserve">Të ardhurat e shfrytëzimit </w:t>
            </w:r>
          </w:p>
        </w:tc>
        <w:tc>
          <w:tcPr>
            <w:tcW w:w="735" w:type="pct"/>
            <w:noWrap/>
            <w:vAlign w:val="center"/>
            <w:hideMark/>
          </w:tcPr>
          <w:p w:rsidR="00864FBA" w:rsidRPr="00864FBA" w:rsidRDefault="00864FBA" w:rsidP="00864FBA">
            <w:pPr>
              <w:spacing w:after="0" w:line="240" w:lineRule="auto"/>
              <w:jc w:val="center"/>
              <w:rPr>
                <w:rFonts w:ascii="Garamond" w:eastAsia="Times New Roman" w:hAnsi="Garamond"/>
                <w:color w:val="000000" w:themeColor="text1"/>
                <w:sz w:val="24"/>
                <w:szCs w:val="24"/>
                <w:lang w:val="sq-AL" w:eastAsia="it-IT"/>
              </w:rPr>
            </w:pPr>
            <w:r w:rsidRPr="00864FBA">
              <w:rPr>
                <w:rFonts w:ascii="Garamond" w:hAnsi="Garamond"/>
                <w:color w:val="000000" w:themeColor="text1"/>
                <w:sz w:val="24"/>
                <w:szCs w:val="24"/>
                <w:shd w:val="clear" w:color="auto" w:fill="FFFFFF"/>
                <w:lang w:val="sq-AL"/>
              </w:rPr>
              <w:t xml:space="preserve">≤ </w:t>
            </w:r>
            <w:r w:rsidRPr="00864FBA">
              <w:rPr>
                <w:rFonts w:ascii="Garamond" w:eastAsia="Times New Roman" w:hAnsi="Garamond"/>
                <w:color w:val="000000" w:themeColor="text1"/>
                <w:sz w:val="24"/>
                <w:szCs w:val="24"/>
                <w:lang w:val="sq-AL" w:eastAsia="it-IT"/>
              </w:rPr>
              <w:t xml:space="preserve">30 000 </w:t>
            </w:r>
          </w:p>
        </w:tc>
        <w:tc>
          <w:tcPr>
            <w:tcW w:w="735" w:type="pct"/>
            <w:noWrap/>
            <w:vAlign w:val="center"/>
            <w:hideMark/>
          </w:tcPr>
          <w:p w:rsidR="00864FBA" w:rsidRPr="00864FBA" w:rsidRDefault="00864FBA" w:rsidP="00864FBA">
            <w:pPr>
              <w:spacing w:after="0" w:line="240" w:lineRule="auto"/>
              <w:jc w:val="center"/>
              <w:rPr>
                <w:rFonts w:ascii="Garamond" w:eastAsia="Times New Roman" w:hAnsi="Garamond"/>
                <w:color w:val="000000" w:themeColor="text1"/>
                <w:sz w:val="24"/>
                <w:szCs w:val="24"/>
                <w:lang w:val="sq-AL" w:eastAsia="it-IT"/>
              </w:rPr>
            </w:pPr>
            <w:r w:rsidRPr="00864FBA">
              <w:rPr>
                <w:rFonts w:ascii="Garamond" w:hAnsi="Garamond"/>
                <w:color w:val="000000" w:themeColor="text1"/>
                <w:sz w:val="24"/>
                <w:szCs w:val="24"/>
                <w:lang w:val="sq-AL" w:eastAsia="it-IT"/>
              </w:rPr>
              <w:t xml:space="preserve"> </w:t>
            </w:r>
            <w:r w:rsidRPr="00864FBA">
              <w:rPr>
                <w:rFonts w:ascii="Garamond" w:hAnsi="Garamond"/>
                <w:color w:val="000000" w:themeColor="text1"/>
                <w:sz w:val="24"/>
                <w:szCs w:val="24"/>
                <w:shd w:val="clear" w:color="auto" w:fill="FFFFFF"/>
                <w:lang w:val="sq-AL"/>
              </w:rPr>
              <w:t>≤ 5</w:t>
            </w:r>
            <w:r w:rsidRPr="00864FBA">
              <w:rPr>
                <w:rFonts w:ascii="Garamond" w:eastAsia="Times New Roman" w:hAnsi="Garamond"/>
                <w:color w:val="000000" w:themeColor="text1"/>
                <w:sz w:val="24"/>
                <w:szCs w:val="24"/>
                <w:lang w:val="sq-AL" w:eastAsia="it-IT"/>
              </w:rPr>
              <w:t xml:space="preserve">0 000 </w:t>
            </w:r>
          </w:p>
        </w:tc>
        <w:tc>
          <w:tcPr>
            <w:tcW w:w="736" w:type="pct"/>
            <w:noWrap/>
            <w:vAlign w:val="center"/>
            <w:hideMark/>
          </w:tcPr>
          <w:p w:rsidR="00864FBA" w:rsidRPr="00864FBA" w:rsidRDefault="00864FBA" w:rsidP="00864FBA">
            <w:pPr>
              <w:spacing w:after="0" w:line="240" w:lineRule="auto"/>
              <w:jc w:val="center"/>
              <w:rPr>
                <w:rFonts w:ascii="Garamond" w:eastAsia="Times New Roman" w:hAnsi="Garamond"/>
                <w:color w:val="000000" w:themeColor="text1"/>
                <w:sz w:val="24"/>
                <w:szCs w:val="24"/>
                <w:lang w:val="sq-AL" w:eastAsia="it-IT"/>
              </w:rPr>
            </w:pPr>
            <w:r w:rsidRPr="00864FBA">
              <w:rPr>
                <w:rFonts w:ascii="Garamond" w:hAnsi="Garamond"/>
                <w:color w:val="000000" w:themeColor="text1"/>
                <w:sz w:val="24"/>
                <w:szCs w:val="24"/>
                <w:shd w:val="clear" w:color="auto" w:fill="FFFFFF"/>
                <w:lang w:val="sq-AL"/>
              </w:rPr>
              <w:t xml:space="preserve">≤ </w:t>
            </w:r>
            <w:r w:rsidRPr="00864FBA">
              <w:rPr>
                <w:rFonts w:ascii="Garamond" w:eastAsia="Times New Roman" w:hAnsi="Garamond"/>
                <w:color w:val="000000" w:themeColor="text1"/>
                <w:sz w:val="24"/>
                <w:szCs w:val="24"/>
                <w:lang w:val="sq-AL" w:eastAsia="it-IT"/>
              </w:rPr>
              <w:t xml:space="preserve">70 000 </w:t>
            </w:r>
          </w:p>
        </w:tc>
        <w:tc>
          <w:tcPr>
            <w:tcW w:w="736" w:type="pct"/>
            <w:noWrap/>
            <w:vAlign w:val="center"/>
            <w:hideMark/>
          </w:tcPr>
          <w:p w:rsidR="00864FBA" w:rsidRPr="00864FBA" w:rsidRDefault="00864FBA" w:rsidP="00864FBA">
            <w:pPr>
              <w:spacing w:after="0" w:line="240" w:lineRule="auto"/>
              <w:jc w:val="center"/>
              <w:rPr>
                <w:rFonts w:ascii="Garamond" w:eastAsia="Times New Roman" w:hAnsi="Garamond"/>
                <w:color w:val="000000" w:themeColor="text1"/>
                <w:sz w:val="24"/>
                <w:szCs w:val="24"/>
                <w:lang w:val="sq-AL" w:eastAsia="it-IT"/>
              </w:rPr>
            </w:pPr>
            <w:r w:rsidRPr="00864FBA">
              <w:rPr>
                <w:rFonts w:ascii="Garamond" w:hAnsi="Garamond"/>
                <w:color w:val="000000" w:themeColor="text1"/>
                <w:sz w:val="24"/>
                <w:szCs w:val="24"/>
                <w:shd w:val="clear" w:color="auto" w:fill="FFFFFF"/>
                <w:lang w:val="sq-AL"/>
              </w:rPr>
              <w:t xml:space="preserve">≤ </w:t>
            </w:r>
            <w:r w:rsidRPr="00864FBA">
              <w:rPr>
                <w:rFonts w:ascii="Garamond" w:eastAsia="Times New Roman" w:hAnsi="Garamond"/>
                <w:color w:val="000000" w:themeColor="text1"/>
                <w:sz w:val="24"/>
                <w:szCs w:val="24"/>
                <w:lang w:val="sq-AL" w:eastAsia="it-IT"/>
              </w:rPr>
              <w:t>90 000</w:t>
            </w:r>
          </w:p>
        </w:tc>
      </w:tr>
      <w:tr w:rsidR="00864FBA" w:rsidRPr="00864FBA" w:rsidTr="00D47E99">
        <w:trPr>
          <w:trHeight w:val="345"/>
          <w:jc w:val="center"/>
        </w:trPr>
        <w:tc>
          <w:tcPr>
            <w:tcW w:w="2057" w:type="pct"/>
            <w:noWrap/>
            <w:vAlign w:val="center"/>
            <w:hideMark/>
          </w:tcPr>
          <w:p w:rsidR="00864FBA" w:rsidRPr="00864FBA" w:rsidRDefault="00864FBA" w:rsidP="00864FBA">
            <w:pPr>
              <w:spacing w:after="0" w:line="240" w:lineRule="auto"/>
              <w:jc w:val="left"/>
              <w:rPr>
                <w:rFonts w:ascii="Garamond" w:eastAsia="Times New Roman" w:hAnsi="Garamond"/>
                <w:color w:val="000000" w:themeColor="text1"/>
                <w:sz w:val="24"/>
                <w:szCs w:val="24"/>
                <w:lang w:val="sq-AL" w:eastAsia="it-IT"/>
              </w:rPr>
            </w:pPr>
            <w:r w:rsidRPr="00864FBA">
              <w:rPr>
                <w:rFonts w:ascii="Garamond" w:eastAsia="Times New Roman" w:hAnsi="Garamond"/>
                <w:color w:val="000000" w:themeColor="text1"/>
                <w:sz w:val="24"/>
                <w:szCs w:val="24"/>
                <w:lang w:val="sq-AL" w:eastAsia="it-IT"/>
              </w:rPr>
              <w:t>Numri i punonjësve</w:t>
            </w:r>
          </w:p>
        </w:tc>
        <w:tc>
          <w:tcPr>
            <w:tcW w:w="735" w:type="pct"/>
            <w:noWrap/>
            <w:vAlign w:val="center"/>
            <w:hideMark/>
          </w:tcPr>
          <w:p w:rsidR="00864FBA" w:rsidRPr="00864FBA" w:rsidRDefault="00864FBA" w:rsidP="00864FBA">
            <w:pPr>
              <w:spacing w:after="0" w:line="240" w:lineRule="auto"/>
              <w:jc w:val="center"/>
              <w:rPr>
                <w:rFonts w:ascii="Garamond" w:eastAsia="Times New Roman" w:hAnsi="Garamond"/>
                <w:i/>
                <w:color w:val="000000" w:themeColor="text1"/>
                <w:sz w:val="24"/>
                <w:szCs w:val="24"/>
                <w:lang w:val="sq-AL" w:eastAsia="it-IT"/>
              </w:rPr>
            </w:pPr>
            <w:r w:rsidRPr="00864FBA">
              <w:rPr>
                <w:rFonts w:ascii="Garamond" w:hAnsi="Garamond"/>
                <w:color w:val="000000" w:themeColor="text1"/>
                <w:sz w:val="24"/>
                <w:szCs w:val="24"/>
                <w:shd w:val="clear" w:color="auto" w:fill="FFFFFF"/>
                <w:lang w:val="sq-AL"/>
              </w:rPr>
              <w:t xml:space="preserve">≤ </w:t>
            </w:r>
            <w:r w:rsidRPr="00864FBA">
              <w:rPr>
                <w:rFonts w:ascii="Garamond" w:eastAsia="Times New Roman" w:hAnsi="Garamond"/>
                <w:i/>
                <w:color w:val="000000" w:themeColor="text1"/>
                <w:sz w:val="24"/>
                <w:szCs w:val="24"/>
                <w:lang w:val="sq-AL" w:eastAsia="it-IT"/>
              </w:rPr>
              <w:t>10</w:t>
            </w:r>
          </w:p>
        </w:tc>
        <w:tc>
          <w:tcPr>
            <w:tcW w:w="735" w:type="pct"/>
            <w:noWrap/>
            <w:vAlign w:val="center"/>
            <w:hideMark/>
          </w:tcPr>
          <w:p w:rsidR="00864FBA" w:rsidRPr="00864FBA" w:rsidRDefault="00864FBA" w:rsidP="00864FBA">
            <w:pPr>
              <w:spacing w:after="0" w:line="240" w:lineRule="auto"/>
              <w:jc w:val="center"/>
              <w:rPr>
                <w:rFonts w:ascii="Garamond" w:eastAsia="Times New Roman" w:hAnsi="Garamond"/>
                <w:i/>
                <w:color w:val="000000" w:themeColor="text1"/>
                <w:sz w:val="24"/>
                <w:szCs w:val="24"/>
                <w:lang w:val="sq-AL" w:eastAsia="it-IT"/>
              </w:rPr>
            </w:pPr>
            <w:r w:rsidRPr="00864FBA">
              <w:rPr>
                <w:rFonts w:ascii="Garamond" w:hAnsi="Garamond"/>
                <w:color w:val="000000" w:themeColor="text1"/>
                <w:sz w:val="24"/>
                <w:szCs w:val="24"/>
                <w:shd w:val="clear" w:color="auto" w:fill="FFFFFF"/>
                <w:lang w:val="sq-AL"/>
              </w:rPr>
              <w:t xml:space="preserve">≤ </w:t>
            </w:r>
            <w:r w:rsidRPr="00864FBA">
              <w:rPr>
                <w:rFonts w:ascii="Garamond" w:eastAsia="Times New Roman" w:hAnsi="Garamond"/>
                <w:i/>
                <w:color w:val="000000" w:themeColor="text1"/>
                <w:sz w:val="24"/>
                <w:szCs w:val="24"/>
                <w:lang w:val="sq-AL" w:eastAsia="it-IT"/>
              </w:rPr>
              <w:t>10</w:t>
            </w:r>
          </w:p>
        </w:tc>
        <w:tc>
          <w:tcPr>
            <w:tcW w:w="736" w:type="pct"/>
            <w:noWrap/>
            <w:vAlign w:val="center"/>
            <w:hideMark/>
          </w:tcPr>
          <w:p w:rsidR="00864FBA" w:rsidRPr="00864FBA" w:rsidRDefault="00864FBA" w:rsidP="00864FBA">
            <w:pPr>
              <w:spacing w:after="0" w:line="240" w:lineRule="auto"/>
              <w:jc w:val="center"/>
              <w:rPr>
                <w:rFonts w:ascii="Garamond" w:eastAsia="Times New Roman" w:hAnsi="Garamond"/>
                <w:i/>
                <w:color w:val="000000" w:themeColor="text1"/>
                <w:sz w:val="24"/>
                <w:szCs w:val="24"/>
                <w:lang w:val="sq-AL" w:eastAsia="it-IT"/>
              </w:rPr>
            </w:pPr>
            <w:r w:rsidRPr="00864FBA">
              <w:rPr>
                <w:rFonts w:ascii="Garamond" w:hAnsi="Garamond"/>
                <w:color w:val="000000" w:themeColor="text1"/>
                <w:sz w:val="24"/>
                <w:szCs w:val="24"/>
                <w:shd w:val="clear" w:color="auto" w:fill="FFFFFF"/>
                <w:lang w:val="sq-AL"/>
              </w:rPr>
              <w:t xml:space="preserve">≤ </w:t>
            </w:r>
            <w:r w:rsidRPr="00864FBA">
              <w:rPr>
                <w:rFonts w:ascii="Garamond" w:eastAsia="Times New Roman" w:hAnsi="Garamond"/>
                <w:i/>
                <w:color w:val="000000" w:themeColor="text1"/>
                <w:sz w:val="24"/>
                <w:szCs w:val="24"/>
                <w:lang w:val="sq-AL" w:eastAsia="it-IT"/>
              </w:rPr>
              <w:t>10</w:t>
            </w:r>
          </w:p>
        </w:tc>
        <w:tc>
          <w:tcPr>
            <w:tcW w:w="736" w:type="pct"/>
            <w:noWrap/>
            <w:vAlign w:val="center"/>
            <w:hideMark/>
          </w:tcPr>
          <w:p w:rsidR="00864FBA" w:rsidRPr="00864FBA" w:rsidRDefault="00864FBA" w:rsidP="00864FBA">
            <w:pPr>
              <w:spacing w:after="0" w:line="240" w:lineRule="auto"/>
              <w:jc w:val="center"/>
              <w:rPr>
                <w:rFonts w:ascii="Garamond" w:eastAsia="Times New Roman" w:hAnsi="Garamond"/>
                <w:i/>
                <w:color w:val="000000" w:themeColor="text1"/>
                <w:sz w:val="24"/>
                <w:szCs w:val="24"/>
                <w:lang w:val="sq-AL" w:eastAsia="it-IT"/>
              </w:rPr>
            </w:pPr>
            <w:r w:rsidRPr="00864FBA">
              <w:rPr>
                <w:rFonts w:ascii="Garamond" w:hAnsi="Garamond"/>
                <w:color w:val="000000" w:themeColor="text1"/>
                <w:sz w:val="24"/>
                <w:szCs w:val="24"/>
                <w:shd w:val="clear" w:color="auto" w:fill="FFFFFF"/>
                <w:lang w:val="sq-AL"/>
              </w:rPr>
              <w:t xml:space="preserve">≤ </w:t>
            </w:r>
            <w:r w:rsidRPr="00864FBA">
              <w:rPr>
                <w:rFonts w:ascii="Garamond" w:eastAsia="Times New Roman" w:hAnsi="Garamond"/>
                <w:i/>
                <w:color w:val="000000" w:themeColor="text1"/>
                <w:sz w:val="24"/>
                <w:szCs w:val="24"/>
                <w:lang w:val="sq-AL" w:eastAsia="it-IT"/>
              </w:rPr>
              <w:t>10</w:t>
            </w:r>
          </w:p>
        </w:tc>
      </w:tr>
      <w:tr w:rsidR="00864FBA" w:rsidRPr="00864FBA" w:rsidTr="00D47E99">
        <w:trPr>
          <w:trHeight w:val="345"/>
          <w:jc w:val="center"/>
        </w:trPr>
        <w:tc>
          <w:tcPr>
            <w:tcW w:w="2057" w:type="pct"/>
            <w:shd w:val="clear" w:color="E8E0ED" w:fill="E8E0ED"/>
            <w:noWrap/>
            <w:vAlign w:val="center"/>
            <w:hideMark/>
          </w:tcPr>
          <w:p w:rsidR="00864FBA" w:rsidRPr="00864FBA" w:rsidRDefault="00864FBA" w:rsidP="00864FBA">
            <w:pPr>
              <w:spacing w:after="0" w:line="240" w:lineRule="auto"/>
              <w:jc w:val="left"/>
              <w:rPr>
                <w:rFonts w:ascii="Garamond" w:eastAsia="Times New Roman" w:hAnsi="Garamond"/>
                <w:b/>
                <w:bCs/>
                <w:color w:val="000000" w:themeColor="text1"/>
                <w:sz w:val="24"/>
                <w:szCs w:val="24"/>
                <w:lang w:val="sq-AL" w:eastAsia="it-IT"/>
              </w:rPr>
            </w:pPr>
            <w:r w:rsidRPr="00864FBA">
              <w:rPr>
                <w:rFonts w:ascii="Garamond" w:eastAsia="Times New Roman" w:hAnsi="Garamond"/>
                <w:b/>
                <w:bCs/>
                <w:color w:val="000000" w:themeColor="text1"/>
                <w:sz w:val="24"/>
                <w:szCs w:val="24"/>
                <w:lang w:val="sq-AL" w:eastAsia="it-IT"/>
              </w:rPr>
              <w:t>Njësi ekonomike të vogla</w:t>
            </w:r>
          </w:p>
        </w:tc>
        <w:tc>
          <w:tcPr>
            <w:tcW w:w="735" w:type="pct"/>
            <w:shd w:val="clear" w:color="E8E0ED" w:fill="E8E0ED"/>
            <w:noWrap/>
          </w:tcPr>
          <w:p w:rsidR="00864FBA" w:rsidRPr="00864FBA" w:rsidRDefault="00864FBA" w:rsidP="00864FBA">
            <w:pPr>
              <w:spacing w:after="0" w:line="240" w:lineRule="auto"/>
              <w:jc w:val="left"/>
              <w:rPr>
                <w:rFonts w:ascii="Garamond" w:eastAsia="Times New Roman" w:hAnsi="Garamond"/>
                <w:b/>
                <w:bCs/>
                <w:color w:val="000000" w:themeColor="text1"/>
                <w:sz w:val="24"/>
                <w:szCs w:val="24"/>
                <w:lang w:val="sq-AL" w:eastAsia="it-IT"/>
              </w:rPr>
            </w:pPr>
          </w:p>
        </w:tc>
        <w:tc>
          <w:tcPr>
            <w:tcW w:w="735" w:type="pct"/>
            <w:shd w:val="clear" w:color="E8E0ED" w:fill="E8E0ED"/>
            <w:noWrap/>
          </w:tcPr>
          <w:p w:rsidR="00864FBA" w:rsidRPr="00864FBA" w:rsidRDefault="00864FBA" w:rsidP="00864FBA">
            <w:pPr>
              <w:spacing w:after="0" w:line="240" w:lineRule="auto"/>
              <w:jc w:val="center"/>
              <w:rPr>
                <w:rFonts w:ascii="Garamond" w:eastAsia="Times New Roman" w:hAnsi="Garamond"/>
                <w:color w:val="000000" w:themeColor="text1"/>
                <w:sz w:val="24"/>
                <w:szCs w:val="24"/>
                <w:lang w:val="sq-AL" w:eastAsia="it-IT"/>
              </w:rPr>
            </w:pPr>
          </w:p>
        </w:tc>
        <w:tc>
          <w:tcPr>
            <w:tcW w:w="736" w:type="pct"/>
            <w:shd w:val="clear" w:color="E8E0ED" w:fill="E8E0ED"/>
            <w:noWrap/>
          </w:tcPr>
          <w:p w:rsidR="00864FBA" w:rsidRPr="00864FBA" w:rsidRDefault="00864FBA" w:rsidP="00864FBA">
            <w:pPr>
              <w:spacing w:after="0" w:line="240" w:lineRule="auto"/>
              <w:jc w:val="center"/>
              <w:rPr>
                <w:rFonts w:ascii="Garamond" w:eastAsia="Times New Roman" w:hAnsi="Garamond"/>
                <w:color w:val="000000" w:themeColor="text1"/>
                <w:sz w:val="24"/>
                <w:szCs w:val="24"/>
                <w:lang w:val="sq-AL" w:eastAsia="it-IT"/>
              </w:rPr>
            </w:pPr>
          </w:p>
        </w:tc>
        <w:tc>
          <w:tcPr>
            <w:tcW w:w="736" w:type="pct"/>
            <w:shd w:val="clear" w:color="E8E0ED" w:fill="E8E0ED"/>
            <w:noWrap/>
          </w:tcPr>
          <w:p w:rsidR="00864FBA" w:rsidRPr="00864FBA" w:rsidRDefault="00864FBA" w:rsidP="00864FBA">
            <w:pPr>
              <w:spacing w:after="0" w:line="240" w:lineRule="auto"/>
              <w:jc w:val="center"/>
              <w:rPr>
                <w:rFonts w:ascii="Garamond" w:eastAsia="Times New Roman" w:hAnsi="Garamond"/>
                <w:color w:val="000000" w:themeColor="text1"/>
                <w:sz w:val="24"/>
                <w:szCs w:val="24"/>
                <w:lang w:val="sq-AL" w:eastAsia="it-IT"/>
              </w:rPr>
            </w:pPr>
          </w:p>
        </w:tc>
      </w:tr>
      <w:tr w:rsidR="00864FBA" w:rsidRPr="00864FBA" w:rsidTr="00D47E99">
        <w:trPr>
          <w:trHeight w:val="345"/>
          <w:jc w:val="center"/>
        </w:trPr>
        <w:tc>
          <w:tcPr>
            <w:tcW w:w="2057" w:type="pct"/>
            <w:noWrap/>
            <w:vAlign w:val="center"/>
            <w:hideMark/>
          </w:tcPr>
          <w:p w:rsidR="00864FBA" w:rsidRPr="00864FBA" w:rsidRDefault="00864FBA" w:rsidP="00864FBA">
            <w:pPr>
              <w:spacing w:after="0" w:line="240" w:lineRule="auto"/>
              <w:jc w:val="left"/>
              <w:rPr>
                <w:rFonts w:ascii="Garamond" w:eastAsia="Times New Roman" w:hAnsi="Garamond"/>
                <w:color w:val="000000" w:themeColor="text1"/>
                <w:sz w:val="24"/>
                <w:szCs w:val="24"/>
                <w:lang w:val="sq-AL" w:eastAsia="it-IT"/>
              </w:rPr>
            </w:pPr>
            <w:r w:rsidRPr="00864FBA">
              <w:rPr>
                <w:rFonts w:ascii="Garamond" w:eastAsia="Times New Roman" w:hAnsi="Garamond"/>
                <w:color w:val="000000" w:themeColor="text1"/>
                <w:sz w:val="24"/>
                <w:szCs w:val="24"/>
                <w:lang w:val="sq-AL" w:eastAsia="it-IT"/>
              </w:rPr>
              <w:t>Aktivet</w:t>
            </w:r>
          </w:p>
        </w:tc>
        <w:tc>
          <w:tcPr>
            <w:tcW w:w="735" w:type="pct"/>
            <w:noWrap/>
            <w:vAlign w:val="center"/>
            <w:hideMark/>
          </w:tcPr>
          <w:p w:rsidR="00864FBA" w:rsidRPr="00864FBA" w:rsidRDefault="00864FBA" w:rsidP="00864FBA">
            <w:pPr>
              <w:spacing w:after="0" w:line="240" w:lineRule="auto"/>
              <w:jc w:val="center"/>
              <w:rPr>
                <w:rFonts w:ascii="Garamond" w:eastAsia="Times New Roman" w:hAnsi="Garamond"/>
                <w:color w:val="000000" w:themeColor="text1"/>
                <w:sz w:val="24"/>
                <w:szCs w:val="24"/>
                <w:lang w:val="sq-AL" w:eastAsia="it-IT"/>
              </w:rPr>
            </w:pPr>
            <w:r w:rsidRPr="00864FBA">
              <w:rPr>
                <w:rFonts w:ascii="Garamond" w:hAnsi="Garamond"/>
                <w:color w:val="000000" w:themeColor="text1"/>
                <w:sz w:val="24"/>
                <w:szCs w:val="24"/>
                <w:shd w:val="clear" w:color="auto" w:fill="FFFFFF"/>
                <w:lang w:val="sq-AL"/>
              </w:rPr>
              <w:t xml:space="preserve">≤ </w:t>
            </w:r>
            <w:r w:rsidRPr="00864FBA">
              <w:rPr>
                <w:rFonts w:ascii="Garamond" w:eastAsia="Times New Roman" w:hAnsi="Garamond"/>
                <w:color w:val="000000" w:themeColor="text1"/>
                <w:sz w:val="24"/>
                <w:szCs w:val="24"/>
                <w:lang w:val="sq-AL" w:eastAsia="it-IT"/>
              </w:rPr>
              <w:t xml:space="preserve">150 000 </w:t>
            </w:r>
          </w:p>
        </w:tc>
        <w:tc>
          <w:tcPr>
            <w:tcW w:w="735" w:type="pct"/>
            <w:noWrap/>
            <w:vAlign w:val="center"/>
            <w:hideMark/>
          </w:tcPr>
          <w:p w:rsidR="00864FBA" w:rsidRPr="00864FBA" w:rsidRDefault="00864FBA" w:rsidP="00864FBA">
            <w:pPr>
              <w:spacing w:after="0" w:line="240" w:lineRule="auto"/>
              <w:jc w:val="center"/>
              <w:rPr>
                <w:rFonts w:ascii="Garamond" w:eastAsia="Times New Roman" w:hAnsi="Garamond"/>
                <w:color w:val="000000" w:themeColor="text1"/>
                <w:sz w:val="24"/>
                <w:szCs w:val="24"/>
                <w:lang w:val="sq-AL" w:eastAsia="it-IT"/>
              </w:rPr>
            </w:pPr>
            <w:r w:rsidRPr="00864FBA">
              <w:rPr>
                <w:rFonts w:ascii="Garamond" w:hAnsi="Garamond"/>
                <w:color w:val="000000" w:themeColor="text1"/>
                <w:sz w:val="24"/>
                <w:szCs w:val="24"/>
                <w:shd w:val="clear" w:color="auto" w:fill="FFFFFF"/>
                <w:lang w:val="sq-AL"/>
              </w:rPr>
              <w:t xml:space="preserve">≤ </w:t>
            </w:r>
            <w:r w:rsidRPr="00864FBA">
              <w:rPr>
                <w:rFonts w:ascii="Garamond" w:eastAsia="Times New Roman" w:hAnsi="Garamond"/>
                <w:color w:val="000000" w:themeColor="text1"/>
                <w:sz w:val="24"/>
                <w:szCs w:val="24"/>
                <w:lang w:val="sq-AL" w:eastAsia="it-IT"/>
              </w:rPr>
              <w:t xml:space="preserve">250 000 </w:t>
            </w:r>
          </w:p>
        </w:tc>
        <w:tc>
          <w:tcPr>
            <w:tcW w:w="736" w:type="pct"/>
            <w:noWrap/>
            <w:vAlign w:val="center"/>
            <w:hideMark/>
          </w:tcPr>
          <w:p w:rsidR="00864FBA" w:rsidRPr="00864FBA" w:rsidRDefault="00864FBA" w:rsidP="00864FBA">
            <w:pPr>
              <w:spacing w:after="0" w:line="240" w:lineRule="auto"/>
              <w:jc w:val="center"/>
              <w:rPr>
                <w:rFonts w:ascii="Garamond" w:eastAsia="Times New Roman" w:hAnsi="Garamond"/>
                <w:color w:val="000000" w:themeColor="text1"/>
                <w:sz w:val="24"/>
                <w:szCs w:val="24"/>
                <w:lang w:val="sq-AL" w:eastAsia="it-IT"/>
              </w:rPr>
            </w:pPr>
            <w:r w:rsidRPr="00864FBA">
              <w:rPr>
                <w:rFonts w:ascii="Garamond" w:hAnsi="Garamond"/>
                <w:color w:val="000000" w:themeColor="text1"/>
                <w:sz w:val="24"/>
                <w:szCs w:val="24"/>
                <w:shd w:val="clear" w:color="auto" w:fill="FFFFFF"/>
                <w:lang w:val="sq-AL"/>
              </w:rPr>
              <w:t xml:space="preserve">≤ </w:t>
            </w:r>
            <w:r w:rsidRPr="00864FBA">
              <w:rPr>
                <w:rFonts w:ascii="Garamond" w:eastAsia="Times New Roman" w:hAnsi="Garamond"/>
                <w:color w:val="000000" w:themeColor="text1"/>
                <w:sz w:val="24"/>
                <w:szCs w:val="24"/>
                <w:lang w:val="sq-AL" w:eastAsia="it-IT"/>
              </w:rPr>
              <w:t xml:space="preserve">350 000 </w:t>
            </w:r>
          </w:p>
        </w:tc>
        <w:tc>
          <w:tcPr>
            <w:tcW w:w="736" w:type="pct"/>
            <w:noWrap/>
            <w:vAlign w:val="center"/>
            <w:hideMark/>
          </w:tcPr>
          <w:p w:rsidR="00864FBA" w:rsidRPr="00864FBA" w:rsidRDefault="00864FBA" w:rsidP="00864FBA">
            <w:pPr>
              <w:spacing w:after="0" w:line="240" w:lineRule="auto"/>
              <w:jc w:val="center"/>
              <w:rPr>
                <w:rFonts w:ascii="Garamond" w:eastAsia="Times New Roman" w:hAnsi="Garamond"/>
                <w:color w:val="000000" w:themeColor="text1"/>
                <w:sz w:val="24"/>
                <w:szCs w:val="24"/>
                <w:lang w:val="sq-AL" w:eastAsia="it-IT"/>
              </w:rPr>
            </w:pPr>
            <w:r w:rsidRPr="00864FBA">
              <w:rPr>
                <w:rFonts w:ascii="Garamond" w:hAnsi="Garamond"/>
                <w:color w:val="000000" w:themeColor="text1"/>
                <w:sz w:val="24"/>
                <w:szCs w:val="24"/>
                <w:shd w:val="clear" w:color="auto" w:fill="FFFFFF"/>
                <w:lang w:val="sq-AL"/>
              </w:rPr>
              <w:t xml:space="preserve">≤ </w:t>
            </w:r>
            <w:r w:rsidRPr="00864FBA">
              <w:rPr>
                <w:rFonts w:ascii="Garamond" w:eastAsia="Times New Roman" w:hAnsi="Garamond"/>
                <w:color w:val="000000" w:themeColor="text1"/>
                <w:sz w:val="24"/>
                <w:szCs w:val="24"/>
                <w:lang w:val="sq-AL" w:eastAsia="it-IT"/>
              </w:rPr>
              <w:t xml:space="preserve">500 000 </w:t>
            </w:r>
          </w:p>
        </w:tc>
      </w:tr>
      <w:tr w:rsidR="00864FBA" w:rsidRPr="00864FBA" w:rsidTr="00D47E99">
        <w:trPr>
          <w:trHeight w:val="345"/>
          <w:jc w:val="center"/>
        </w:trPr>
        <w:tc>
          <w:tcPr>
            <w:tcW w:w="2057" w:type="pct"/>
            <w:noWrap/>
            <w:vAlign w:val="center"/>
            <w:hideMark/>
          </w:tcPr>
          <w:p w:rsidR="00864FBA" w:rsidRPr="00864FBA" w:rsidRDefault="00864FBA" w:rsidP="00864FBA">
            <w:pPr>
              <w:spacing w:after="0" w:line="240" w:lineRule="auto"/>
              <w:jc w:val="left"/>
              <w:rPr>
                <w:rFonts w:ascii="Garamond" w:eastAsia="Times New Roman" w:hAnsi="Garamond"/>
                <w:color w:val="000000" w:themeColor="text1"/>
                <w:sz w:val="24"/>
                <w:szCs w:val="24"/>
                <w:lang w:val="sq-AL" w:eastAsia="it-IT"/>
              </w:rPr>
            </w:pPr>
            <w:r w:rsidRPr="00864FBA">
              <w:rPr>
                <w:rFonts w:ascii="Garamond" w:eastAsia="Times New Roman" w:hAnsi="Garamond"/>
                <w:color w:val="000000" w:themeColor="text1"/>
                <w:sz w:val="24"/>
                <w:szCs w:val="24"/>
                <w:lang w:val="sq-AL" w:eastAsia="it-IT"/>
              </w:rPr>
              <w:t>Të ardhurat</w:t>
            </w:r>
            <w:r w:rsidRPr="00864FBA">
              <w:rPr>
                <w:rFonts w:ascii="Garamond" w:eastAsia="Arial Unicode MS" w:hAnsi="Garamond"/>
                <w:color w:val="000000" w:themeColor="text1"/>
                <w:sz w:val="24"/>
                <w:szCs w:val="24"/>
                <w:lang w:val="sq-AL"/>
              </w:rPr>
              <w:t xml:space="preserve"> e</w:t>
            </w:r>
            <w:r w:rsidRPr="00864FBA">
              <w:rPr>
                <w:rFonts w:ascii="Garamond" w:eastAsia="Times New Roman" w:hAnsi="Garamond"/>
                <w:color w:val="000000" w:themeColor="text1"/>
                <w:sz w:val="24"/>
                <w:szCs w:val="24"/>
                <w:lang w:val="sq-AL" w:eastAsia="it-IT"/>
              </w:rPr>
              <w:t xml:space="preserve"> shfrytëzimit </w:t>
            </w:r>
          </w:p>
        </w:tc>
        <w:tc>
          <w:tcPr>
            <w:tcW w:w="735" w:type="pct"/>
            <w:noWrap/>
            <w:vAlign w:val="center"/>
            <w:hideMark/>
          </w:tcPr>
          <w:p w:rsidR="00864FBA" w:rsidRPr="00864FBA" w:rsidRDefault="00864FBA" w:rsidP="00864FBA">
            <w:pPr>
              <w:spacing w:after="0" w:line="240" w:lineRule="auto"/>
              <w:jc w:val="center"/>
              <w:rPr>
                <w:rFonts w:ascii="Garamond" w:eastAsia="Times New Roman" w:hAnsi="Garamond"/>
                <w:color w:val="000000" w:themeColor="text1"/>
                <w:sz w:val="24"/>
                <w:szCs w:val="24"/>
                <w:lang w:val="sq-AL" w:eastAsia="it-IT"/>
              </w:rPr>
            </w:pPr>
            <w:r w:rsidRPr="00864FBA">
              <w:rPr>
                <w:rFonts w:ascii="Garamond" w:hAnsi="Garamond"/>
                <w:color w:val="000000" w:themeColor="text1"/>
                <w:sz w:val="24"/>
                <w:szCs w:val="24"/>
                <w:shd w:val="clear" w:color="auto" w:fill="FFFFFF"/>
                <w:lang w:val="sq-AL"/>
              </w:rPr>
              <w:t xml:space="preserve">≤ </w:t>
            </w:r>
            <w:r w:rsidRPr="00864FBA">
              <w:rPr>
                <w:rFonts w:ascii="Garamond" w:eastAsia="Times New Roman" w:hAnsi="Garamond"/>
                <w:color w:val="000000" w:themeColor="text1"/>
                <w:sz w:val="24"/>
                <w:szCs w:val="24"/>
                <w:lang w:val="sq-AL" w:eastAsia="it-IT"/>
              </w:rPr>
              <w:t xml:space="preserve">300 000 </w:t>
            </w:r>
          </w:p>
        </w:tc>
        <w:tc>
          <w:tcPr>
            <w:tcW w:w="735" w:type="pct"/>
            <w:noWrap/>
            <w:vAlign w:val="center"/>
            <w:hideMark/>
          </w:tcPr>
          <w:p w:rsidR="00864FBA" w:rsidRPr="00864FBA" w:rsidRDefault="00864FBA" w:rsidP="00864FBA">
            <w:pPr>
              <w:spacing w:after="0" w:line="240" w:lineRule="auto"/>
              <w:jc w:val="center"/>
              <w:rPr>
                <w:rFonts w:ascii="Garamond" w:eastAsia="Times New Roman" w:hAnsi="Garamond"/>
                <w:color w:val="000000" w:themeColor="text1"/>
                <w:sz w:val="24"/>
                <w:szCs w:val="24"/>
                <w:lang w:val="sq-AL" w:eastAsia="it-IT"/>
              </w:rPr>
            </w:pPr>
            <w:r w:rsidRPr="00864FBA">
              <w:rPr>
                <w:rFonts w:ascii="Garamond" w:hAnsi="Garamond"/>
                <w:color w:val="000000" w:themeColor="text1"/>
                <w:sz w:val="24"/>
                <w:szCs w:val="24"/>
                <w:shd w:val="clear" w:color="auto" w:fill="FFFFFF"/>
                <w:lang w:val="sq-AL"/>
              </w:rPr>
              <w:t>≤ 5</w:t>
            </w:r>
            <w:r w:rsidRPr="00864FBA">
              <w:rPr>
                <w:rFonts w:ascii="Garamond" w:eastAsia="Times New Roman" w:hAnsi="Garamond"/>
                <w:color w:val="000000" w:themeColor="text1"/>
                <w:sz w:val="24"/>
                <w:szCs w:val="24"/>
                <w:lang w:val="sq-AL" w:eastAsia="it-IT"/>
              </w:rPr>
              <w:t xml:space="preserve">00 000 </w:t>
            </w:r>
          </w:p>
        </w:tc>
        <w:tc>
          <w:tcPr>
            <w:tcW w:w="736" w:type="pct"/>
            <w:noWrap/>
            <w:vAlign w:val="center"/>
            <w:hideMark/>
          </w:tcPr>
          <w:p w:rsidR="00864FBA" w:rsidRPr="00864FBA" w:rsidRDefault="00864FBA" w:rsidP="00864FBA">
            <w:pPr>
              <w:spacing w:after="0" w:line="240" w:lineRule="auto"/>
              <w:jc w:val="center"/>
              <w:rPr>
                <w:rFonts w:ascii="Garamond" w:eastAsia="Times New Roman" w:hAnsi="Garamond"/>
                <w:color w:val="000000" w:themeColor="text1"/>
                <w:sz w:val="24"/>
                <w:szCs w:val="24"/>
                <w:lang w:val="sq-AL" w:eastAsia="it-IT"/>
              </w:rPr>
            </w:pPr>
            <w:r w:rsidRPr="00864FBA">
              <w:rPr>
                <w:rFonts w:ascii="Garamond" w:hAnsi="Garamond"/>
                <w:color w:val="000000" w:themeColor="text1"/>
                <w:sz w:val="24"/>
                <w:szCs w:val="24"/>
                <w:shd w:val="clear" w:color="auto" w:fill="FFFFFF"/>
                <w:lang w:val="sq-AL"/>
              </w:rPr>
              <w:t xml:space="preserve">≤ </w:t>
            </w:r>
            <w:r w:rsidRPr="00864FBA">
              <w:rPr>
                <w:rFonts w:ascii="Garamond" w:eastAsia="Times New Roman" w:hAnsi="Garamond"/>
                <w:color w:val="000000" w:themeColor="text1"/>
                <w:sz w:val="24"/>
                <w:szCs w:val="24"/>
                <w:lang w:val="sq-AL" w:eastAsia="it-IT"/>
              </w:rPr>
              <w:t xml:space="preserve">700 000 </w:t>
            </w:r>
          </w:p>
        </w:tc>
        <w:tc>
          <w:tcPr>
            <w:tcW w:w="736" w:type="pct"/>
            <w:noWrap/>
            <w:vAlign w:val="center"/>
            <w:hideMark/>
          </w:tcPr>
          <w:p w:rsidR="00864FBA" w:rsidRPr="00864FBA" w:rsidRDefault="00864FBA" w:rsidP="00864FBA">
            <w:pPr>
              <w:spacing w:after="0" w:line="240" w:lineRule="auto"/>
              <w:jc w:val="center"/>
              <w:rPr>
                <w:rFonts w:ascii="Garamond" w:eastAsia="Times New Roman" w:hAnsi="Garamond"/>
                <w:color w:val="000000" w:themeColor="text1"/>
                <w:sz w:val="24"/>
                <w:szCs w:val="24"/>
                <w:lang w:val="sq-AL" w:eastAsia="it-IT"/>
              </w:rPr>
            </w:pPr>
            <w:r w:rsidRPr="00864FBA">
              <w:rPr>
                <w:rFonts w:ascii="Garamond" w:hAnsi="Garamond"/>
                <w:color w:val="000000" w:themeColor="text1"/>
                <w:sz w:val="24"/>
                <w:szCs w:val="24"/>
                <w:shd w:val="clear" w:color="auto" w:fill="FFFFFF"/>
                <w:lang w:val="sq-AL"/>
              </w:rPr>
              <w:t xml:space="preserve">≤ </w:t>
            </w:r>
            <w:r w:rsidRPr="00864FBA">
              <w:rPr>
                <w:rFonts w:ascii="Garamond" w:eastAsia="Times New Roman" w:hAnsi="Garamond"/>
                <w:color w:val="000000" w:themeColor="text1"/>
                <w:sz w:val="24"/>
                <w:szCs w:val="24"/>
                <w:lang w:val="sq-AL" w:eastAsia="it-IT"/>
              </w:rPr>
              <w:t>1 000 000</w:t>
            </w:r>
          </w:p>
        </w:tc>
      </w:tr>
      <w:tr w:rsidR="00864FBA" w:rsidRPr="00864FBA" w:rsidTr="00D47E99">
        <w:trPr>
          <w:trHeight w:val="345"/>
          <w:jc w:val="center"/>
        </w:trPr>
        <w:tc>
          <w:tcPr>
            <w:tcW w:w="2057" w:type="pct"/>
            <w:noWrap/>
            <w:vAlign w:val="center"/>
            <w:hideMark/>
          </w:tcPr>
          <w:p w:rsidR="00864FBA" w:rsidRPr="00864FBA" w:rsidRDefault="00864FBA" w:rsidP="00864FBA">
            <w:pPr>
              <w:spacing w:after="0" w:line="240" w:lineRule="auto"/>
              <w:jc w:val="left"/>
              <w:rPr>
                <w:rFonts w:ascii="Garamond" w:eastAsia="Times New Roman" w:hAnsi="Garamond"/>
                <w:color w:val="000000" w:themeColor="text1"/>
                <w:sz w:val="24"/>
                <w:szCs w:val="24"/>
                <w:lang w:val="sq-AL" w:eastAsia="it-IT"/>
              </w:rPr>
            </w:pPr>
            <w:r w:rsidRPr="00864FBA">
              <w:rPr>
                <w:rFonts w:ascii="Garamond" w:eastAsia="Times New Roman" w:hAnsi="Garamond"/>
                <w:color w:val="000000" w:themeColor="text1"/>
                <w:sz w:val="24"/>
                <w:szCs w:val="24"/>
                <w:lang w:val="sq-AL" w:eastAsia="it-IT"/>
              </w:rPr>
              <w:t>Numri i punonjësve</w:t>
            </w:r>
          </w:p>
        </w:tc>
        <w:tc>
          <w:tcPr>
            <w:tcW w:w="735" w:type="pct"/>
            <w:noWrap/>
            <w:vAlign w:val="center"/>
            <w:hideMark/>
          </w:tcPr>
          <w:p w:rsidR="00864FBA" w:rsidRPr="00864FBA" w:rsidRDefault="00864FBA" w:rsidP="00864FBA">
            <w:pPr>
              <w:spacing w:after="0" w:line="240" w:lineRule="auto"/>
              <w:jc w:val="center"/>
              <w:rPr>
                <w:rFonts w:ascii="Garamond" w:eastAsia="Times New Roman" w:hAnsi="Garamond"/>
                <w:i/>
                <w:color w:val="000000" w:themeColor="text1"/>
                <w:sz w:val="24"/>
                <w:szCs w:val="24"/>
                <w:lang w:val="sq-AL" w:eastAsia="it-IT"/>
              </w:rPr>
            </w:pPr>
            <w:r w:rsidRPr="00864FBA">
              <w:rPr>
                <w:rFonts w:ascii="Garamond" w:hAnsi="Garamond"/>
                <w:color w:val="000000" w:themeColor="text1"/>
                <w:sz w:val="24"/>
                <w:szCs w:val="24"/>
                <w:shd w:val="clear" w:color="auto" w:fill="FFFFFF"/>
                <w:lang w:val="sq-AL"/>
              </w:rPr>
              <w:t xml:space="preserve">≤ </w:t>
            </w:r>
            <w:r w:rsidRPr="00864FBA">
              <w:rPr>
                <w:rFonts w:ascii="Garamond" w:eastAsia="Times New Roman" w:hAnsi="Garamond"/>
                <w:i/>
                <w:color w:val="000000" w:themeColor="text1"/>
                <w:sz w:val="24"/>
                <w:szCs w:val="24"/>
                <w:lang w:val="sq-AL" w:eastAsia="it-IT"/>
              </w:rPr>
              <w:t>50</w:t>
            </w:r>
          </w:p>
        </w:tc>
        <w:tc>
          <w:tcPr>
            <w:tcW w:w="735" w:type="pct"/>
            <w:noWrap/>
            <w:vAlign w:val="center"/>
            <w:hideMark/>
          </w:tcPr>
          <w:p w:rsidR="00864FBA" w:rsidRPr="00864FBA" w:rsidRDefault="00864FBA" w:rsidP="00864FBA">
            <w:pPr>
              <w:spacing w:after="0" w:line="240" w:lineRule="auto"/>
              <w:jc w:val="center"/>
              <w:rPr>
                <w:rFonts w:ascii="Garamond" w:eastAsia="Times New Roman" w:hAnsi="Garamond"/>
                <w:i/>
                <w:color w:val="000000" w:themeColor="text1"/>
                <w:sz w:val="24"/>
                <w:szCs w:val="24"/>
                <w:lang w:val="sq-AL" w:eastAsia="it-IT"/>
              </w:rPr>
            </w:pPr>
            <w:r w:rsidRPr="00864FBA">
              <w:rPr>
                <w:rFonts w:ascii="Garamond" w:hAnsi="Garamond"/>
                <w:color w:val="000000" w:themeColor="text1"/>
                <w:sz w:val="24"/>
                <w:szCs w:val="24"/>
                <w:shd w:val="clear" w:color="auto" w:fill="FFFFFF"/>
                <w:lang w:val="sq-AL"/>
              </w:rPr>
              <w:t xml:space="preserve">≤ </w:t>
            </w:r>
            <w:r w:rsidRPr="00864FBA">
              <w:rPr>
                <w:rFonts w:ascii="Garamond" w:eastAsia="Times New Roman" w:hAnsi="Garamond"/>
                <w:i/>
                <w:color w:val="000000" w:themeColor="text1"/>
                <w:sz w:val="24"/>
                <w:szCs w:val="24"/>
                <w:lang w:val="sq-AL" w:eastAsia="it-IT"/>
              </w:rPr>
              <w:t>50</w:t>
            </w:r>
          </w:p>
        </w:tc>
        <w:tc>
          <w:tcPr>
            <w:tcW w:w="736" w:type="pct"/>
            <w:noWrap/>
            <w:vAlign w:val="center"/>
            <w:hideMark/>
          </w:tcPr>
          <w:p w:rsidR="00864FBA" w:rsidRPr="00864FBA" w:rsidRDefault="00864FBA" w:rsidP="00864FBA">
            <w:pPr>
              <w:spacing w:after="0" w:line="240" w:lineRule="auto"/>
              <w:jc w:val="center"/>
              <w:rPr>
                <w:rFonts w:ascii="Garamond" w:eastAsia="Times New Roman" w:hAnsi="Garamond"/>
                <w:i/>
                <w:color w:val="000000" w:themeColor="text1"/>
                <w:sz w:val="24"/>
                <w:szCs w:val="24"/>
                <w:lang w:val="sq-AL" w:eastAsia="it-IT"/>
              </w:rPr>
            </w:pPr>
            <w:r w:rsidRPr="00864FBA">
              <w:rPr>
                <w:rFonts w:ascii="Garamond" w:hAnsi="Garamond"/>
                <w:color w:val="000000" w:themeColor="text1"/>
                <w:sz w:val="24"/>
                <w:szCs w:val="24"/>
                <w:shd w:val="clear" w:color="auto" w:fill="FFFFFF"/>
                <w:lang w:val="sq-AL"/>
              </w:rPr>
              <w:t xml:space="preserve">≤ </w:t>
            </w:r>
            <w:r w:rsidRPr="00864FBA">
              <w:rPr>
                <w:rFonts w:ascii="Garamond" w:eastAsia="Times New Roman" w:hAnsi="Garamond"/>
                <w:i/>
                <w:color w:val="000000" w:themeColor="text1"/>
                <w:sz w:val="24"/>
                <w:szCs w:val="24"/>
                <w:lang w:val="sq-AL" w:eastAsia="it-IT"/>
              </w:rPr>
              <w:t>50</w:t>
            </w:r>
          </w:p>
        </w:tc>
        <w:tc>
          <w:tcPr>
            <w:tcW w:w="736" w:type="pct"/>
            <w:noWrap/>
            <w:vAlign w:val="center"/>
            <w:hideMark/>
          </w:tcPr>
          <w:p w:rsidR="00864FBA" w:rsidRPr="00864FBA" w:rsidRDefault="00864FBA" w:rsidP="00864FBA">
            <w:pPr>
              <w:spacing w:after="0" w:line="240" w:lineRule="auto"/>
              <w:jc w:val="center"/>
              <w:rPr>
                <w:rFonts w:ascii="Garamond" w:eastAsia="Times New Roman" w:hAnsi="Garamond"/>
                <w:i/>
                <w:color w:val="000000" w:themeColor="text1"/>
                <w:sz w:val="24"/>
                <w:szCs w:val="24"/>
                <w:lang w:val="sq-AL" w:eastAsia="it-IT"/>
              </w:rPr>
            </w:pPr>
            <w:r w:rsidRPr="00864FBA">
              <w:rPr>
                <w:rFonts w:ascii="Garamond" w:hAnsi="Garamond"/>
                <w:color w:val="000000" w:themeColor="text1"/>
                <w:sz w:val="24"/>
                <w:szCs w:val="24"/>
                <w:shd w:val="clear" w:color="auto" w:fill="FFFFFF"/>
                <w:lang w:val="sq-AL"/>
              </w:rPr>
              <w:t xml:space="preserve">≤ </w:t>
            </w:r>
            <w:r w:rsidRPr="00864FBA">
              <w:rPr>
                <w:rFonts w:ascii="Garamond" w:eastAsia="Times New Roman" w:hAnsi="Garamond"/>
                <w:i/>
                <w:color w:val="000000" w:themeColor="text1"/>
                <w:sz w:val="24"/>
                <w:szCs w:val="24"/>
                <w:lang w:val="sq-AL" w:eastAsia="it-IT"/>
              </w:rPr>
              <w:t>50</w:t>
            </w:r>
          </w:p>
        </w:tc>
      </w:tr>
      <w:tr w:rsidR="00864FBA" w:rsidRPr="00864FBA" w:rsidTr="00D47E99">
        <w:trPr>
          <w:trHeight w:val="345"/>
          <w:jc w:val="center"/>
        </w:trPr>
        <w:tc>
          <w:tcPr>
            <w:tcW w:w="2057" w:type="pct"/>
            <w:shd w:val="clear" w:color="E8E0ED" w:fill="E8E0ED"/>
            <w:noWrap/>
            <w:vAlign w:val="center"/>
            <w:hideMark/>
          </w:tcPr>
          <w:p w:rsidR="00864FBA" w:rsidRPr="00864FBA" w:rsidRDefault="00864FBA" w:rsidP="00864FBA">
            <w:pPr>
              <w:spacing w:after="0" w:line="240" w:lineRule="auto"/>
              <w:jc w:val="left"/>
              <w:rPr>
                <w:rFonts w:ascii="Garamond" w:eastAsia="Times New Roman" w:hAnsi="Garamond"/>
                <w:b/>
                <w:bCs/>
                <w:color w:val="000000" w:themeColor="text1"/>
                <w:sz w:val="24"/>
                <w:szCs w:val="24"/>
                <w:lang w:val="sq-AL" w:eastAsia="it-IT"/>
              </w:rPr>
            </w:pPr>
            <w:r w:rsidRPr="00864FBA">
              <w:rPr>
                <w:rFonts w:ascii="Garamond" w:eastAsia="Times New Roman" w:hAnsi="Garamond"/>
                <w:b/>
                <w:bCs/>
                <w:color w:val="000000" w:themeColor="text1"/>
                <w:sz w:val="24"/>
                <w:szCs w:val="24"/>
                <w:lang w:val="sq-AL" w:eastAsia="it-IT"/>
              </w:rPr>
              <w:t>Njësi ekonomike të mesme</w:t>
            </w:r>
          </w:p>
        </w:tc>
        <w:tc>
          <w:tcPr>
            <w:tcW w:w="735" w:type="pct"/>
            <w:shd w:val="clear" w:color="E8E0ED" w:fill="E8E0ED"/>
            <w:noWrap/>
          </w:tcPr>
          <w:p w:rsidR="00864FBA" w:rsidRPr="00864FBA" w:rsidRDefault="00864FBA" w:rsidP="00864FBA">
            <w:pPr>
              <w:spacing w:after="0" w:line="240" w:lineRule="auto"/>
              <w:jc w:val="left"/>
              <w:rPr>
                <w:rFonts w:ascii="Garamond" w:eastAsia="Times New Roman" w:hAnsi="Garamond"/>
                <w:b/>
                <w:bCs/>
                <w:color w:val="000000" w:themeColor="text1"/>
                <w:sz w:val="24"/>
                <w:szCs w:val="24"/>
                <w:lang w:val="sq-AL" w:eastAsia="it-IT"/>
              </w:rPr>
            </w:pPr>
          </w:p>
        </w:tc>
        <w:tc>
          <w:tcPr>
            <w:tcW w:w="735" w:type="pct"/>
            <w:shd w:val="clear" w:color="E8E0ED" w:fill="E8E0ED"/>
            <w:noWrap/>
          </w:tcPr>
          <w:p w:rsidR="00864FBA" w:rsidRPr="00864FBA" w:rsidRDefault="00864FBA" w:rsidP="00864FBA">
            <w:pPr>
              <w:spacing w:after="0" w:line="240" w:lineRule="auto"/>
              <w:jc w:val="center"/>
              <w:rPr>
                <w:rFonts w:ascii="Garamond" w:eastAsia="Times New Roman" w:hAnsi="Garamond"/>
                <w:color w:val="000000" w:themeColor="text1"/>
                <w:sz w:val="24"/>
                <w:szCs w:val="24"/>
                <w:lang w:val="sq-AL" w:eastAsia="it-IT"/>
              </w:rPr>
            </w:pPr>
          </w:p>
        </w:tc>
        <w:tc>
          <w:tcPr>
            <w:tcW w:w="736" w:type="pct"/>
            <w:shd w:val="clear" w:color="E8E0ED" w:fill="E8E0ED"/>
            <w:noWrap/>
          </w:tcPr>
          <w:p w:rsidR="00864FBA" w:rsidRPr="00864FBA" w:rsidRDefault="00864FBA" w:rsidP="00864FBA">
            <w:pPr>
              <w:spacing w:after="0" w:line="240" w:lineRule="auto"/>
              <w:jc w:val="center"/>
              <w:rPr>
                <w:rFonts w:ascii="Garamond" w:eastAsia="Times New Roman" w:hAnsi="Garamond"/>
                <w:color w:val="000000" w:themeColor="text1"/>
                <w:sz w:val="24"/>
                <w:szCs w:val="24"/>
                <w:lang w:val="sq-AL" w:eastAsia="it-IT"/>
              </w:rPr>
            </w:pPr>
          </w:p>
        </w:tc>
        <w:tc>
          <w:tcPr>
            <w:tcW w:w="736" w:type="pct"/>
            <w:shd w:val="clear" w:color="E8E0ED" w:fill="E8E0ED"/>
            <w:noWrap/>
          </w:tcPr>
          <w:p w:rsidR="00864FBA" w:rsidRPr="00864FBA" w:rsidRDefault="00864FBA" w:rsidP="00864FBA">
            <w:pPr>
              <w:spacing w:after="0" w:line="240" w:lineRule="auto"/>
              <w:jc w:val="center"/>
              <w:rPr>
                <w:rFonts w:ascii="Garamond" w:eastAsia="Times New Roman" w:hAnsi="Garamond"/>
                <w:color w:val="000000" w:themeColor="text1"/>
                <w:sz w:val="24"/>
                <w:szCs w:val="24"/>
                <w:lang w:val="sq-AL" w:eastAsia="it-IT"/>
              </w:rPr>
            </w:pPr>
          </w:p>
        </w:tc>
      </w:tr>
      <w:tr w:rsidR="00864FBA" w:rsidRPr="00864FBA" w:rsidTr="00D47E99">
        <w:trPr>
          <w:trHeight w:val="345"/>
          <w:jc w:val="center"/>
        </w:trPr>
        <w:tc>
          <w:tcPr>
            <w:tcW w:w="2057" w:type="pct"/>
            <w:noWrap/>
            <w:vAlign w:val="center"/>
            <w:hideMark/>
          </w:tcPr>
          <w:p w:rsidR="00864FBA" w:rsidRPr="00864FBA" w:rsidRDefault="00864FBA" w:rsidP="00864FBA">
            <w:pPr>
              <w:spacing w:after="0" w:line="240" w:lineRule="auto"/>
              <w:jc w:val="left"/>
              <w:rPr>
                <w:rFonts w:ascii="Garamond" w:eastAsia="Times New Roman" w:hAnsi="Garamond"/>
                <w:color w:val="000000" w:themeColor="text1"/>
                <w:sz w:val="24"/>
                <w:szCs w:val="24"/>
                <w:lang w:val="sq-AL" w:eastAsia="it-IT"/>
              </w:rPr>
            </w:pPr>
            <w:r w:rsidRPr="00864FBA">
              <w:rPr>
                <w:rFonts w:ascii="Garamond" w:eastAsia="Times New Roman" w:hAnsi="Garamond"/>
                <w:color w:val="000000" w:themeColor="text1"/>
                <w:sz w:val="24"/>
                <w:szCs w:val="24"/>
                <w:lang w:val="sq-AL" w:eastAsia="it-IT"/>
              </w:rPr>
              <w:t>Aktivet</w:t>
            </w:r>
          </w:p>
        </w:tc>
        <w:tc>
          <w:tcPr>
            <w:tcW w:w="735" w:type="pct"/>
            <w:noWrap/>
            <w:vAlign w:val="center"/>
            <w:hideMark/>
          </w:tcPr>
          <w:p w:rsidR="00864FBA" w:rsidRPr="00864FBA" w:rsidRDefault="00864FBA" w:rsidP="00864FBA">
            <w:pPr>
              <w:spacing w:after="0" w:line="240" w:lineRule="auto"/>
              <w:jc w:val="center"/>
              <w:rPr>
                <w:rFonts w:ascii="Garamond" w:eastAsia="Times New Roman" w:hAnsi="Garamond"/>
                <w:color w:val="000000" w:themeColor="text1"/>
                <w:sz w:val="24"/>
                <w:szCs w:val="24"/>
                <w:lang w:val="sq-AL" w:eastAsia="it-IT"/>
              </w:rPr>
            </w:pPr>
            <w:r w:rsidRPr="00864FBA">
              <w:rPr>
                <w:rFonts w:ascii="Garamond" w:hAnsi="Garamond"/>
                <w:color w:val="000000" w:themeColor="text1"/>
                <w:sz w:val="24"/>
                <w:szCs w:val="24"/>
                <w:shd w:val="clear" w:color="auto" w:fill="FFFFFF"/>
                <w:lang w:val="sq-AL"/>
              </w:rPr>
              <w:t xml:space="preserve">≤ </w:t>
            </w:r>
            <w:r w:rsidRPr="00864FBA">
              <w:rPr>
                <w:rFonts w:ascii="Garamond" w:eastAsia="Times New Roman" w:hAnsi="Garamond"/>
                <w:color w:val="000000" w:themeColor="text1"/>
                <w:sz w:val="24"/>
                <w:szCs w:val="24"/>
                <w:lang w:val="sq-AL" w:eastAsia="it-IT"/>
              </w:rPr>
              <w:t xml:space="preserve">750 000 </w:t>
            </w:r>
          </w:p>
        </w:tc>
        <w:tc>
          <w:tcPr>
            <w:tcW w:w="735" w:type="pct"/>
            <w:noWrap/>
            <w:vAlign w:val="center"/>
            <w:hideMark/>
          </w:tcPr>
          <w:p w:rsidR="00864FBA" w:rsidRPr="00864FBA" w:rsidRDefault="00864FBA" w:rsidP="00864FBA">
            <w:pPr>
              <w:spacing w:after="0" w:line="240" w:lineRule="auto"/>
              <w:jc w:val="center"/>
              <w:rPr>
                <w:rFonts w:ascii="Garamond" w:eastAsia="Times New Roman" w:hAnsi="Garamond"/>
                <w:color w:val="000000" w:themeColor="text1"/>
                <w:sz w:val="24"/>
                <w:szCs w:val="24"/>
                <w:lang w:val="sq-AL" w:eastAsia="it-IT"/>
              </w:rPr>
            </w:pPr>
            <w:r w:rsidRPr="00864FBA">
              <w:rPr>
                <w:rFonts w:ascii="Garamond" w:hAnsi="Garamond"/>
                <w:color w:val="000000" w:themeColor="text1"/>
                <w:sz w:val="24"/>
                <w:szCs w:val="24"/>
                <w:shd w:val="clear" w:color="auto" w:fill="FFFFFF"/>
                <w:lang w:val="sq-AL"/>
              </w:rPr>
              <w:t xml:space="preserve">≤ </w:t>
            </w:r>
            <w:r w:rsidRPr="00864FBA">
              <w:rPr>
                <w:rFonts w:ascii="Garamond" w:eastAsia="Times New Roman" w:hAnsi="Garamond"/>
                <w:color w:val="000000" w:themeColor="text1"/>
                <w:sz w:val="24"/>
                <w:szCs w:val="24"/>
                <w:lang w:val="sq-AL" w:eastAsia="it-IT"/>
              </w:rPr>
              <w:t xml:space="preserve">1 250 000 </w:t>
            </w:r>
          </w:p>
        </w:tc>
        <w:tc>
          <w:tcPr>
            <w:tcW w:w="736" w:type="pct"/>
            <w:noWrap/>
            <w:vAlign w:val="center"/>
            <w:hideMark/>
          </w:tcPr>
          <w:p w:rsidR="00864FBA" w:rsidRPr="00864FBA" w:rsidRDefault="00864FBA" w:rsidP="00864FBA">
            <w:pPr>
              <w:spacing w:after="0" w:line="240" w:lineRule="auto"/>
              <w:jc w:val="center"/>
              <w:rPr>
                <w:rFonts w:ascii="Garamond" w:eastAsia="Times New Roman" w:hAnsi="Garamond"/>
                <w:color w:val="000000" w:themeColor="text1"/>
                <w:sz w:val="24"/>
                <w:szCs w:val="24"/>
                <w:lang w:val="sq-AL" w:eastAsia="it-IT"/>
              </w:rPr>
            </w:pPr>
            <w:r w:rsidRPr="00864FBA">
              <w:rPr>
                <w:rFonts w:ascii="Garamond" w:hAnsi="Garamond"/>
                <w:color w:val="000000" w:themeColor="text1"/>
                <w:sz w:val="24"/>
                <w:szCs w:val="24"/>
                <w:shd w:val="clear" w:color="auto" w:fill="FFFFFF"/>
                <w:lang w:val="sq-AL"/>
              </w:rPr>
              <w:t xml:space="preserve">≤ </w:t>
            </w:r>
            <w:r w:rsidRPr="00864FBA">
              <w:rPr>
                <w:rFonts w:ascii="Garamond" w:eastAsia="Times New Roman" w:hAnsi="Garamond"/>
                <w:color w:val="000000" w:themeColor="text1"/>
                <w:sz w:val="24"/>
                <w:szCs w:val="24"/>
                <w:lang w:val="sq-AL" w:eastAsia="it-IT"/>
              </w:rPr>
              <w:t xml:space="preserve">2 000 000 </w:t>
            </w:r>
          </w:p>
        </w:tc>
        <w:tc>
          <w:tcPr>
            <w:tcW w:w="736" w:type="pct"/>
            <w:noWrap/>
            <w:vAlign w:val="center"/>
            <w:hideMark/>
          </w:tcPr>
          <w:p w:rsidR="00864FBA" w:rsidRPr="00864FBA" w:rsidRDefault="00864FBA" w:rsidP="00864FBA">
            <w:pPr>
              <w:spacing w:after="0" w:line="240" w:lineRule="auto"/>
              <w:jc w:val="center"/>
              <w:rPr>
                <w:rFonts w:ascii="Garamond" w:eastAsia="Times New Roman" w:hAnsi="Garamond"/>
                <w:color w:val="000000" w:themeColor="text1"/>
                <w:sz w:val="24"/>
                <w:szCs w:val="24"/>
                <w:lang w:val="sq-AL" w:eastAsia="it-IT"/>
              </w:rPr>
            </w:pPr>
            <w:r w:rsidRPr="00864FBA">
              <w:rPr>
                <w:rFonts w:ascii="Garamond" w:hAnsi="Garamond"/>
                <w:color w:val="000000" w:themeColor="text1"/>
                <w:sz w:val="24"/>
                <w:szCs w:val="24"/>
                <w:shd w:val="clear" w:color="auto" w:fill="FFFFFF"/>
                <w:lang w:val="sq-AL"/>
              </w:rPr>
              <w:t xml:space="preserve">≤ </w:t>
            </w:r>
            <w:r w:rsidRPr="00864FBA">
              <w:rPr>
                <w:rFonts w:ascii="Garamond" w:eastAsia="Times New Roman" w:hAnsi="Garamond"/>
                <w:color w:val="000000" w:themeColor="text1"/>
                <w:sz w:val="24"/>
                <w:szCs w:val="24"/>
                <w:lang w:val="sq-AL" w:eastAsia="it-IT"/>
              </w:rPr>
              <w:t xml:space="preserve">2 500 000 </w:t>
            </w:r>
          </w:p>
        </w:tc>
      </w:tr>
      <w:tr w:rsidR="00864FBA" w:rsidRPr="00864FBA" w:rsidTr="00D47E99">
        <w:trPr>
          <w:trHeight w:val="345"/>
          <w:jc w:val="center"/>
        </w:trPr>
        <w:tc>
          <w:tcPr>
            <w:tcW w:w="2057" w:type="pct"/>
            <w:noWrap/>
            <w:vAlign w:val="center"/>
            <w:hideMark/>
          </w:tcPr>
          <w:p w:rsidR="00864FBA" w:rsidRPr="00864FBA" w:rsidRDefault="00864FBA" w:rsidP="00864FBA">
            <w:pPr>
              <w:spacing w:after="0" w:line="240" w:lineRule="auto"/>
              <w:jc w:val="left"/>
              <w:rPr>
                <w:rFonts w:ascii="Garamond" w:eastAsia="Times New Roman" w:hAnsi="Garamond"/>
                <w:color w:val="000000" w:themeColor="text1"/>
                <w:sz w:val="24"/>
                <w:szCs w:val="24"/>
                <w:lang w:val="sq-AL" w:eastAsia="it-IT"/>
              </w:rPr>
            </w:pPr>
            <w:r w:rsidRPr="00864FBA">
              <w:rPr>
                <w:rFonts w:ascii="Garamond" w:eastAsia="Times New Roman" w:hAnsi="Garamond"/>
                <w:color w:val="000000" w:themeColor="text1"/>
                <w:sz w:val="24"/>
                <w:szCs w:val="24"/>
                <w:lang w:val="sq-AL" w:eastAsia="it-IT"/>
              </w:rPr>
              <w:t>Të ardhurat</w:t>
            </w:r>
            <w:r w:rsidRPr="00864FBA">
              <w:rPr>
                <w:rFonts w:ascii="Garamond" w:eastAsia="Arial Unicode MS" w:hAnsi="Garamond"/>
                <w:color w:val="000000" w:themeColor="text1"/>
                <w:sz w:val="24"/>
                <w:szCs w:val="24"/>
                <w:lang w:val="sq-AL"/>
              </w:rPr>
              <w:t xml:space="preserve"> e</w:t>
            </w:r>
            <w:r w:rsidRPr="00864FBA">
              <w:rPr>
                <w:rFonts w:ascii="Garamond" w:eastAsia="Times New Roman" w:hAnsi="Garamond"/>
                <w:color w:val="000000" w:themeColor="text1"/>
                <w:sz w:val="24"/>
                <w:szCs w:val="24"/>
                <w:lang w:val="sq-AL" w:eastAsia="it-IT"/>
              </w:rPr>
              <w:t xml:space="preserve"> shfrytëzimit </w:t>
            </w:r>
          </w:p>
        </w:tc>
        <w:tc>
          <w:tcPr>
            <w:tcW w:w="735" w:type="pct"/>
            <w:noWrap/>
            <w:vAlign w:val="center"/>
            <w:hideMark/>
          </w:tcPr>
          <w:p w:rsidR="00864FBA" w:rsidRPr="00864FBA" w:rsidRDefault="00864FBA" w:rsidP="00864FBA">
            <w:pPr>
              <w:spacing w:after="0" w:line="240" w:lineRule="auto"/>
              <w:jc w:val="center"/>
              <w:rPr>
                <w:rFonts w:ascii="Garamond" w:eastAsia="Times New Roman" w:hAnsi="Garamond"/>
                <w:color w:val="000000" w:themeColor="text1"/>
                <w:sz w:val="24"/>
                <w:szCs w:val="24"/>
                <w:lang w:val="sq-AL" w:eastAsia="it-IT"/>
              </w:rPr>
            </w:pPr>
            <w:r w:rsidRPr="00864FBA">
              <w:rPr>
                <w:rFonts w:ascii="Garamond" w:hAnsi="Garamond"/>
                <w:color w:val="000000" w:themeColor="text1"/>
                <w:sz w:val="24"/>
                <w:szCs w:val="24"/>
                <w:shd w:val="clear" w:color="auto" w:fill="FFFFFF"/>
                <w:lang w:val="sq-AL"/>
              </w:rPr>
              <w:t xml:space="preserve">≤ </w:t>
            </w:r>
            <w:r w:rsidRPr="00864FBA">
              <w:rPr>
                <w:rFonts w:ascii="Garamond" w:eastAsia="Times New Roman" w:hAnsi="Garamond"/>
                <w:color w:val="000000" w:themeColor="text1"/>
                <w:sz w:val="24"/>
                <w:szCs w:val="24"/>
                <w:lang w:val="sq-AL" w:eastAsia="it-IT"/>
              </w:rPr>
              <w:t>1</w:t>
            </w:r>
            <w:r w:rsidRPr="00864FBA">
              <w:rPr>
                <w:rFonts w:ascii="Garamond" w:hAnsi="Garamond"/>
                <w:color w:val="000000" w:themeColor="text1"/>
                <w:sz w:val="24"/>
                <w:szCs w:val="24"/>
                <w:lang w:val="sq-AL" w:eastAsia="it-IT"/>
              </w:rPr>
              <w:t xml:space="preserve"> </w:t>
            </w:r>
            <w:r w:rsidRPr="00864FBA">
              <w:rPr>
                <w:rFonts w:ascii="Garamond" w:eastAsia="Times New Roman" w:hAnsi="Garamond"/>
                <w:color w:val="000000" w:themeColor="text1"/>
                <w:sz w:val="24"/>
                <w:szCs w:val="24"/>
                <w:lang w:val="sq-AL" w:eastAsia="it-IT"/>
              </w:rPr>
              <w:t>500</w:t>
            </w:r>
            <w:r w:rsidRPr="00864FBA">
              <w:rPr>
                <w:rFonts w:ascii="Garamond" w:hAnsi="Garamond"/>
                <w:color w:val="000000" w:themeColor="text1"/>
                <w:sz w:val="24"/>
                <w:szCs w:val="24"/>
                <w:lang w:val="sq-AL" w:eastAsia="it-IT"/>
              </w:rPr>
              <w:t xml:space="preserve"> </w:t>
            </w:r>
            <w:r w:rsidRPr="00864FBA">
              <w:rPr>
                <w:rFonts w:ascii="Garamond" w:eastAsia="Times New Roman" w:hAnsi="Garamond"/>
                <w:color w:val="000000" w:themeColor="text1"/>
                <w:sz w:val="24"/>
                <w:szCs w:val="24"/>
                <w:lang w:val="sq-AL" w:eastAsia="it-IT"/>
              </w:rPr>
              <w:t>000</w:t>
            </w:r>
            <w:r w:rsidRPr="00864FBA">
              <w:rPr>
                <w:rFonts w:ascii="Garamond" w:hAnsi="Garamond"/>
                <w:color w:val="000000" w:themeColor="text1"/>
                <w:sz w:val="24"/>
                <w:szCs w:val="24"/>
                <w:lang w:val="sq-AL" w:eastAsia="it-IT"/>
              </w:rPr>
              <w:t xml:space="preserve"> </w:t>
            </w:r>
          </w:p>
        </w:tc>
        <w:tc>
          <w:tcPr>
            <w:tcW w:w="735" w:type="pct"/>
            <w:noWrap/>
            <w:vAlign w:val="center"/>
            <w:hideMark/>
          </w:tcPr>
          <w:p w:rsidR="00864FBA" w:rsidRPr="00864FBA" w:rsidRDefault="00864FBA" w:rsidP="00864FBA">
            <w:pPr>
              <w:spacing w:after="0" w:line="240" w:lineRule="auto"/>
              <w:jc w:val="center"/>
              <w:rPr>
                <w:rFonts w:ascii="Garamond" w:eastAsia="Times New Roman" w:hAnsi="Garamond"/>
                <w:color w:val="000000" w:themeColor="text1"/>
                <w:sz w:val="24"/>
                <w:szCs w:val="24"/>
                <w:lang w:val="sq-AL" w:eastAsia="it-IT"/>
              </w:rPr>
            </w:pPr>
            <w:r w:rsidRPr="00864FBA">
              <w:rPr>
                <w:rFonts w:ascii="Garamond" w:hAnsi="Garamond"/>
                <w:color w:val="000000" w:themeColor="text1"/>
                <w:sz w:val="24"/>
                <w:szCs w:val="24"/>
                <w:shd w:val="clear" w:color="auto" w:fill="FFFFFF"/>
                <w:lang w:val="sq-AL"/>
              </w:rPr>
              <w:t xml:space="preserve">≤ </w:t>
            </w:r>
            <w:r w:rsidRPr="00864FBA">
              <w:rPr>
                <w:rFonts w:ascii="Garamond" w:eastAsia="Times New Roman" w:hAnsi="Garamond"/>
                <w:color w:val="000000" w:themeColor="text1"/>
                <w:sz w:val="24"/>
                <w:szCs w:val="24"/>
                <w:lang w:val="sq-AL" w:eastAsia="it-IT"/>
              </w:rPr>
              <w:t xml:space="preserve">2 500 000 </w:t>
            </w:r>
          </w:p>
        </w:tc>
        <w:tc>
          <w:tcPr>
            <w:tcW w:w="736" w:type="pct"/>
            <w:noWrap/>
            <w:vAlign w:val="center"/>
            <w:hideMark/>
          </w:tcPr>
          <w:p w:rsidR="00864FBA" w:rsidRPr="00864FBA" w:rsidRDefault="00864FBA" w:rsidP="00864FBA">
            <w:pPr>
              <w:spacing w:after="0" w:line="240" w:lineRule="auto"/>
              <w:jc w:val="center"/>
              <w:rPr>
                <w:rFonts w:ascii="Garamond" w:eastAsia="Times New Roman" w:hAnsi="Garamond"/>
                <w:color w:val="000000" w:themeColor="text1"/>
                <w:sz w:val="24"/>
                <w:szCs w:val="24"/>
                <w:lang w:val="sq-AL" w:eastAsia="it-IT"/>
              </w:rPr>
            </w:pPr>
            <w:r w:rsidRPr="00864FBA">
              <w:rPr>
                <w:rFonts w:ascii="Garamond" w:hAnsi="Garamond"/>
                <w:color w:val="000000" w:themeColor="text1"/>
                <w:sz w:val="24"/>
                <w:szCs w:val="24"/>
                <w:shd w:val="clear" w:color="auto" w:fill="FFFFFF"/>
                <w:lang w:val="sq-AL"/>
              </w:rPr>
              <w:t xml:space="preserve">≤ </w:t>
            </w:r>
            <w:r w:rsidRPr="00864FBA">
              <w:rPr>
                <w:rFonts w:ascii="Garamond" w:eastAsia="Times New Roman" w:hAnsi="Garamond"/>
                <w:color w:val="000000" w:themeColor="text1"/>
                <w:sz w:val="24"/>
                <w:szCs w:val="24"/>
                <w:lang w:val="sq-AL" w:eastAsia="it-IT"/>
              </w:rPr>
              <w:t xml:space="preserve">4 000 000 </w:t>
            </w:r>
          </w:p>
        </w:tc>
        <w:tc>
          <w:tcPr>
            <w:tcW w:w="736" w:type="pct"/>
            <w:noWrap/>
            <w:vAlign w:val="center"/>
            <w:hideMark/>
          </w:tcPr>
          <w:p w:rsidR="00864FBA" w:rsidRPr="00864FBA" w:rsidRDefault="00864FBA" w:rsidP="00864FBA">
            <w:pPr>
              <w:spacing w:after="0" w:line="240" w:lineRule="auto"/>
              <w:jc w:val="center"/>
              <w:rPr>
                <w:rFonts w:ascii="Garamond" w:eastAsia="Times New Roman" w:hAnsi="Garamond"/>
                <w:color w:val="000000" w:themeColor="text1"/>
                <w:sz w:val="24"/>
                <w:szCs w:val="24"/>
                <w:lang w:val="sq-AL" w:eastAsia="it-IT"/>
              </w:rPr>
            </w:pPr>
            <w:r w:rsidRPr="00864FBA">
              <w:rPr>
                <w:rFonts w:ascii="Garamond" w:hAnsi="Garamond"/>
                <w:color w:val="000000" w:themeColor="text1"/>
                <w:sz w:val="24"/>
                <w:szCs w:val="24"/>
                <w:shd w:val="clear" w:color="auto" w:fill="FFFFFF"/>
                <w:lang w:val="sq-AL"/>
              </w:rPr>
              <w:t xml:space="preserve">≤ </w:t>
            </w:r>
            <w:r w:rsidRPr="00864FBA">
              <w:rPr>
                <w:rFonts w:ascii="Garamond" w:eastAsia="Times New Roman" w:hAnsi="Garamond"/>
                <w:color w:val="000000" w:themeColor="text1"/>
                <w:sz w:val="24"/>
                <w:szCs w:val="24"/>
                <w:lang w:val="sq-AL" w:eastAsia="it-IT"/>
              </w:rPr>
              <w:t xml:space="preserve">5 000 000 </w:t>
            </w:r>
          </w:p>
        </w:tc>
      </w:tr>
      <w:tr w:rsidR="00864FBA" w:rsidRPr="00864FBA" w:rsidTr="00D47E99">
        <w:trPr>
          <w:trHeight w:val="345"/>
          <w:jc w:val="center"/>
        </w:trPr>
        <w:tc>
          <w:tcPr>
            <w:tcW w:w="2057" w:type="pct"/>
            <w:noWrap/>
            <w:vAlign w:val="center"/>
            <w:hideMark/>
          </w:tcPr>
          <w:p w:rsidR="00864FBA" w:rsidRPr="00864FBA" w:rsidRDefault="00864FBA" w:rsidP="00864FBA">
            <w:pPr>
              <w:spacing w:after="0" w:line="240" w:lineRule="auto"/>
              <w:jc w:val="left"/>
              <w:rPr>
                <w:rFonts w:ascii="Garamond" w:eastAsia="Times New Roman" w:hAnsi="Garamond"/>
                <w:color w:val="000000" w:themeColor="text1"/>
                <w:sz w:val="24"/>
                <w:szCs w:val="24"/>
                <w:lang w:val="sq-AL" w:eastAsia="it-IT"/>
              </w:rPr>
            </w:pPr>
            <w:r w:rsidRPr="00864FBA">
              <w:rPr>
                <w:rFonts w:ascii="Garamond" w:eastAsia="Times New Roman" w:hAnsi="Garamond"/>
                <w:color w:val="000000" w:themeColor="text1"/>
                <w:sz w:val="24"/>
                <w:szCs w:val="24"/>
                <w:lang w:val="sq-AL" w:eastAsia="it-IT"/>
              </w:rPr>
              <w:t>Numri i punonjësve</w:t>
            </w:r>
          </w:p>
        </w:tc>
        <w:tc>
          <w:tcPr>
            <w:tcW w:w="735" w:type="pct"/>
            <w:noWrap/>
            <w:vAlign w:val="center"/>
            <w:hideMark/>
          </w:tcPr>
          <w:p w:rsidR="00864FBA" w:rsidRPr="00864FBA" w:rsidRDefault="00864FBA" w:rsidP="00864FBA">
            <w:pPr>
              <w:spacing w:after="0" w:line="240" w:lineRule="auto"/>
              <w:jc w:val="center"/>
              <w:rPr>
                <w:rFonts w:ascii="Garamond" w:eastAsia="Times New Roman" w:hAnsi="Garamond"/>
                <w:i/>
                <w:color w:val="000000" w:themeColor="text1"/>
                <w:sz w:val="24"/>
                <w:szCs w:val="24"/>
                <w:lang w:val="sq-AL" w:eastAsia="it-IT"/>
              </w:rPr>
            </w:pPr>
            <w:r w:rsidRPr="00864FBA">
              <w:rPr>
                <w:rFonts w:ascii="Garamond" w:hAnsi="Garamond"/>
                <w:color w:val="000000" w:themeColor="text1"/>
                <w:sz w:val="24"/>
                <w:szCs w:val="24"/>
                <w:shd w:val="clear" w:color="auto" w:fill="FFFFFF"/>
                <w:lang w:val="sq-AL"/>
              </w:rPr>
              <w:t xml:space="preserve">≤ </w:t>
            </w:r>
            <w:r w:rsidRPr="00864FBA">
              <w:rPr>
                <w:rFonts w:ascii="Garamond" w:eastAsia="Times New Roman" w:hAnsi="Garamond"/>
                <w:i/>
                <w:color w:val="000000" w:themeColor="text1"/>
                <w:sz w:val="24"/>
                <w:szCs w:val="24"/>
                <w:lang w:val="sq-AL" w:eastAsia="it-IT"/>
              </w:rPr>
              <w:t>250</w:t>
            </w:r>
          </w:p>
        </w:tc>
        <w:tc>
          <w:tcPr>
            <w:tcW w:w="735" w:type="pct"/>
            <w:noWrap/>
            <w:vAlign w:val="center"/>
            <w:hideMark/>
          </w:tcPr>
          <w:p w:rsidR="00864FBA" w:rsidRPr="00864FBA" w:rsidRDefault="00864FBA" w:rsidP="00864FBA">
            <w:pPr>
              <w:spacing w:after="0" w:line="240" w:lineRule="auto"/>
              <w:jc w:val="center"/>
              <w:rPr>
                <w:rFonts w:ascii="Garamond" w:eastAsia="Times New Roman" w:hAnsi="Garamond"/>
                <w:i/>
                <w:color w:val="000000" w:themeColor="text1"/>
                <w:sz w:val="24"/>
                <w:szCs w:val="24"/>
                <w:lang w:val="sq-AL" w:eastAsia="it-IT"/>
              </w:rPr>
            </w:pPr>
            <w:r w:rsidRPr="00864FBA">
              <w:rPr>
                <w:rFonts w:ascii="Garamond" w:hAnsi="Garamond"/>
                <w:color w:val="000000" w:themeColor="text1"/>
                <w:sz w:val="24"/>
                <w:szCs w:val="24"/>
                <w:shd w:val="clear" w:color="auto" w:fill="FFFFFF"/>
                <w:lang w:val="sq-AL"/>
              </w:rPr>
              <w:t xml:space="preserve">≤ </w:t>
            </w:r>
            <w:r w:rsidRPr="00864FBA">
              <w:rPr>
                <w:rFonts w:ascii="Garamond" w:eastAsia="Times New Roman" w:hAnsi="Garamond"/>
                <w:i/>
                <w:color w:val="000000" w:themeColor="text1"/>
                <w:sz w:val="24"/>
                <w:szCs w:val="24"/>
                <w:lang w:val="sq-AL" w:eastAsia="it-IT"/>
              </w:rPr>
              <w:t>250</w:t>
            </w:r>
          </w:p>
        </w:tc>
        <w:tc>
          <w:tcPr>
            <w:tcW w:w="736" w:type="pct"/>
            <w:noWrap/>
            <w:vAlign w:val="center"/>
            <w:hideMark/>
          </w:tcPr>
          <w:p w:rsidR="00864FBA" w:rsidRPr="00864FBA" w:rsidRDefault="00864FBA" w:rsidP="00864FBA">
            <w:pPr>
              <w:spacing w:after="0" w:line="240" w:lineRule="auto"/>
              <w:jc w:val="center"/>
              <w:rPr>
                <w:rFonts w:ascii="Garamond" w:eastAsia="Times New Roman" w:hAnsi="Garamond"/>
                <w:i/>
                <w:color w:val="000000" w:themeColor="text1"/>
                <w:sz w:val="24"/>
                <w:szCs w:val="24"/>
                <w:lang w:val="sq-AL" w:eastAsia="it-IT"/>
              </w:rPr>
            </w:pPr>
            <w:r w:rsidRPr="00864FBA">
              <w:rPr>
                <w:rFonts w:ascii="Garamond" w:hAnsi="Garamond"/>
                <w:color w:val="000000" w:themeColor="text1"/>
                <w:sz w:val="24"/>
                <w:szCs w:val="24"/>
                <w:shd w:val="clear" w:color="auto" w:fill="FFFFFF"/>
                <w:lang w:val="sq-AL"/>
              </w:rPr>
              <w:t xml:space="preserve">≤ </w:t>
            </w:r>
            <w:r w:rsidRPr="00864FBA">
              <w:rPr>
                <w:rFonts w:ascii="Garamond" w:eastAsia="Times New Roman" w:hAnsi="Garamond"/>
                <w:i/>
                <w:color w:val="000000" w:themeColor="text1"/>
                <w:sz w:val="24"/>
                <w:szCs w:val="24"/>
                <w:lang w:val="sq-AL" w:eastAsia="it-IT"/>
              </w:rPr>
              <w:t>250</w:t>
            </w:r>
          </w:p>
        </w:tc>
        <w:tc>
          <w:tcPr>
            <w:tcW w:w="736" w:type="pct"/>
            <w:noWrap/>
            <w:vAlign w:val="center"/>
            <w:hideMark/>
          </w:tcPr>
          <w:p w:rsidR="00864FBA" w:rsidRPr="00864FBA" w:rsidRDefault="00864FBA" w:rsidP="00864FBA">
            <w:pPr>
              <w:spacing w:after="0" w:line="240" w:lineRule="auto"/>
              <w:jc w:val="center"/>
              <w:rPr>
                <w:rFonts w:ascii="Garamond" w:eastAsia="Times New Roman" w:hAnsi="Garamond"/>
                <w:i/>
                <w:color w:val="000000" w:themeColor="text1"/>
                <w:sz w:val="24"/>
                <w:szCs w:val="24"/>
                <w:lang w:val="sq-AL" w:eastAsia="it-IT"/>
              </w:rPr>
            </w:pPr>
            <w:r w:rsidRPr="00864FBA">
              <w:rPr>
                <w:rFonts w:ascii="Garamond" w:hAnsi="Garamond"/>
                <w:color w:val="000000" w:themeColor="text1"/>
                <w:sz w:val="24"/>
                <w:szCs w:val="24"/>
                <w:shd w:val="clear" w:color="auto" w:fill="FFFFFF"/>
                <w:lang w:val="sq-AL"/>
              </w:rPr>
              <w:t xml:space="preserve">≤ </w:t>
            </w:r>
            <w:r w:rsidRPr="00864FBA">
              <w:rPr>
                <w:rFonts w:ascii="Garamond" w:eastAsia="Times New Roman" w:hAnsi="Garamond"/>
                <w:i/>
                <w:color w:val="000000" w:themeColor="text1"/>
                <w:sz w:val="24"/>
                <w:szCs w:val="24"/>
                <w:lang w:val="sq-AL" w:eastAsia="it-IT"/>
              </w:rPr>
              <w:t>250</w:t>
            </w:r>
          </w:p>
        </w:tc>
      </w:tr>
      <w:tr w:rsidR="00864FBA" w:rsidRPr="00864FBA" w:rsidTr="00D47E99">
        <w:trPr>
          <w:trHeight w:val="345"/>
          <w:jc w:val="center"/>
        </w:trPr>
        <w:tc>
          <w:tcPr>
            <w:tcW w:w="2057" w:type="pct"/>
            <w:shd w:val="clear" w:color="E8E0ED" w:fill="E8E0ED"/>
            <w:noWrap/>
            <w:vAlign w:val="center"/>
            <w:hideMark/>
          </w:tcPr>
          <w:p w:rsidR="00864FBA" w:rsidRPr="00864FBA" w:rsidRDefault="00864FBA" w:rsidP="00864FBA">
            <w:pPr>
              <w:spacing w:after="0" w:line="240" w:lineRule="auto"/>
              <w:jc w:val="left"/>
              <w:rPr>
                <w:rFonts w:ascii="Garamond" w:eastAsia="Times New Roman" w:hAnsi="Garamond"/>
                <w:b/>
                <w:bCs/>
                <w:color w:val="000000" w:themeColor="text1"/>
                <w:sz w:val="24"/>
                <w:szCs w:val="24"/>
                <w:lang w:val="sq-AL" w:eastAsia="it-IT"/>
              </w:rPr>
            </w:pPr>
            <w:r w:rsidRPr="00864FBA">
              <w:rPr>
                <w:rFonts w:ascii="Garamond" w:eastAsia="Times New Roman" w:hAnsi="Garamond"/>
                <w:b/>
                <w:bCs/>
                <w:color w:val="000000" w:themeColor="text1"/>
                <w:sz w:val="24"/>
                <w:szCs w:val="24"/>
                <w:lang w:val="sq-AL" w:eastAsia="it-IT"/>
              </w:rPr>
              <w:t xml:space="preserve">Njësi ekonomike të mëdha </w:t>
            </w:r>
          </w:p>
        </w:tc>
        <w:tc>
          <w:tcPr>
            <w:tcW w:w="735" w:type="pct"/>
            <w:shd w:val="clear" w:color="E8E0ED" w:fill="E8E0ED"/>
            <w:noWrap/>
          </w:tcPr>
          <w:p w:rsidR="00864FBA" w:rsidRPr="00864FBA" w:rsidRDefault="00864FBA" w:rsidP="00864FBA">
            <w:pPr>
              <w:spacing w:after="0" w:line="240" w:lineRule="auto"/>
              <w:jc w:val="center"/>
              <w:rPr>
                <w:rFonts w:ascii="Garamond" w:eastAsia="Times New Roman" w:hAnsi="Garamond"/>
                <w:b/>
                <w:bCs/>
                <w:color w:val="000000" w:themeColor="text1"/>
                <w:sz w:val="24"/>
                <w:szCs w:val="24"/>
                <w:lang w:val="sq-AL" w:eastAsia="it-IT"/>
              </w:rPr>
            </w:pPr>
          </w:p>
        </w:tc>
        <w:tc>
          <w:tcPr>
            <w:tcW w:w="735" w:type="pct"/>
            <w:shd w:val="clear" w:color="E8E0ED" w:fill="E8E0ED"/>
            <w:noWrap/>
          </w:tcPr>
          <w:p w:rsidR="00864FBA" w:rsidRPr="00864FBA" w:rsidRDefault="00864FBA" w:rsidP="00864FBA">
            <w:pPr>
              <w:spacing w:after="0" w:line="240" w:lineRule="auto"/>
              <w:jc w:val="center"/>
              <w:rPr>
                <w:rFonts w:ascii="Garamond" w:eastAsia="Times New Roman" w:hAnsi="Garamond"/>
                <w:color w:val="000000" w:themeColor="text1"/>
                <w:sz w:val="24"/>
                <w:szCs w:val="24"/>
                <w:lang w:val="sq-AL" w:eastAsia="it-IT"/>
              </w:rPr>
            </w:pPr>
          </w:p>
        </w:tc>
        <w:tc>
          <w:tcPr>
            <w:tcW w:w="736" w:type="pct"/>
            <w:shd w:val="clear" w:color="E8E0ED" w:fill="E8E0ED"/>
            <w:noWrap/>
          </w:tcPr>
          <w:p w:rsidR="00864FBA" w:rsidRPr="00864FBA" w:rsidRDefault="00864FBA" w:rsidP="00864FBA">
            <w:pPr>
              <w:spacing w:after="0" w:line="240" w:lineRule="auto"/>
              <w:jc w:val="center"/>
              <w:rPr>
                <w:rFonts w:ascii="Garamond" w:eastAsia="Times New Roman" w:hAnsi="Garamond"/>
                <w:color w:val="000000" w:themeColor="text1"/>
                <w:sz w:val="24"/>
                <w:szCs w:val="24"/>
                <w:lang w:val="sq-AL" w:eastAsia="it-IT"/>
              </w:rPr>
            </w:pPr>
          </w:p>
        </w:tc>
        <w:tc>
          <w:tcPr>
            <w:tcW w:w="736" w:type="pct"/>
            <w:shd w:val="clear" w:color="E8E0ED" w:fill="E8E0ED"/>
            <w:noWrap/>
          </w:tcPr>
          <w:p w:rsidR="00864FBA" w:rsidRPr="00864FBA" w:rsidRDefault="00864FBA" w:rsidP="00864FBA">
            <w:pPr>
              <w:spacing w:after="0" w:line="240" w:lineRule="auto"/>
              <w:jc w:val="center"/>
              <w:rPr>
                <w:rFonts w:ascii="Garamond" w:eastAsia="Times New Roman" w:hAnsi="Garamond"/>
                <w:color w:val="000000" w:themeColor="text1"/>
                <w:sz w:val="24"/>
                <w:szCs w:val="24"/>
                <w:lang w:val="sq-AL" w:eastAsia="it-IT"/>
              </w:rPr>
            </w:pPr>
          </w:p>
        </w:tc>
      </w:tr>
      <w:tr w:rsidR="00864FBA" w:rsidRPr="00864FBA" w:rsidTr="00D47E99">
        <w:trPr>
          <w:trHeight w:val="345"/>
          <w:jc w:val="center"/>
        </w:trPr>
        <w:tc>
          <w:tcPr>
            <w:tcW w:w="2057" w:type="pct"/>
            <w:noWrap/>
            <w:vAlign w:val="center"/>
            <w:hideMark/>
          </w:tcPr>
          <w:p w:rsidR="00864FBA" w:rsidRPr="00864FBA" w:rsidRDefault="00864FBA" w:rsidP="00864FBA">
            <w:pPr>
              <w:spacing w:after="0" w:line="240" w:lineRule="auto"/>
              <w:jc w:val="left"/>
              <w:rPr>
                <w:rFonts w:ascii="Garamond" w:eastAsia="Times New Roman" w:hAnsi="Garamond"/>
                <w:color w:val="000000" w:themeColor="text1"/>
                <w:sz w:val="24"/>
                <w:szCs w:val="24"/>
                <w:lang w:val="sq-AL" w:eastAsia="it-IT"/>
              </w:rPr>
            </w:pPr>
            <w:r w:rsidRPr="00864FBA">
              <w:rPr>
                <w:rFonts w:ascii="Garamond" w:eastAsia="Times New Roman" w:hAnsi="Garamond"/>
                <w:color w:val="000000" w:themeColor="text1"/>
                <w:sz w:val="24"/>
                <w:szCs w:val="24"/>
                <w:lang w:val="sq-AL" w:eastAsia="it-IT"/>
              </w:rPr>
              <w:t>Aktivet</w:t>
            </w:r>
          </w:p>
        </w:tc>
        <w:tc>
          <w:tcPr>
            <w:tcW w:w="735" w:type="pct"/>
            <w:noWrap/>
            <w:vAlign w:val="center"/>
            <w:hideMark/>
          </w:tcPr>
          <w:p w:rsidR="00864FBA" w:rsidRPr="00864FBA" w:rsidRDefault="00864FBA" w:rsidP="00864FBA">
            <w:pPr>
              <w:spacing w:after="0" w:line="240" w:lineRule="auto"/>
              <w:jc w:val="center"/>
              <w:rPr>
                <w:rFonts w:ascii="Garamond" w:eastAsia="Times New Roman" w:hAnsi="Garamond"/>
                <w:color w:val="000000" w:themeColor="text1"/>
                <w:sz w:val="24"/>
                <w:szCs w:val="24"/>
                <w:lang w:val="sq-AL" w:eastAsia="it-IT"/>
              </w:rPr>
            </w:pPr>
            <w:r w:rsidRPr="00864FBA">
              <w:rPr>
                <w:rFonts w:ascii="Garamond" w:hAnsi="Garamond"/>
                <w:color w:val="000000" w:themeColor="text1"/>
                <w:sz w:val="24"/>
                <w:szCs w:val="24"/>
                <w:shd w:val="clear" w:color="auto" w:fill="FFFFFF"/>
                <w:lang w:val="sq-AL"/>
              </w:rPr>
              <w:t xml:space="preserve">≥ </w:t>
            </w:r>
            <w:r w:rsidRPr="00864FBA">
              <w:rPr>
                <w:rFonts w:ascii="Garamond" w:eastAsia="Times New Roman" w:hAnsi="Garamond"/>
                <w:color w:val="000000" w:themeColor="text1"/>
                <w:sz w:val="24"/>
                <w:szCs w:val="24"/>
                <w:lang w:val="sq-AL" w:eastAsia="it-IT"/>
              </w:rPr>
              <w:t xml:space="preserve">750 000 </w:t>
            </w:r>
          </w:p>
        </w:tc>
        <w:tc>
          <w:tcPr>
            <w:tcW w:w="735" w:type="pct"/>
            <w:noWrap/>
            <w:vAlign w:val="center"/>
            <w:hideMark/>
          </w:tcPr>
          <w:p w:rsidR="00864FBA" w:rsidRPr="00864FBA" w:rsidRDefault="00864FBA" w:rsidP="00864FBA">
            <w:pPr>
              <w:spacing w:after="0" w:line="240" w:lineRule="auto"/>
              <w:jc w:val="center"/>
              <w:rPr>
                <w:rFonts w:ascii="Garamond" w:eastAsia="Times New Roman" w:hAnsi="Garamond"/>
                <w:color w:val="000000" w:themeColor="text1"/>
                <w:sz w:val="24"/>
                <w:szCs w:val="24"/>
                <w:lang w:val="sq-AL" w:eastAsia="it-IT"/>
              </w:rPr>
            </w:pPr>
            <w:r w:rsidRPr="00864FBA">
              <w:rPr>
                <w:rFonts w:ascii="Garamond" w:hAnsi="Garamond"/>
                <w:color w:val="000000" w:themeColor="text1"/>
                <w:sz w:val="24"/>
                <w:szCs w:val="24"/>
                <w:shd w:val="clear" w:color="auto" w:fill="FFFFFF"/>
                <w:lang w:val="sq-AL"/>
              </w:rPr>
              <w:t xml:space="preserve">≥ </w:t>
            </w:r>
            <w:r w:rsidRPr="00864FBA">
              <w:rPr>
                <w:rFonts w:ascii="Garamond" w:eastAsia="Times New Roman" w:hAnsi="Garamond"/>
                <w:color w:val="000000" w:themeColor="text1"/>
                <w:sz w:val="24"/>
                <w:szCs w:val="24"/>
                <w:lang w:val="sq-AL" w:eastAsia="it-IT"/>
              </w:rPr>
              <w:t xml:space="preserve">1 250 000 </w:t>
            </w:r>
          </w:p>
        </w:tc>
        <w:tc>
          <w:tcPr>
            <w:tcW w:w="736" w:type="pct"/>
            <w:noWrap/>
            <w:vAlign w:val="center"/>
            <w:hideMark/>
          </w:tcPr>
          <w:p w:rsidR="00864FBA" w:rsidRPr="00864FBA" w:rsidRDefault="00864FBA" w:rsidP="00864FBA">
            <w:pPr>
              <w:spacing w:after="0" w:line="240" w:lineRule="auto"/>
              <w:jc w:val="center"/>
              <w:rPr>
                <w:rFonts w:ascii="Garamond" w:eastAsia="Times New Roman" w:hAnsi="Garamond"/>
                <w:color w:val="000000" w:themeColor="text1"/>
                <w:sz w:val="24"/>
                <w:szCs w:val="24"/>
                <w:lang w:val="sq-AL" w:eastAsia="it-IT"/>
              </w:rPr>
            </w:pPr>
            <w:r w:rsidRPr="00864FBA">
              <w:rPr>
                <w:rFonts w:ascii="Garamond" w:hAnsi="Garamond"/>
                <w:color w:val="000000" w:themeColor="text1"/>
                <w:sz w:val="24"/>
                <w:szCs w:val="24"/>
                <w:shd w:val="clear" w:color="auto" w:fill="FFFFFF"/>
                <w:lang w:val="sq-AL"/>
              </w:rPr>
              <w:t xml:space="preserve">≥ </w:t>
            </w:r>
            <w:r w:rsidRPr="00864FBA">
              <w:rPr>
                <w:rFonts w:ascii="Garamond" w:eastAsia="Times New Roman" w:hAnsi="Garamond"/>
                <w:color w:val="000000" w:themeColor="text1"/>
                <w:sz w:val="24"/>
                <w:szCs w:val="24"/>
                <w:lang w:val="sq-AL" w:eastAsia="it-IT"/>
              </w:rPr>
              <w:t xml:space="preserve">2 000 000 </w:t>
            </w:r>
          </w:p>
        </w:tc>
        <w:tc>
          <w:tcPr>
            <w:tcW w:w="736" w:type="pct"/>
            <w:noWrap/>
            <w:vAlign w:val="center"/>
            <w:hideMark/>
          </w:tcPr>
          <w:p w:rsidR="00864FBA" w:rsidRPr="00864FBA" w:rsidRDefault="00864FBA" w:rsidP="00864FBA">
            <w:pPr>
              <w:spacing w:after="0" w:line="240" w:lineRule="auto"/>
              <w:jc w:val="center"/>
              <w:rPr>
                <w:rFonts w:ascii="Garamond" w:eastAsia="Times New Roman" w:hAnsi="Garamond"/>
                <w:color w:val="000000" w:themeColor="text1"/>
                <w:sz w:val="24"/>
                <w:szCs w:val="24"/>
                <w:lang w:val="sq-AL" w:eastAsia="it-IT"/>
              </w:rPr>
            </w:pPr>
            <w:r w:rsidRPr="00864FBA">
              <w:rPr>
                <w:rFonts w:ascii="Garamond" w:hAnsi="Garamond"/>
                <w:color w:val="000000" w:themeColor="text1"/>
                <w:sz w:val="24"/>
                <w:szCs w:val="24"/>
                <w:shd w:val="clear" w:color="auto" w:fill="FFFFFF"/>
                <w:lang w:val="sq-AL"/>
              </w:rPr>
              <w:t xml:space="preserve">≥ </w:t>
            </w:r>
            <w:r w:rsidRPr="00864FBA">
              <w:rPr>
                <w:rFonts w:ascii="Garamond" w:eastAsia="Times New Roman" w:hAnsi="Garamond"/>
                <w:color w:val="000000" w:themeColor="text1"/>
                <w:sz w:val="24"/>
                <w:szCs w:val="24"/>
                <w:lang w:val="sq-AL" w:eastAsia="it-IT"/>
              </w:rPr>
              <w:t xml:space="preserve">2 500 000 </w:t>
            </w:r>
          </w:p>
        </w:tc>
      </w:tr>
      <w:tr w:rsidR="00864FBA" w:rsidRPr="00864FBA" w:rsidTr="00D47E99">
        <w:trPr>
          <w:trHeight w:val="345"/>
          <w:jc w:val="center"/>
        </w:trPr>
        <w:tc>
          <w:tcPr>
            <w:tcW w:w="2057" w:type="pct"/>
            <w:noWrap/>
            <w:vAlign w:val="center"/>
            <w:hideMark/>
          </w:tcPr>
          <w:p w:rsidR="00864FBA" w:rsidRPr="00864FBA" w:rsidRDefault="00864FBA" w:rsidP="00864FBA">
            <w:pPr>
              <w:spacing w:after="0" w:line="240" w:lineRule="auto"/>
              <w:jc w:val="left"/>
              <w:rPr>
                <w:rFonts w:ascii="Garamond" w:eastAsia="Times New Roman" w:hAnsi="Garamond"/>
                <w:color w:val="000000" w:themeColor="text1"/>
                <w:sz w:val="24"/>
                <w:szCs w:val="24"/>
                <w:lang w:val="sq-AL" w:eastAsia="it-IT"/>
              </w:rPr>
            </w:pPr>
            <w:r w:rsidRPr="00864FBA">
              <w:rPr>
                <w:rFonts w:ascii="Garamond" w:eastAsia="Times New Roman" w:hAnsi="Garamond"/>
                <w:color w:val="000000" w:themeColor="text1"/>
                <w:sz w:val="24"/>
                <w:szCs w:val="24"/>
                <w:lang w:val="sq-AL" w:eastAsia="it-IT"/>
              </w:rPr>
              <w:t xml:space="preserve">Të ardhurat e shfrytëzimit </w:t>
            </w:r>
          </w:p>
        </w:tc>
        <w:tc>
          <w:tcPr>
            <w:tcW w:w="735" w:type="pct"/>
            <w:noWrap/>
            <w:vAlign w:val="center"/>
            <w:hideMark/>
          </w:tcPr>
          <w:p w:rsidR="00864FBA" w:rsidRPr="00864FBA" w:rsidRDefault="00864FBA" w:rsidP="00864FBA">
            <w:pPr>
              <w:spacing w:after="0" w:line="240" w:lineRule="auto"/>
              <w:jc w:val="center"/>
              <w:rPr>
                <w:rFonts w:ascii="Garamond" w:eastAsia="Times New Roman" w:hAnsi="Garamond"/>
                <w:color w:val="000000" w:themeColor="text1"/>
                <w:sz w:val="24"/>
                <w:szCs w:val="24"/>
                <w:lang w:val="sq-AL" w:eastAsia="it-IT"/>
              </w:rPr>
            </w:pPr>
            <w:r w:rsidRPr="00864FBA">
              <w:rPr>
                <w:rFonts w:ascii="Garamond" w:hAnsi="Garamond"/>
                <w:color w:val="000000" w:themeColor="text1"/>
                <w:sz w:val="24"/>
                <w:szCs w:val="24"/>
                <w:shd w:val="clear" w:color="auto" w:fill="FFFFFF"/>
                <w:lang w:val="sq-AL"/>
              </w:rPr>
              <w:t xml:space="preserve">≥ </w:t>
            </w:r>
            <w:r w:rsidRPr="00864FBA">
              <w:rPr>
                <w:rFonts w:ascii="Garamond" w:eastAsia="Times New Roman" w:hAnsi="Garamond"/>
                <w:color w:val="000000" w:themeColor="text1"/>
                <w:sz w:val="24"/>
                <w:szCs w:val="24"/>
                <w:lang w:val="sq-AL" w:eastAsia="it-IT"/>
              </w:rPr>
              <w:t>1</w:t>
            </w:r>
            <w:r w:rsidRPr="00864FBA">
              <w:rPr>
                <w:rFonts w:ascii="Garamond" w:hAnsi="Garamond"/>
                <w:color w:val="000000" w:themeColor="text1"/>
                <w:sz w:val="24"/>
                <w:szCs w:val="24"/>
                <w:lang w:val="sq-AL" w:eastAsia="it-IT"/>
              </w:rPr>
              <w:t xml:space="preserve"> </w:t>
            </w:r>
            <w:r w:rsidRPr="00864FBA">
              <w:rPr>
                <w:rFonts w:ascii="Garamond" w:eastAsia="Times New Roman" w:hAnsi="Garamond"/>
                <w:color w:val="000000" w:themeColor="text1"/>
                <w:sz w:val="24"/>
                <w:szCs w:val="24"/>
                <w:lang w:val="sq-AL" w:eastAsia="it-IT"/>
              </w:rPr>
              <w:t>500</w:t>
            </w:r>
            <w:r w:rsidRPr="00864FBA">
              <w:rPr>
                <w:rFonts w:ascii="Garamond" w:hAnsi="Garamond"/>
                <w:color w:val="000000" w:themeColor="text1"/>
                <w:sz w:val="24"/>
                <w:szCs w:val="24"/>
                <w:lang w:val="sq-AL" w:eastAsia="it-IT"/>
              </w:rPr>
              <w:t xml:space="preserve"> </w:t>
            </w:r>
            <w:r w:rsidRPr="00864FBA">
              <w:rPr>
                <w:rFonts w:ascii="Garamond" w:eastAsia="Times New Roman" w:hAnsi="Garamond"/>
                <w:color w:val="000000" w:themeColor="text1"/>
                <w:sz w:val="24"/>
                <w:szCs w:val="24"/>
                <w:lang w:val="sq-AL" w:eastAsia="it-IT"/>
              </w:rPr>
              <w:t>000</w:t>
            </w:r>
            <w:r w:rsidRPr="00864FBA">
              <w:rPr>
                <w:rFonts w:ascii="Garamond" w:hAnsi="Garamond"/>
                <w:color w:val="000000" w:themeColor="text1"/>
                <w:sz w:val="24"/>
                <w:szCs w:val="24"/>
                <w:lang w:val="sq-AL" w:eastAsia="it-IT"/>
              </w:rPr>
              <w:t xml:space="preserve"> </w:t>
            </w:r>
          </w:p>
        </w:tc>
        <w:tc>
          <w:tcPr>
            <w:tcW w:w="735" w:type="pct"/>
            <w:noWrap/>
            <w:vAlign w:val="center"/>
            <w:hideMark/>
          </w:tcPr>
          <w:p w:rsidR="00864FBA" w:rsidRPr="00864FBA" w:rsidRDefault="00864FBA" w:rsidP="00864FBA">
            <w:pPr>
              <w:spacing w:after="0" w:line="240" w:lineRule="auto"/>
              <w:jc w:val="center"/>
              <w:rPr>
                <w:rFonts w:ascii="Garamond" w:eastAsia="Times New Roman" w:hAnsi="Garamond"/>
                <w:color w:val="000000" w:themeColor="text1"/>
                <w:sz w:val="24"/>
                <w:szCs w:val="24"/>
                <w:lang w:val="sq-AL" w:eastAsia="it-IT"/>
              </w:rPr>
            </w:pPr>
            <w:r w:rsidRPr="00864FBA">
              <w:rPr>
                <w:rFonts w:ascii="Garamond" w:hAnsi="Garamond"/>
                <w:color w:val="000000" w:themeColor="text1"/>
                <w:sz w:val="24"/>
                <w:szCs w:val="24"/>
                <w:shd w:val="clear" w:color="auto" w:fill="FFFFFF"/>
                <w:lang w:val="sq-AL"/>
              </w:rPr>
              <w:t xml:space="preserve">≥ </w:t>
            </w:r>
            <w:r w:rsidRPr="00864FBA">
              <w:rPr>
                <w:rFonts w:ascii="Garamond" w:eastAsia="Times New Roman" w:hAnsi="Garamond"/>
                <w:color w:val="000000" w:themeColor="text1"/>
                <w:sz w:val="24"/>
                <w:szCs w:val="24"/>
                <w:lang w:val="sq-AL" w:eastAsia="it-IT"/>
              </w:rPr>
              <w:t xml:space="preserve">2 500 000 </w:t>
            </w:r>
          </w:p>
        </w:tc>
        <w:tc>
          <w:tcPr>
            <w:tcW w:w="736" w:type="pct"/>
            <w:noWrap/>
            <w:vAlign w:val="center"/>
            <w:hideMark/>
          </w:tcPr>
          <w:p w:rsidR="00864FBA" w:rsidRPr="00864FBA" w:rsidRDefault="00864FBA" w:rsidP="00864FBA">
            <w:pPr>
              <w:spacing w:after="0" w:line="240" w:lineRule="auto"/>
              <w:jc w:val="center"/>
              <w:rPr>
                <w:rFonts w:ascii="Garamond" w:eastAsia="Times New Roman" w:hAnsi="Garamond"/>
                <w:color w:val="000000" w:themeColor="text1"/>
                <w:sz w:val="24"/>
                <w:szCs w:val="24"/>
                <w:lang w:val="sq-AL" w:eastAsia="it-IT"/>
              </w:rPr>
            </w:pPr>
            <w:r w:rsidRPr="00864FBA">
              <w:rPr>
                <w:rFonts w:ascii="Garamond" w:hAnsi="Garamond"/>
                <w:color w:val="000000" w:themeColor="text1"/>
                <w:sz w:val="24"/>
                <w:szCs w:val="24"/>
                <w:shd w:val="clear" w:color="auto" w:fill="FFFFFF"/>
                <w:lang w:val="sq-AL"/>
              </w:rPr>
              <w:t xml:space="preserve">≥ </w:t>
            </w:r>
            <w:r w:rsidRPr="00864FBA">
              <w:rPr>
                <w:rFonts w:ascii="Garamond" w:eastAsia="Times New Roman" w:hAnsi="Garamond"/>
                <w:color w:val="000000" w:themeColor="text1"/>
                <w:sz w:val="24"/>
                <w:szCs w:val="24"/>
                <w:lang w:val="sq-AL" w:eastAsia="it-IT"/>
              </w:rPr>
              <w:t xml:space="preserve">4 000 000 </w:t>
            </w:r>
          </w:p>
        </w:tc>
        <w:tc>
          <w:tcPr>
            <w:tcW w:w="736" w:type="pct"/>
            <w:noWrap/>
            <w:vAlign w:val="center"/>
            <w:hideMark/>
          </w:tcPr>
          <w:p w:rsidR="00864FBA" w:rsidRPr="00864FBA" w:rsidRDefault="00864FBA" w:rsidP="00864FBA">
            <w:pPr>
              <w:spacing w:after="0" w:line="240" w:lineRule="auto"/>
              <w:jc w:val="center"/>
              <w:rPr>
                <w:rFonts w:ascii="Garamond" w:eastAsia="Times New Roman" w:hAnsi="Garamond"/>
                <w:color w:val="000000" w:themeColor="text1"/>
                <w:sz w:val="24"/>
                <w:szCs w:val="24"/>
                <w:lang w:val="sq-AL" w:eastAsia="it-IT"/>
              </w:rPr>
            </w:pPr>
            <w:r w:rsidRPr="00864FBA">
              <w:rPr>
                <w:rFonts w:ascii="Garamond" w:hAnsi="Garamond"/>
                <w:color w:val="000000" w:themeColor="text1"/>
                <w:sz w:val="24"/>
                <w:szCs w:val="24"/>
                <w:shd w:val="clear" w:color="auto" w:fill="FFFFFF"/>
                <w:lang w:val="sq-AL"/>
              </w:rPr>
              <w:t xml:space="preserve">≥ </w:t>
            </w:r>
            <w:r w:rsidRPr="00864FBA">
              <w:rPr>
                <w:rFonts w:ascii="Garamond" w:eastAsia="Times New Roman" w:hAnsi="Garamond"/>
                <w:color w:val="000000" w:themeColor="text1"/>
                <w:sz w:val="24"/>
                <w:szCs w:val="24"/>
                <w:lang w:val="sq-AL" w:eastAsia="it-IT"/>
              </w:rPr>
              <w:t xml:space="preserve">5 000 000 </w:t>
            </w:r>
          </w:p>
        </w:tc>
      </w:tr>
      <w:tr w:rsidR="00864FBA" w:rsidRPr="00864FBA" w:rsidTr="00D47E99">
        <w:trPr>
          <w:trHeight w:val="345"/>
          <w:jc w:val="center"/>
        </w:trPr>
        <w:tc>
          <w:tcPr>
            <w:tcW w:w="2057" w:type="pct"/>
            <w:noWrap/>
            <w:vAlign w:val="center"/>
            <w:hideMark/>
          </w:tcPr>
          <w:p w:rsidR="00864FBA" w:rsidRPr="00864FBA" w:rsidRDefault="00864FBA" w:rsidP="00864FBA">
            <w:pPr>
              <w:spacing w:after="0" w:line="240" w:lineRule="auto"/>
              <w:jc w:val="left"/>
              <w:rPr>
                <w:rFonts w:ascii="Garamond" w:eastAsia="Times New Roman" w:hAnsi="Garamond"/>
                <w:color w:val="000000" w:themeColor="text1"/>
                <w:sz w:val="24"/>
                <w:szCs w:val="24"/>
                <w:lang w:val="sq-AL" w:eastAsia="it-IT"/>
              </w:rPr>
            </w:pPr>
            <w:r w:rsidRPr="00864FBA">
              <w:rPr>
                <w:rFonts w:ascii="Garamond" w:eastAsia="Times New Roman" w:hAnsi="Garamond"/>
                <w:color w:val="000000" w:themeColor="text1"/>
                <w:sz w:val="24"/>
                <w:szCs w:val="24"/>
                <w:lang w:val="sq-AL" w:eastAsia="it-IT"/>
              </w:rPr>
              <w:t>Numri i punonjësve</w:t>
            </w:r>
          </w:p>
        </w:tc>
        <w:tc>
          <w:tcPr>
            <w:tcW w:w="735" w:type="pct"/>
            <w:noWrap/>
            <w:vAlign w:val="center"/>
            <w:hideMark/>
          </w:tcPr>
          <w:p w:rsidR="00864FBA" w:rsidRPr="00864FBA" w:rsidRDefault="00864FBA" w:rsidP="00864FBA">
            <w:pPr>
              <w:spacing w:after="0" w:line="240" w:lineRule="auto"/>
              <w:jc w:val="center"/>
              <w:rPr>
                <w:rFonts w:ascii="Garamond" w:eastAsia="Times New Roman" w:hAnsi="Garamond"/>
                <w:i/>
                <w:color w:val="000000" w:themeColor="text1"/>
                <w:sz w:val="24"/>
                <w:szCs w:val="24"/>
                <w:lang w:val="sq-AL" w:eastAsia="it-IT"/>
              </w:rPr>
            </w:pPr>
            <w:r w:rsidRPr="00864FBA">
              <w:rPr>
                <w:rFonts w:ascii="Garamond" w:hAnsi="Garamond"/>
                <w:i/>
                <w:color w:val="000000" w:themeColor="text1"/>
                <w:sz w:val="24"/>
                <w:szCs w:val="24"/>
                <w:shd w:val="clear" w:color="auto" w:fill="FFFFFF"/>
                <w:lang w:val="sq-AL"/>
              </w:rPr>
              <w:t xml:space="preserve">≥ </w:t>
            </w:r>
            <w:r w:rsidRPr="00864FBA">
              <w:rPr>
                <w:rFonts w:ascii="Garamond" w:eastAsia="Times New Roman" w:hAnsi="Garamond"/>
                <w:i/>
                <w:color w:val="000000" w:themeColor="text1"/>
                <w:sz w:val="24"/>
                <w:szCs w:val="24"/>
                <w:lang w:val="sq-AL" w:eastAsia="it-IT"/>
              </w:rPr>
              <w:t>250</w:t>
            </w:r>
          </w:p>
        </w:tc>
        <w:tc>
          <w:tcPr>
            <w:tcW w:w="735" w:type="pct"/>
            <w:noWrap/>
            <w:vAlign w:val="center"/>
            <w:hideMark/>
          </w:tcPr>
          <w:p w:rsidR="00864FBA" w:rsidRPr="00864FBA" w:rsidRDefault="00864FBA" w:rsidP="00864FBA">
            <w:pPr>
              <w:spacing w:after="0" w:line="240" w:lineRule="auto"/>
              <w:jc w:val="center"/>
              <w:rPr>
                <w:rFonts w:ascii="Garamond" w:eastAsia="Times New Roman" w:hAnsi="Garamond"/>
                <w:i/>
                <w:color w:val="000000" w:themeColor="text1"/>
                <w:sz w:val="24"/>
                <w:szCs w:val="24"/>
                <w:lang w:val="sq-AL" w:eastAsia="it-IT"/>
              </w:rPr>
            </w:pPr>
            <w:r w:rsidRPr="00864FBA">
              <w:rPr>
                <w:rFonts w:ascii="Garamond" w:hAnsi="Garamond"/>
                <w:i/>
                <w:color w:val="000000" w:themeColor="text1"/>
                <w:sz w:val="24"/>
                <w:szCs w:val="24"/>
                <w:shd w:val="clear" w:color="auto" w:fill="FFFFFF"/>
                <w:lang w:val="sq-AL"/>
              </w:rPr>
              <w:t xml:space="preserve">≥ </w:t>
            </w:r>
            <w:r w:rsidRPr="00864FBA">
              <w:rPr>
                <w:rFonts w:ascii="Garamond" w:eastAsia="Times New Roman" w:hAnsi="Garamond"/>
                <w:i/>
                <w:color w:val="000000" w:themeColor="text1"/>
                <w:sz w:val="24"/>
                <w:szCs w:val="24"/>
                <w:lang w:val="sq-AL" w:eastAsia="it-IT"/>
              </w:rPr>
              <w:t>250</w:t>
            </w:r>
          </w:p>
        </w:tc>
        <w:tc>
          <w:tcPr>
            <w:tcW w:w="736" w:type="pct"/>
            <w:noWrap/>
            <w:vAlign w:val="center"/>
            <w:hideMark/>
          </w:tcPr>
          <w:p w:rsidR="00864FBA" w:rsidRPr="00864FBA" w:rsidRDefault="00864FBA" w:rsidP="00864FBA">
            <w:pPr>
              <w:spacing w:after="0" w:line="240" w:lineRule="auto"/>
              <w:jc w:val="center"/>
              <w:rPr>
                <w:rFonts w:ascii="Garamond" w:eastAsia="Times New Roman" w:hAnsi="Garamond"/>
                <w:i/>
                <w:color w:val="000000" w:themeColor="text1"/>
                <w:sz w:val="24"/>
                <w:szCs w:val="24"/>
                <w:lang w:val="sq-AL" w:eastAsia="it-IT"/>
              </w:rPr>
            </w:pPr>
            <w:r w:rsidRPr="00864FBA">
              <w:rPr>
                <w:rFonts w:ascii="Garamond" w:hAnsi="Garamond"/>
                <w:i/>
                <w:color w:val="000000" w:themeColor="text1"/>
                <w:sz w:val="24"/>
                <w:szCs w:val="24"/>
                <w:shd w:val="clear" w:color="auto" w:fill="FFFFFF"/>
                <w:lang w:val="sq-AL"/>
              </w:rPr>
              <w:t xml:space="preserve">≥ </w:t>
            </w:r>
            <w:r w:rsidRPr="00864FBA">
              <w:rPr>
                <w:rFonts w:ascii="Garamond" w:eastAsia="Times New Roman" w:hAnsi="Garamond"/>
                <w:i/>
                <w:color w:val="000000" w:themeColor="text1"/>
                <w:sz w:val="24"/>
                <w:szCs w:val="24"/>
                <w:lang w:val="sq-AL" w:eastAsia="it-IT"/>
              </w:rPr>
              <w:t>250</w:t>
            </w:r>
          </w:p>
        </w:tc>
        <w:tc>
          <w:tcPr>
            <w:tcW w:w="736" w:type="pct"/>
            <w:noWrap/>
            <w:vAlign w:val="center"/>
            <w:hideMark/>
          </w:tcPr>
          <w:p w:rsidR="00864FBA" w:rsidRPr="00864FBA" w:rsidRDefault="00864FBA" w:rsidP="00864FBA">
            <w:pPr>
              <w:spacing w:after="0" w:line="240" w:lineRule="auto"/>
              <w:jc w:val="center"/>
              <w:rPr>
                <w:rFonts w:ascii="Garamond" w:eastAsia="Times New Roman" w:hAnsi="Garamond"/>
                <w:i/>
                <w:color w:val="000000" w:themeColor="text1"/>
                <w:sz w:val="24"/>
                <w:szCs w:val="24"/>
                <w:lang w:val="sq-AL" w:eastAsia="it-IT"/>
              </w:rPr>
            </w:pPr>
            <w:r w:rsidRPr="00864FBA">
              <w:rPr>
                <w:rFonts w:ascii="Garamond" w:hAnsi="Garamond"/>
                <w:i/>
                <w:color w:val="000000" w:themeColor="text1"/>
                <w:sz w:val="24"/>
                <w:szCs w:val="24"/>
                <w:shd w:val="clear" w:color="auto" w:fill="FFFFFF"/>
                <w:lang w:val="sq-AL"/>
              </w:rPr>
              <w:t xml:space="preserve">≥ </w:t>
            </w:r>
            <w:r w:rsidRPr="00864FBA">
              <w:rPr>
                <w:rFonts w:ascii="Garamond" w:eastAsia="Times New Roman" w:hAnsi="Garamond"/>
                <w:i/>
                <w:color w:val="000000" w:themeColor="text1"/>
                <w:sz w:val="24"/>
                <w:szCs w:val="24"/>
                <w:lang w:val="sq-AL" w:eastAsia="it-IT"/>
              </w:rPr>
              <w:t>250</w:t>
            </w:r>
          </w:p>
        </w:tc>
      </w:tr>
      <w:tr w:rsidR="00864FBA" w:rsidRPr="00864FBA" w:rsidTr="00D47E99">
        <w:trPr>
          <w:trHeight w:val="345"/>
          <w:jc w:val="center"/>
        </w:trPr>
        <w:tc>
          <w:tcPr>
            <w:tcW w:w="2057" w:type="pct"/>
            <w:shd w:val="clear" w:color="E8E0ED" w:fill="E8E0ED"/>
            <w:noWrap/>
            <w:vAlign w:val="center"/>
            <w:hideMark/>
          </w:tcPr>
          <w:p w:rsidR="00864FBA" w:rsidRPr="00864FBA" w:rsidRDefault="00864FBA" w:rsidP="00864FBA">
            <w:pPr>
              <w:spacing w:after="0" w:line="240" w:lineRule="auto"/>
              <w:jc w:val="left"/>
              <w:rPr>
                <w:rFonts w:ascii="Garamond" w:eastAsia="Times New Roman" w:hAnsi="Garamond"/>
                <w:b/>
                <w:bCs/>
                <w:color w:val="000000" w:themeColor="text1"/>
                <w:sz w:val="24"/>
                <w:szCs w:val="24"/>
                <w:lang w:val="sq-AL" w:eastAsia="it-IT"/>
              </w:rPr>
            </w:pPr>
            <w:r w:rsidRPr="00864FBA">
              <w:rPr>
                <w:rFonts w:ascii="Garamond" w:eastAsia="Times New Roman" w:hAnsi="Garamond"/>
                <w:b/>
                <w:bCs/>
                <w:color w:val="000000" w:themeColor="text1"/>
                <w:sz w:val="24"/>
                <w:szCs w:val="24"/>
                <w:lang w:val="sq-AL" w:eastAsia="it-IT"/>
              </w:rPr>
              <w:t>Grupe të vogla</w:t>
            </w:r>
          </w:p>
        </w:tc>
        <w:tc>
          <w:tcPr>
            <w:tcW w:w="735" w:type="pct"/>
            <w:shd w:val="clear" w:color="E8E0ED" w:fill="E8E0ED"/>
            <w:noWrap/>
          </w:tcPr>
          <w:p w:rsidR="00864FBA" w:rsidRPr="00864FBA" w:rsidRDefault="00864FBA" w:rsidP="00864FBA">
            <w:pPr>
              <w:spacing w:after="0" w:line="240" w:lineRule="auto"/>
              <w:jc w:val="center"/>
              <w:rPr>
                <w:rFonts w:ascii="Garamond" w:eastAsia="Times New Roman" w:hAnsi="Garamond"/>
                <w:b/>
                <w:bCs/>
                <w:color w:val="000000" w:themeColor="text1"/>
                <w:sz w:val="24"/>
                <w:szCs w:val="24"/>
                <w:lang w:val="sq-AL" w:eastAsia="it-IT"/>
              </w:rPr>
            </w:pPr>
          </w:p>
        </w:tc>
        <w:tc>
          <w:tcPr>
            <w:tcW w:w="735" w:type="pct"/>
            <w:shd w:val="clear" w:color="E8E0ED" w:fill="E8E0ED"/>
            <w:noWrap/>
          </w:tcPr>
          <w:p w:rsidR="00864FBA" w:rsidRPr="00864FBA" w:rsidRDefault="00864FBA" w:rsidP="00864FBA">
            <w:pPr>
              <w:spacing w:after="0" w:line="240" w:lineRule="auto"/>
              <w:jc w:val="center"/>
              <w:rPr>
                <w:rFonts w:ascii="Garamond" w:eastAsia="Times New Roman" w:hAnsi="Garamond"/>
                <w:color w:val="000000" w:themeColor="text1"/>
                <w:sz w:val="24"/>
                <w:szCs w:val="24"/>
                <w:lang w:val="sq-AL" w:eastAsia="it-IT"/>
              </w:rPr>
            </w:pPr>
          </w:p>
        </w:tc>
        <w:tc>
          <w:tcPr>
            <w:tcW w:w="736" w:type="pct"/>
            <w:shd w:val="clear" w:color="E8E0ED" w:fill="E8E0ED"/>
            <w:noWrap/>
          </w:tcPr>
          <w:p w:rsidR="00864FBA" w:rsidRPr="00864FBA" w:rsidRDefault="00864FBA" w:rsidP="00864FBA">
            <w:pPr>
              <w:spacing w:after="0" w:line="240" w:lineRule="auto"/>
              <w:jc w:val="center"/>
              <w:rPr>
                <w:rFonts w:ascii="Garamond" w:eastAsia="Times New Roman" w:hAnsi="Garamond"/>
                <w:color w:val="000000" w:themeColor="text1"/>
                <w:sz w:val="24"/>
                <w:szCs w:val="24"/>
                <w:lang w:val="sq-AL" w:eastAsia="it-IT"/>
              </w:rPr>
            </w:pPr>
          </w:p>
        </w:tc>
        <w:tc>
          <w:tcPr>
            <w:tcW w:w="736" w:type="pct"/>
            <w:shd w:val="clear" w:color="E8E0ED" w:fill="E8E0ED"/>
            <w:noWrap/>
          </w:tcPr>
          <w:p w:rsidR="00864FBA" w:rsidRPr="00864FBA" w:rsidRDefault="00864FBA" w:rsidP="00864FBA">
            <w:pPr>
              <w:spacing w:after="0" w:line="240" w:lineRule="auto"/>
              <w:jc w:val="center"/>
              <w:rPr>
                <w:rFonts w:ascii="Garamond" w:eastAsia="Times New Roman" w:hAnsi="Garamond"/>
                <w:color w:val="000000" w:themeColor="text1"/>
                <w:sz w:val="24"/>
                <w:szCs w:val="24"/>
                <w:lang w:val="sq-AL" w:eastAsia="it-IT"/>
              </w:rPr>
            </w:pPr>
          </w:p>
        </w:tc>
      </w:tr>
      <w:tr w:rsidR="00864FBA" w:rsidRPr="00864FBA" w:rsidTr="00D47E99">
        <w:trPr>
          <w:trHeight w:val="345"/>
          <w:jc w:val="center"/>
        </w:trPr>
        <w:tc>
          <w:tcPr>
            <w:tcW w:w="2057" w:type="pct"/>
            <w:noWrap/>
            <w:vAlign w:val="center"/>
            <w:hideMark/>
          </w:tcPr>
          <w:p w:rsidR="00864FBA" w:rsidRPr="00864FBA" w:rsidRDefault="00864FBA" w:rsidP="00864FBA">
            <w:pPr>
              <w:spacing w:after="0" w:line="240" w:lineRule="auto"/>
              <w:jc w:val="left"/>
              <w:rPr>
                <w:rFonts w:ascii="Garamond" w:eastAsia="Times New Roman" w:hAnsi="Garamond"/>
                <w:color w:val="000000" w:themeColor="text1"/>
                <w:sz w:val="24"/>
                <w:szCs w:val="24"/>
                <w:lang w:val="sq-AL" w:eastAsia="it-IT"/>
              </w:rPr>
            </w:pPr>
            <w:r w:rsidRPr="00864FBA">
              <w:rPr>
                <w:rFonts w:ascii="Garamond" w:eastAsia="Times New Roman" w:hAnsi="Garamond"/>
                <w:color w:val="000000" w:themeColor="text1"/>
                <w:sz w:val="24"/>
                <w:szCs w:val="24"/>
                <w:lang w:val="sq-AL" w:eastAsia="it-IT"/>
              </w:rPr>
              <w:t>Aktivet</w:t>
            </w:r>
          </w:p>
        </w:tc>
        <w:tc>
          <w:tcPr>
            <w:tcW w:w="735" w:type="pct"/>
            <w:noWrap/>
            <w:vAlign w:val="center"/>
            <w:hideMark/>
          </w:tcPr>
          <w:p w:rsidR="00864FBA" w:rsidRPr="00864FBA" w:rsidRDefault="00864FBA" w:rsidP="00864FBA">
            <w:pPr>
              <w:spacing w:after="0" w:line="240" w:lineRule="auto"/>
              <w:jc w:val="center"/>
              <w:rPr>
                <w:rFonts w:ascii="Garamond" w:eastAsia="Times New Roman" w:hAnsi="Garamond"/>
                <w:color w:val="000000" w:themeColor="text1"/>
                <w:sz w:val="24"/>
                <w:szCs w:val="24"/>
                <w:lang w:val="sq-AL" w:eastAsia="it-IT"/>
              </w:rPr>
            </w:pPr>
            <w:r w:rsidRPr="00864FBA">
              <w:rPr>
                <w:rFonts w:ascii="Garamond" w:hAnsi="Garamond"/>
                <w:color w:val="000000" w:themeColor="text1"/>
                <w:sz w:val="24"/>
                <w:szCs w:val="24"/>
                <w:shd w:val="clear" w:color="auto" w:fill="FFFFFF"/>
                <w:lang w:val="sq-AL"/>
              </w:rPr>
              <w:t xml:space="preserve">≤ </w:t>
            </w:r>
            <w:r w:rsidRPr="00864FBA">
              <w:rPr>
                <w:rFonts w:ascii="Garamond" w:eastAsia="Times New Roman" w:hAnsi="Garamond"/>
                <w:color w:val="000000" w:themeColor="text1"/>
                <w:sz w:val="24"/>
                <w:szCs w:val="24"/>
                <w:lang w:val="sq-AL" w:eastAsia="it-IT"/>
              </w:rPr>
              <w:t xml:space="preserve">150 000 </w:t>
            </w:r>
          </w:p>
        </w:tc>
        <w:tc>
          <w:tcPr>
            <w:tcW w:w="735" w:type="pct"/>
            <w:noWrap/>
            <w:vAlign w:val="center"/>
            <w:hideMark/>
          </w:tcPr>
          <w:p w:rsidR="00864FBA" w:rsidRPr="00864FBA" w:rsidRDefault="00864FBA" w:rsidP="00864FBA">
            <w:pPr>
              <w:spacing w:after="0" w:line="240" w:lineRule="auto"/>
              <w:jc w:val="center"/>
              <w:rPr>
                <w:rFonts w:ascii="Garamond" w:eastAsia="Times New Roman" w:hAnsi="Garamond"/>
                <w:color w:val="000000" w:themeColor="text1"/>
                <w:sz w:val="24"/>
                <w:szCs w:val="24"/>
                <w:lang w:val="sq-AL" w:eastAsia="it-IT"/>
              </w:rPr>
            </w:pPr>
            <w:r w:rsidRPr="00864FBA">
              <w:rPr>
                <w:rFonts w:ascii="Garamond" w:hAnsi="Garamond"/>
                <w:color w:val="000000" w:themeColor="text1"/>
                <w:sz w:val="24"/>
                <w:szCs w:val="24"/>
                <w:shd w:val="clear" w:color="auto" w:fill="FFFFFF"/>
                <w:lang w:val="sq-AL"/>
              </w:rPr>
              <w:t xml:space="preserve">≤ </w:t>
            </w:r>
            <w:r w:rsidRPr="00864FBA">
              <w:rPr>
                <w:rFonts w:ascii="Garamond" w:eastAsia="Times New Roman" w:hAnsi="Garamond"/>
                <w:color w:val="000000" w:themeColor="text1"/>
                <w:sz w:val="24"/>
                <w:szCs w:val="24"/>
                <w:lang w:val="sq-AL" w:eastAsia="it-IT"/>
              </w:rPr>
              <w:t xml:space="preserve">250 000 </w:t>
            </w:r>
          </w:p>
        </w:tc>
        <w:tc>
          <w:tcPr>
            <w:tcW w:w="736" w:type="pct"/>
            <w:noWrap/>
            <w:vAlign w:val="center"/>
            <w:hideMark/>
          </w:tcPr>
          <w:p w:rsidR="00864FBA" w:rsidRPr="00864FBA" w:rsidRDefault="00864FBA" w:rsidP="00864FBA">
            <w:pPr>
              <w:spacing w:after="0" w:line="240" w:lineRule="auto"/>
              <w:jc w:val="center"/>
              <w:rPr>
                <w:rFonts w:ascii="Garamond" w:eastAsia="Times New Roman" w:hAnsi="Garamond"/>
                <w:color w:val="000000" w:themeColor="text1"/>
                <w:sz w:val="24"/>
                <w:szCs w:val="24"/>
                <w:lang w:val="sq-AL" w:eastAsia="it-IT"/>
              </w:rPr>
            </w:pPr>
            <w:r w:rsidRPr="00864FBA">
              <w:rPr>
                <w:rFonts w:ascii="Garamond" w:hAnsi="Garamond"/>
                <w:color w:val="000000" w:themeColor="text1"/>
                <w:sz w:val="24"/>
                <w:szCs w:val="24"/>
                <w:shd w:val="clear" w:color="auto" w:fill="FFFFFF"/>
                <w:lang w:val="sq-AL"/>
              </w:rPr>
              <w:t xml:space="preserve">≤ </w:t>
            </w:r>
            <w:r w:rsidRPr="00864FBA">
              <w:rPr>
                <w:rFonts w:ascii="Garamond" w:eastAsia="Times New Roman" w:hAnsi="Garamond"/>
                <w:color w:val="000000" w:themeColor="text1"/>
                <w:sz w:val="24"/>
                <w:szCs w:val="24"/>
                <w:lang w:val="sq-AL" w:eastAsia="it-IT"/>
              </w:rPr>
              <w:t xml:space="preserve">350 000 </w:t>
            </w:r>
          </w:p>
        </w:tc>
        <w:tc>
          <w:tcPr>
            <w:tcW w:w="736" w:type="pct"/>
            <w:noWrap/>
            <w:vAlign w:val="center"/>
            <w:hideMark/>
          </w:tcPr>
          <w:p w:rsidR="00864FBA" w:rsidRPr="00864FBA" w:rsidRDefault="00864FBA" w:rsidP="00864FBA">
            <w:pPr>
              <w:spacing w:after="0" w:line="240" w:lineRule="auto"/>
              <w:jc w:val="center"/>
              <w:rPr>
                <w:rFonts w:ascii="Garamond" w:eastAsia="Times New Roman" w:hAnsi="Garamond"/>
                <w:color w:val="000000" w:themeColor="text1"/>
                <w:sz w:val="24"/>
                <w:szCs w:val="24"/>
                <w:lang w:val="sq-AL" w:eastAsia="it-IT"/>
              </w:rPr>
            </w:pPr>
            <w:r w:rsidRPr="00864FBA">
              <w:rPr>
                <w:rFonts w:ascii="Garamond" w:hAnsi="Garamond"/>
                <w:color w:val="000000" w:themeColor="text1"/>
                <w:sz w:val="24"/>
                <w:szCs w:val="24"/>
                <w:shd w:val="clear" w:color="auto" w:fill="FFFFFF"/>
                <w:lang w:val="sq-AL"/>
              </w:rPr>
              <w:t xml:space="preserve">≤ </w:t>
            </w:r>
            <w:r w:rsidRPr="00864FBA">
              <w:rPr>
                <w:rFonts w:ascii="Garamond" w:eastAsia="Times New Roman" w:hAnsi="Garamond"/>
                <w:color w:val="000000" w:themeColor="text1"/>
                <w:sz w:val="24"/>
                <w:szCs w:val="24"/>
                <w:lang w:val="sq-AL" w:eastAsia="it-IT"/>
              </w:rPr>
              <w:t xml:space="preserve">500 000 </w:t>
            </w:r>
          </w:p>
        </w:tc>
      </w:tr>
      <w:tr w:rsidR="00864FBA" w:rsidRPr="00864FBA" w:rsidTr="00D47E99">
        <w:trPr>
          <w:trHeight w:val="345"/>
          <w:jc w:val="center"/>
        </w:trPr>
        <w:tc>
          <w:tcPr>
            <w:tcW w:w="2057" w:type="pct"/>
            <w:noWrap/>
            <w:vAlign w:val="center"/>
            <w:hideMark/>
          </w:tcPr>
          <w:p w:rsidR="00864FBA" w:rsidRPr="00864FBA" w:rsidRDefault="00864FBA" w:rsidP="00864FBA">
            <w:pPr>
              <w:spacing w:after="0" w:line="240" w:lineRule="auto"/>
              <w:jc w:val="left"/>
              <w:rPr>
                <w:rFonts w:ascii="Garamond" w:eastAsia="Times New Roman" w:hAnsi="Garamond"/>
                <w:color w:val="000000" w:themeColor="text1"/>
                <w:sz w:val="24"/>
                <w:szCs w:val="24"/>
                <w:lang w:val="sq-AL" w:eastAsia="it-IT"/>
              </w:rPr>
            </w:pPr>
            <w:r w:rsidRPr="00864FBA">
              <w:rPr>
                <w:rFonts w:ascii="Garamond" w:eastAsia="Times New Roman" w:hAnsi="Garamond"/>
                <w:color w:val="000000" w:themeColor="text1"/>
                <w:sz w:val="24"/>
                <w:szCs w:val="24"/>
                <w:lang w:val="sq-AL" w:eastAsia="it-IT"/>
              </w:rPr>
              <w:t xml:space="preserve">Të ardhurat e shfrytëzimit </w:t>
            </w:r>
          </w:p>
        </w:tc>
        <w:tc>
          <w:tcPr>
            <w:tcW w:w="735" w:type="pct"/>
            <w:noWrap/>
            <w:vAlign w:val="center"/>
            <w:hideMark/>
          </w:tcPr>
          <w:p w:rsidR="00864FBA" w:rsidRPr="00864FBA" w:rsidRDefault="00864FBA" w:rsidP="00864FBA">
            <w:pPr>
              <w:spacing w:after="0" w:line="240" w:lineRule="auto"/>
              <w:jc w:val="center"/>
              <w:rPr>
                <w:rFonts w:ascii="Garamond" w:eastAsia="Times New Roman" w:hAnsi="Garamond"/>
                <w:color w:val="000000" w:themeColor="text1"/>
                <w:sz w:val="24"/>
                <w:szCs w:val="24"/>
                <w:lang w:val="sq-AL" w:eastAsia="it-IT"/>
              </w:rPr>
            </w:pPr>
            <w:r w:rsidRPr="00864FBA">
              <w:rPr>
                <w:rFonts w:ascii="Garamond" w:hAnsi="Garamond"/>
                <w:color w:val="000000" w:themeColor="text1"/>
                <w:sz w:val="24"/>
                <w:szCs w:val="24"/>
                <w:shd w:val="clear" w:color="auto" w:fill="FFFFFF"/>
                <w:lang w:val="sq-AL"/>
              </w:rPr>
              <w:t xml:space="preserve">≤ </w:t>
            </w:r>
            <w:r w:rsidRPr="00864FBA">
              <w:rPr>
                <w:rFonts w:ascii="Garamond" w:eastAsia="Times New Roman" w:hAnsi="Garamond"/>
                <w:color w:val="000000" w:themeColor="text1"/>
                <w:sz w:val="24"/>
                <w:szCs w:val="24"/>
                <w:lang w:val="sq-AL" w:eastAsia="it-IT"/>
              </w:rPr>
              <w:t xml:space="preserve">300 000 </w:t>
            </w:r>
          </w:p>
        </w:tc>
        <w:tc>
          <w:tcPr>
            <w:tcW w:w="735" w:type="pct"/>
            <w:noWrap/>
            <w:vAlign w:val="center"/>
            <w:hideMark/>
          </w:tcPr>
          <w:p w:rsidR="00864FBA" w:rsidRPr="00864FBA" w:rsidRDefault="00864FBA" w:rsidP="00864FBA">
            <w:pPr>
              <w:spacing w:after="0" w:line="240" w:lineRule="auto"/>
              <w:jc w:val="center"/>
              <w:rPr>
                <w:rFonts w:ascii="Garamond" w:eastAsia="Times New Roman" w:hAnsi="Garamond"/>
                <w:color w:val="000000" w:themeColor="text1"/>
                <w:sz w:val="24"/>
                <w:szCs w:val="24"/>
                <w:lang w:val="sq-AL" w:eastAsia="it-IT"/>
              </w:rPr>
            </w:pPr>
            <w:r w:rsidRPr="00864FBA">
              <w:rPr>
                <w:rFonts w:ascii="Garamond" w:hAnsi="Garamond"/>
                <w:color w:val="000000" w:themeColor="text1"/>
                <w:sz w:val="24"/>
                <w:szCs w:val="24"/>
                <w:shd w:val="clear" w:color="auto" w:fill="FFFFFF"/>
                <w:lang w:val="sq-AL"/>
              </w:rPr>
              <w:t>≤ 5</w:t>
            </w:r>
            <w:r w:rsidRPr="00864FBA">
              <w:rPr>
                <w:rFonts w:ascii="Garamond" w:eastAsia="Times New Roman" w:hAnsi="Garamond"/>
                <w:color w:val="000000" w:themeColor="text1"/>
                <w:sz w:val="24"/>
                <w:szCs w:val="24"/>
                <w:lang w:val="sq-AL" w:eastAsia="it-IT"/>
              </w:rPr>
              <w:t xml:space="preserve">00 000 </w:t>
            </w:r>
          </w:p>
        </w:tc>
        <w:tc>
          <w:tcPr>
            <w:tcW w:w="736" w:type="pct"/>
            <w:noWrap/>
            <w:vAlign w:val="center"/>
            <w:hideMark/>
          </w:tcPr>
          <w:p w:rsidR="00864FBA" w:rsidRPr="00864FBA" w:rsidRDefault="00864FBA" w:rsidP="00864FBA">
            <w:pPr>
              <w:spacing w:after="0" w:line="240" w:lineRule="auto"/>
              <w:jc w:val="center"/>
              <w:rPr>
                <w:rFonts w:ascii="Garamond" w:eastAsia="Times New Roman" w:hAnsi="Garamond"/>
                <w:color w:val="000000" w:themeColor="text1"/>
                <w:sz w:val="24"/>
                <w:szCs w:val="24"/>
                <w:lang w:val="sq-AL" w:eastAsia="it-IT"/>
              </w:rPr>
            </w:pPr>
            <w:r w:rsidRPr="00864FBA">
              <w:rPr>
                <w:rFonts w:ascii="Garamond" w:hAnsi="Garamond"/>
                <w:color w:val="000000" w:themeColor="text1"/>
                <w:sz w:val="24"/>
                <w:szCs w:val="24"/>
                <w:shd w:val="clear" w:color="auto" w:fill="FFFFFF"/>
                <w:lang w:val="sq-AL"/>
              </w:rPr>
              <w:t xml:space="preserve">≤ </w:t>
            </w:r>
            <w:r w:rsidRPr="00864FBA">
              <w:rPr>
                <w:rFonts w:ascii="Garamond" w:eastAsia="Times New Roman" w:hAnsi="Garamond"/>
                <w:color w:val="000000" w:themeColor="text1"/>
                <w:sz w:val="24"/>
                <w:szCs w:val="24"/>
                <w:lang w:val="sq-AL" w:eastAsia="it-IT"/>
              </w:rPr>
              <w:t xml:space="preserve">700 000 </w:t>
            </w:r>
          </w:p>
        </w:tc>
        <w:tc>
          <w:tcPr>
            <w:tcW w:w="736" w:type="pct"/>
            <w:noWrap/>
            <w:vAlign w:val="center"/>
            <w:hideMark/>
          </w:tcPr>
          <w:p w:rsidR="00864FBA" w:rsidRPr="00864FBA" w:rsidRDefault="00864FBA" w:rsidP="00864FBA">
            <w:pPr>
              <w:spacing w:after="0" w:line="240" w:lineRule="auto"/>
              <w:jc w:val="center"/>
              <w:rPr>
                <w:rFonts w:ascii="Garamond" w:eastAsia="Times New Roman" w:hAnsi="Garamond"/>
                <w:color w:val="000000" w:themeColor="text1"/>
                <w:sz w:val="24"/>
                <w:szCs w:val="24"/>
                <w:lang w:val="sq-AL" w:eastAsia="it-IT"/>
              </w:rPr>
            </w:pPr>
            <w:r w:rsidRPr="00864FBA">
              <w:rPr>
                <w:rFonts w:ascii="Garamond" w:hAnsi="Garamond"/>
                <w:color w:val="000000" w:themeColor="text1"/>
                <w:sz w:val="24"/>
                <w:szCs w:val="24"/>
                <w:shd w:val="clear" w:color="auto" w:fill="FFFFFF"/>
                <w:lang w:val="sq-AL"/>
              </w:rPr>
              <w:t xml:space="preserve">≤ </w:t>
            </w:r>
            <w:r w:rsidRPr="00864FBA">
              <w:rPr>
                <w:rFonts w:ascii="Garamond" w:eastAsia="Times New Roman" w:hAnsi="Garamond"/>
                <w:color w:val="000000" w:themeColor="text1"/>
                <w:sz w:val="24"/>
                <w:szCs w:val="24"/>
                <w:lang w:val="sq-AL" w:eastAsia="it-IT"/>
              </w:rPr>
              <w:t>1 000 000</w:t>
            </w:r>
          </w:p>
        </w:tc>
      </w:tr>
      <w:tr w:rsidR="00864FBA" w:rsidRPr="00864FBA" w:rsidTr="00D47E99">
        <w:trPr>
          <w:trHeight w:val="345"/>
          <w:jc w:val="center"/>
        </w:trPr>
        <w:tc>
          <w:tcPr>
            <w:tcW w:w="2057" w:type="pct"/>
            <w:noWrap/>
            <w:vAlign w:val="center"/>
            <w:hideMark/>
          </w:tcPr>
          <w:p w:rsidR="00864FBA" w:rsidRPr="00864FBA" w:rsidRDefault="00864FBA" w:rsidP="00864FBA">
            <w:pPr>
              <w:spacing w:after="0" w:line="240" w:lineRule="auto"/>
              <w:jc w:val="left"/>
              <w:rPr>
                <w:rFonts w:ascii="Garamond" w:eastAsia="Times New Roman" w:hAnsi="Garamond"/>
                <w:color w:val="000000" w:themeColor="text1"/>
                <w:sz w:val="24"/>
                <w:szCs w:val="24"/>
                <w:lang w:val="sq-AL" w:eastAsia="it-IT"/>
              </w:rPr>
            </w:pPr>
            <w:r w:rsidRPr="00864FBA">
              <w:rPr>
                <w:rFonts w:ascii="Garamond" w:eastAsia="Times New Roman" w:hAnsi="Garamond"/>
                <w:color w:val="000000" w:themeColor="text1"/>
                <w:sz w:val="24"/>
                <w:szCs w:val="24"/>
                <w:lang w:val="sq-AL" w:eastAsia="it-IT"/>
              </w:rPr>
              <w:t>Numri i punonjësve</w:t>
            </w:r>
          </w:p>
        </w:tc>
        <w:tc>
          <w:tcPr>
            <w:tcW w:w="735" w:type="pct"/>
            <w:noWrap/>
            <w:vAlign w:val="center"/>
            <w:hideMark/>
          </w:tcPr>
          <w:p w:rsidR="00864FBA" w:rsidRPr="00864FBA" w:rsidRDefault="00864FBA" w:rsidP="00864FBA">
            <w:pPr>
              <w:spacing w:after="0" w:line="240" w:lineRule="auto"/>
              <w:jc w:val="center"/>
              <w:rPr>
                <w:rFonts w:ascii="Garamond" w:eastAsia="Times New Roman" w:hAnsi="Garamond"/>
                <w:i/>
                <w:color w:val="000000" w:themeColor="text1"/>
                <w:sz w:val="24"/>
                <w:szCs w:val="24"/>
                <w:lang w:val="sq-AL" w:eastAsia="it-IT"/>
              </w:rPr>
            </w:pPr>
            <w:r w:rsidRPr="00864FBA">
              <w:rPr>
                <w:rFonts w:ascii="Garamond" w:hAnsi="Garamond"/>
                <w:color w:val="000000" w:themeColor="text1"/>
                <w:sz w:val="24"/>
                <w:szCs w:val="24"/>
                <w:shd w:val="clear" w:color="auto" w:fill="FFFFFF"/>
                <w:lang w:val="sq-AL"/>
              </w:rPr>
              <w:t xml:space="preserve">≤ </w:t>
            </w:r>
            <w:r w:rsidRPr="00864FBA">
              <w:rPr>
                <w:rFonts w:ascii="Garamond" w:eastAsia="Times New Roman" w:hAnsi="Garamond"/>
                <w:i/>
                <w:color w:val="000000" w:themeColor="text1"/>
                <w:sz w:val="24"/>
                <w:szCs w:val="24"/>
                <w:lang w:val="sq-AL" w:eastAsia="it-IT"/>
              </w:rPr>
              <w:t>50</w:t>
            </w:r>
          </w:p>
        </w:tc>
        <w:tc>
          <w:tcPr>
            <w:tcW w:w="735" w:type="pct"/>
            <w:noWrap/>
            <w:vAlign w:val="center"/>
            <w:hideMark/>
          </w:tcPr>
          <w:p w:rsidR="00864FBA" w:rsidRPr="00864FBA" w:rsidRDefault="00864FBA" w:rsidP="00864FBA">
            <w:pPr>
              <w:spacing w:after="0" w:line="240" w:lineRule="auto"/>
              <w:jc w:val="center"/>
              <w:rPr>
                <w:rFonts w:ascii="Garamond" w:eastAsia="Times New Roman" w:hAnsi="Garamond"/>
                <w:i/>
                <w:color w:val="000000" w:themeColor="text1"/>
                <w:sz w:val="24"/>
                <w:szCs w:val="24"/>
                <w:lang w:val="sq-AL" w:eastAsia="it-IT"/>
              </w:rPr>
            </w:pPr>
            <w:r w:rsidRPr="00864FBA">
              <w:rPr>
                <w:rFonts w:ascii="Garamond" w:hAnsi="Garamond"/>
                <w:color w:val="000000" w:themeColor="text1"/>
                <w:sz w:val="24"/>
                <w:szCs w:val="24"/>
                <w:shd w:val="clear" w:color="auto" w:fill="FFFFFF"/>
                <w:lang w:val="sq-AL"/>
              </w:rPr>
              <w:t xml:space="preserve">≤ </w:t>
            </w:r>
            <w:r w:rsidRPr="00864FBA">
              <w:rPr>
                <w:rFonts w:ascii="Garamond" w:eastAsia="Times New Roman" w:hAnsi="Garamond"/>
                <w:i/>
                <w:color w:val="000000" w:themeColor="text1"/>
                <w:sz w:val="24"/>
                <w:szCs w:val="24"/>
                <w:lang w:val="sq-AL" w:eastAsia="it-IT"/>
              </w:rPr>
              <w:t>50</w:t>
            </w:r>
          </w:p>
        </w:tc>
        <w:tc>
          <w:tcPr>
            <w:tcW w:w="736" w:type="pct"/>
            <w:noWrap/>
            <w:vAlign w:val="center"/>
            <w:hideMark/>
          </w:tcPr>
          <w:p w:rsidR="00864FBA" w:rsidRPr="00864FBA" w:rsidRDefault="00864FBA" w:rsidP="00864FBA">
            <w:pPr>
              <w:spacing w:after="0" w:line="240" w:lineRule="auto"/>
              <w:jc w:val="center"/>
              <w:rPr>
                <w:rFonts w:ascii="Garamond" w:eastAsia="Times New Roman" w:hAnsi="Garamond"/>
                <w:i/>
                <w:color w:val="000000" w:themeColor="text1"/>
                <w:sz w:val="24"/>
                <w:szCs w:val="24"/>
                <w:lang w:val="sq-AL" w:eastAsia="it-IT"/>
              </w:rPr>
            </w:pPr>
            <w:r w:rsidRPr="00864FBA">
              <w:rPr>
                <w:rFonts w:ascii="Garamond" w:hAnsi="Garamond"/>
                <w:color w:val="000000" w:themeColor="text1"/>
                <w:sz w:val="24"/>
                <w:szCs w:val="24"/>
                <w:shd w:val="clear" w:color="auto" w:fill="FFFFFF"/>
                <w:lang w:val="sq-AL"/>
              </w:rPr>
              <w:t xml:space="preserve">≤ </w:t>
            </w:r>
            <w:r w:rsidRPr="00864FBA">
              <w:rPr>
                <w:rFonts w:ascii="Garamond" w:eastAsia="Times New Roman" w:hAnsi="Garamond"/>
                <w:i/>
                <w:color w:val="000000" w:themeColor="text1"/>
                <w:sz w:val="24"/>
                <w:szCs w:val="24"/>
                <w:lang w:val="sq-AL" w:eastAsia="it-IT"/>
              </w:rPr>
              <w:t>50</w:t>
            </w:r>
          </w:p>
        </w:tc>
        <w:tc>
          <w:tcPr>
            <w:tcW w:w="736" w:type="pct"/>
            <w:noWrap/>
            <w:vAlign w:val="center"/>
            <w:hideMark/>
          </w:tcPr>
          <w:p w:rsidR="00864FBA" w:rsidRPr="00864FBA" w:rsidRDefault="00864FBA" w:rsidP="00864FBA">
            <w:pPr>
              <w:spacing w:after="0" w:line="240" w:lineRule="auto"/>
              <w:jc w:val="center"/>
              <w:rPr>
                <w:rFonts w:ascii="Garamond" w:eastAsia="Times New Roman" w:hAnsi="Garamond"/>
                <w:i/>
                <w:color w:val="000000" w:themeColor="text1"/>
                <w:sz w:val="24"/>
                <w:szCs w:val="24"/>
                <w:lang w:val="sq-AL" w:eastAsia="it-IT"/>
              </w:rPr>
            </w:pPr>
            <w:r w:rsidRPr="00864FBA">
              <w:rPr>
                <w:rFonts w:ascii="Garamond" w:hAnsi="Garamond"/>
                <w:color w:val="000000" w:themeColor="text1"/>
                <w:sz w:val="24"/>
                <w:szCs w:val="24"/>
                <w:shd w:val="clear" w:color="auto" w:fill="FFFFFF"/>
                <w:lang w:val="sq-AL"/>
              </w:rPr>
              <w:t xml:space="preserve">≤ </w:t>
            </w:r>
            <w:r w:rsidRPr="00864FBA">
              <w:rPr>
                <w:rFonts w:ascii="Garamond" w:eastAsia="Times New Roman" w:hAnsi="Garamond"/>
                <w:i/>
                <w:color w:val="000000" w:themeColor="text1"/>
                <w:sz w:val="24"/>
                <w:szCs w:val="24"/>
                <w:lang w:val="sq-AL" w:eastAsia="it-IT"/>
              </w:rPr>
              <w:t>50</w:t>
            </w:r>
          </w:p>
        </w:tc>
      </w:tr>
      <w:tr w:rsidR="00864FBA" w:rsidRPr="00864FBA" w:rsidTr="00D47E99">
        <w:trPr>
          <w:trHeight w:val="345"/>
          <w:jc w:val="center"/>
        </w:trPr>
        <w:tc>
          <w:tcPr>
            <w:tcW w:w="2057" w:type="pct"/>
            <w:shd w:val="clear" w:color="E8E0ED" w:fill="E8E0ED"/>
            <w:noWrap/>
            <w:vAlign w:val="center"/>
            <w:hideMark/>
          </w:tcPr>
          <w:p w:rsidR="00864FBA" w:rsidRPr="00864FBA" w:rsidRDefault="00864FBA" w:rsidP="00864FBA">
            <w:pPr>
              <w:spacing w:after="0" w:line="240" w:lineRule="auto"/>
              <w:jc w:val="left"/>
              <w:rPr>
                <w:rFonts w:ascii="Garamond" w:eastAsia="Times New Roman" w:hAnsi="Garamond"/>
                <w:b/>
                <w:bCs/>
                <w:color w:val="000000" w:themeColor="text1"/>
                <w:sz w:val="24"/>
                <w:szCs w:val="24"/>
                <w:lang w:val="sq-AL" w:eastAsia="it-IT"/>
              </w:rPr>
            </w:pPr>
            <w:r w:rsidRPr="00864FBA">
              <w:rPr>
                <w:rFonts w:ascii="Garamond" w:eastAsia="Times New Roman" w:hAnsi="Garamond"/>
                <w:b/>
                <w:bCs/>
                <w:color w:val="000000" w:themeColor="text1"/>
                <w:sz w:val="24"/>
                <w:szCs w:val="24"/>
                <w:lang w:val="sq-AL" w:eastAsia="it-IT"/>
              </w:rPr>
              <w:t>Grupe të mesme</w:t>
            </w:r>
          </w:p>
        </w:tc>
        <w:tc>
          <w:tcPr>
            <w:tcW w:w="735" w:type="pct"/>
            <w:shd w:val="clear" w:color="E8E0ED" w:fill="E8E0ED"/>
            <w:noWrap/>
          </w:tcPr>
          <w:p w:rsidR="00864FBA" w:rsidRPr="00864FBA" w:rsidRDefault="00864FBA" w:rsidP="00864FBA">
            <w:pPr>
              <w:spacing w:after="0" w:line="240" w:lineRule="auto"/>
              <w:jc w:val="left"/>
              <w:rPr>
                <w:rFonts w:ascii="Garamond" w:eastAsia="Times New Roman" w:hAnsi="Garamond"/>
                <w:b/>
                <w:bCs/>
                <w:color w:val="000000" w:themeColor="text1"/>
                <w:sz w:val="24"/>
                <w:szCs w:val="24"/>
                <w:lang w:val="sq-AL" w:eastAsia="it-IT"/>
              </w:rPr>
            </w:pPr>
          </w:p>
        </w:tc>
        <w:tc>
          <w:tcPr>
            <w:tcW w:w="735" w:type="pct"/>
            <w:shd w:val="clear" w:color="E8E0ED" w:fill="E8E0ED"/>
            <w:noWrap/>
          </w:tcPr>
          <w:p w:rsidR="00864FBA" w:rsidRPr="00864FBA" w:rsidRDefault="00864FBA" w:rsidP="00864FBA">
            <w:pPr>
              <w:spacing w:after="0" w:line="240" w:lineRule="auto"/>
              <w:jc w:val="center"/>
              <w:rPr>
                <w:rFonts w:ascii="Garamond" w:eastAsia="Times New Roman" w:hAnsi="Garamond"/>
                <w:color w:val="000000" w:themeColor="text1"/>
                <w:sz w:val="24"/>
                <w:szCs w:val="24"/>
                <w:lang w:val="sq-AL" w:eastAsia="it-IT"/>
              </w:rPr>
            </w:pPr>
          </w:p>
        </w:tc>
        <w:tc>
          <w:tcPr>
            <w:tcW w:w="736" w:type="pct"/>
            <w:shd w:val="clear" w:color="E8E0ED" w:fill="E8E0ED"/>
            <w:noWrap/>
          </w:tcPr>
          <w:p w:rsidR="00864FBA" w:rsidRPr="00864FBA" w:rsidRDefault="00864FBA" w:rsidP="00864FBA">
            <w:pPr>
              <w:spacing w:after="0" w:line="240" w:lineRule="auto"/>
              <w:jc w:val="center"/>
              <w:rPr>
                <w:rFonts w:ascii="Garamond" w:eastAsia="Times New Roman" w:hAnsi="Garamond"/>
                <w:color w:val="000000" w:themeColor="text1"/>
                <w:sz w:val="24"/>
                <w:szCs w:val="24"/>
                <w:lang w:val="sq-AL" w:eastAsia="it-IT"/>
              </w:rPr>
            </w:pPr>
          </w:p>
        </w:tc>
        <w:tc>
          <w:tcPr>
            <w:tcW w:w="736" w:type="pct"/>
            <w:shd w:val="clear" w:color="E8E0ED" w:fill="E8E0ED"/>
            <w:noWrap/>
          </w:tcPr>
          <w:p w:rsidR="00864FBA" w:rsidRPr="00864FBA" w:rsidRDefault="00864FBA" w:rsidP="00864FBA">
            <w:pPr>
              <w:spacing w:after="0" w:line="240" w:lineRule="auto"/>
              <w:jc w:val="center"/>
              <w:rPr>
                <w:rFonts w:ascii="Garamond" w:eastAsia="Times New Roman" w:hAnsi="Garamond"/>
                <w:color w:val="000000" w:themeColor="text1"/>
                <w:sz w:val="24"/>
                <w:szCs w:val="24"/>
                <w:lang w:val="sq-AL" w:eastAsia="it-IT"/>
              </w:rPr>
            </w:pPr>
          </w:p>
        </w:tc>
      </w:tr>
      <w:tr w:rsidR="00864FBA" w:rsidRPr="00864FBA" w:rsidTr="00D47E99">
        <w:trPr>
          <w:trHeight w:val="345"/>
          <w:jc w:val="center"/>
        </w:trPr>
        <w:tc>
          <w:tcPr>
            <w:tcW w:w="2057" w:type="pct"/>
            <w:noWrap/>
            <w:vAlign w:val="center"/>
            <w:hideMark/>
          </w:tcPr>
          <w:p w:rsidR="00864FBA" w:rsidRPr="00864FBA" w:rsidRDefault="00864FBA" w:rsidP="00864FBA">
            <w:pPr>
              <w:spacing w:after="0" w:line="240" w:lineRule="auto"/>
              <w:jc w:val="left"/>
              <w:rPr>
                <w:rFonts w:ascii="Garamond" w:eastAsia="Times New Roman" w:hAnsi="Garamond"/>
                <w:color w:val="000000" w:themeColor="text1"/>
                <w:sz w:val="24"/>
                <w:szCs w:val="24"/>
                <w:lang w:val="sq-AL" w:eastAsia="it-IT"/>
              </w:rPr>
            </w:pPr>
            <w:r w:rsidRPr="00864FBA">
              <w:rPr>
                <w:rFonts w:ascii="Garamond" w:eastAsia="Times New Roman" w:hAnsi="Garamond"/>
                <w:color w:val="000000" w:themeColor="text1"/>
                <w:sz w:val="24"/>
                <w:szCs w:val="24"/>
                <w:lang w:val="sq-AL" w:eastAsia="it-IT"/>
              </w:rPr>
              <w:t>Aktivet</w:t>
            </w:r>
          </w:p>
        </w:tc>
        <w:tc>
          <w:tcPr>
            <w:tcW w:w="735" w:type="pct"/>
            <w:noWrap/>
            <w:vAlign w:val="center"/>
            <w:hideMark/>
          </w:tcPr>
          <w:p w:rsidR="00864FBA" w:rsidRPr="00864FBA" w:rsidRDefault="00864FBA" w:rsidP="00864FBA">
            <w:pPr>
              <w:spacing w:after="0" w:line="240" w:lineRule="auto"/>
              <w:jc w:val="center"/>
              <w:rPr>
                <w:rFonts w:ascii="Garamond" w:eastAsia="Times New Roman" w:hAnsi="Garamond"/>
                <w:color w:val="000000" w:themeColor="text1"/>
                <w:sz w:val="24"/>
                <w:szCs w:val="24"/>
                <w:lang w:val="sq-AL" w:eastAsia="it-IT"/>
              </w:rPr>
            </w:pPr>
            <w:r w:rsidRPr="00864FBA">
              <w:rPr>
                <w:rFonts w:ascii="Garamond" w:hAnsi="Garamond"/>
                <w:color w:val="000000" w:themeColor="text1"/>
                <w:sz w:val="24"/>
                <w:szCs w:val="24"/>
                <w:shd w:val="clear" w:color="auto" w:fill="FFFFFF"/>
                <w:lang w:val="sq-AL"/>
              </w:rPr>
              <w:t xml:space="preserve">≤ </w:t>
            </w:r>
            <w:r w:rsidRPr="00864FBA">
              <w:rPr>
                <w:rFonts w:ascii="Garamond" w:eastAsia="Times New Roman" w:hAnsi="Garamond"/>
                <w:color w:val="000000" w:themeColor="text1"/>
                <w:sz w:val="24"/>
                <w:szCs w:val="24"/>
                <w:lang w:val="sq-AL" w:eastAsia="it-IT"/>
              </w:rPr>
              <w:t xml:space="preserve">750 000 </w:t>
            </w:r>
          </w:p>
        </w:tc>
        <w:tc>
          <w:tcPr>
            <w:tcW w:w="735" w:type="pct"/>
            <w:noWrap/>
            <w:vAlign w:val="center"/>
            <w:hideMark/>
          </w:tcPr>
          <w:p w:rsidR="00864FBA" w:rsidRPr="00864FBA" w:rsidRDefault="00864FBA" w:rsidP="00864FBA">
            <w:pPr>
              <w:spacing w:after="0" w:line="240" w:lineRule="auto"/>
              <w:jc w:val="center"/>
              <w:rPr>
                <w:rFonts w:ascii="Garamond" w:eastAsia="Times New Roman" w:hAnsi="Garamond"/>
                <w:color w:val="000000" w:themeColor="text1"/>
                <w:sz w:val="24"/>
                <w:szCs w:val="24"/>
                <w:lang w:val="sq-AL" w:eastAsia="it-IT"/>
              </w:rPr>
            </w:pPr>
            <w:r w:rsidRPr="00864FBA">
              <w:rPr>
                <w:rFonts w:ascii="Garamond" w:hAnsi="Garamond"/>
                <w:color w:val="000000" w:themeColor="text1"/>
                <w:sz w:val="24"/>
                <w:szCs w:val="24"/>
                <w:shd w:val="clear" w:color="auto" w:fill="FFFFFF"/>
                <w:lang w:val="sq-AL"/>
              </w:rPr>
              <w:t xml:space="preserve">≤ </w:t>
            </w:r>
            <w:r w:rsidRPr="00864FBA">
              <w:rPr>
                <w:rFonts w:ascii="Garamond" w:eastAsia="Times New Roman" w:hAnsi="Garamond"/>
                <w:color w:val="000000" w:themeColor="text1"/>
                <w:sz w:val="24"/>
                <w:szCs w:val="24"/>
                <w:lang w:val="sq-AL" w:eastAsia="it-IT"/>
              </w:rPr>
              <w:t xml:space="preserve">1 250 000 </w:t>
            </w:r>
          </w:p>
        </w:tc>
        <w:tc>
          <w:tcPr>
            <w:tcW w:w="736" w:type="pct"/>
            <w:noWrap/>
            <w:vAlign w:val="center"/>
            <w:hideMark/>
          </w:tcPr>
          <w:p w:rsidR="00864FBA" w:rsidRPr="00864FBA" w:rsidRDefault="00864FBA" w:rsidP="00864FBA">
            <w:pPr>
              <w:spacing w:after="0" w:line="240" w:lineRule="auto"/>
              <w:jc w:val="center"/>
              <w:rPr>
                <w:rFonts w:ascii="Garamond" w:eastAsia="Times New Roman" w:hAnsi="Garamond"/>
                <w:color w:val="000000" w:themeColor="text1"/>
                <w:sz w:val="24"/>
                <w:szCs w:val="24"/>
                <w:lang w:val="sq-AL" w:eastAsia="it-IT"/>
              </w:rPr>
            </w:pPr>
            <w:r w:rsidRPr="00864FBA">
              <w:rPr>
                <w:rFonts w:ascii="Garamond" w:hAnsi="Garamond"/>
                <w:color w:val="000000" w:themeColor="text1"/>
                <w:sz w:val="24"/>
                <w:szCs w:val="24"/>
                <w:shd w:val="clear" w:color="auto" w:fill="FFFFFF"/>
                <w:lang w:val="sq-AL"/>
              </w:rPr>
              <w:t xml:space="preserve">≤ </w:t>
            </w:r>
            <w:r w:rsidRPr="00864FBA">
              <w:rPr>
                <w:rFonts w:ascii="Garamond" w:eastAsia="Times New Roman" w:hAnsi="Garamond"/>
                <w:color w:val="000000" w:themeColor="text1"/>
                <w:sz w:val="24"/>
                <w:szCs w:val="24"/>
                <w:lang w:val="sq-AL" w:eastAsia="it-IT"/>
              </w:rPr>
              <w:t xml:space="preserve">2 000 000 </w:t>
            </w:r>
          </w:p>
        </w:tc>
        <w:tc>
          <w:tcPr>
            <w:tcW w:w="736" w:type="pct"/>
            <w:noWrap/>
            <w:vAlign w:val="center"/>
            <w:hideMark/>
          </w:tcPr>
          <w:p w:rsidR="00864FBA" w:rsidRPr="00864FBA" w:rsidRDefault="00864FBA" w:rsidP="00864FBA">
            <w:pPr>
              <w:spacing w:after="0" w:line="240" w:lineRule="auto"/>
              <w:jc w:val="center"/>
              <w:rPr>
                <w:rFonts w:ascii="Garamond" w:eastAsia="Times New Roman" w:hAnsi="Garamond"/>
                <w:color w:val="000000" w:themeColor="text1"/>
                <w:sz w:val="24"/>
                <w:szCs w:val="24"/>
                <w:lang w:val="sq-AL" w:eastAsia="it-IT"/>
              </w:rPr>
            </w:pPr>
            <w:r w:rsidRPr="00864FBA">
              <w:rPr>
                <w:rFonts w:ascii="Garamond" w:hAnsi="Garamond"/>
                <w:color w:val="000000" w:themeColor="text1"/>
                <w:sz w:val="24"/>
                <w:szCs w:val="24"/>
                <w:shd w:val="clear" w:color="auto" w:fill="FFFFFF"/>
                <w:lang w:val="sq-AL"/>
              </w:rPr>
              <w:t xml:space="preserve">≤ </w:t>
            </w:r>
            <w:r w:rsidRPr="00864FBA">
              <w:rPr>
                <w:rFonts w:ascii="Garamond" w:eastAsia="Times New Roman" w:hAnsi="Garamond"/>
                <w:color w:val="000000" w:themeColor="text1"/>
                <w:sz w:val="24"/>
                <w:szCs w:val="24"/>
                <w:lang w:val="sq-AL" w:eastAsia="it-IT"/>
              </w:rPr>
              <w:t xml:space="preserve">2 500 000 </w:t>
            </w:r>
          </w:p>
        </w:tc>
      </w:tr>
      <w:tr w:rsidR="00864FBA" w:rsidRPr="00864FBA" w:rsidTr="00D47E99">
        <w:trPr>
          <w:trHeight w:val="345"/>
          <w:jc w:val="center"/>
        </w:trPr>
        <w:tc>
          <w:tcPr>
            <w:tcW w:w="2057" w:type="pct"/>
            <w:noWrap/>
            <w:vAlign w:val="center"/>
            <w:hideMark/>
          </w:tcPr>
          <w:p w:rsidR="00864FBA" w:rsidRPr="00864FBA" w:rsidRDefault="00864FBA" w:rsidP="00864FBA">
            <w:pPr>
              <w:spacing w:after="0" w:line="240" w:lineRule="auto"/>
              <w:jc w:val="left"/>
              <w:rPr>
                <w:rFonts w:ascii="Garamond" w:eastAsia="Times New Roman" w:hAnsi="Garamond"/>
                <w:color w:val="000000" w:themeColor="text1"/>
                <w:sz w:val="24"/>
                <w:szCs w:val="24"/>
                <w:lang w:val="sq-AL" w:eastAsia="it-IT"/>
              </w:rPr>
            </w:pPr>
            <w:r w:rsidRPr="00864FBA">
              <w:rPr>
                <w:rFonts w:ascii="Garamond" w:eastAsia="Times New Roman" w:hAnsi="Garamond"/>
                <w:color w:val="000000" w:themeColor="text1"/>
                <w:sz w:val="24"/>
                <w:szCs w:val="24"/>
                <w:lang w:val="sq-AL" w:eastAsia="it-IT"/>
              </w:rPr>
              <w:t xml:space="preserve">Të ardhurat e shfrytëzimit </w:t>
            </w:r>
          </w:p>
        </w:tc>
        <w:tc>
          <w:tcPr>
            <w:tcW w:w="735" w:type="pct"/>
            <w:noWrap/>
            <w:vAlign w:val="center"/>
            <w:hideMark/>
          </w:tcPr>
          <w:p w:rsidR="00864FBA" w:rsidRPr="00864FBA" w:rsidRDefault="00864FBA" w:rsidP="00864FBA">
            <w:pPr>
              <w:spacing w:after="0" w:line="240" w:lineRule="auto"/>
              <w:jc w:val="center"/>
              <w:rPr>
                <w:rFonts w:ascii="Garamond" w:eastAsia="Times New Roman" w:hAnsi="Garamond"/>
                <w:color w:val="000000" w:themeColor="text1"/>
                <w:sz w:val="24"/>
                <w:szCs w:val="24"/>
                <w:lang w:val="sq-AL" w:eastAsia="it-IT"/>
              </w:rPr>
            </w:pPr>
            <w:r w:rsidRPr="00864FBA">
              <w:rPr>
                <w:rFonts w:ascii="Garamond" w:hAnsi="Garamond"/>
                <w:color w:val="000000" w:themeColor="text1"/>
                <w:sz w:val="24"/>
                <w:szCs w:val="24"/>
                <w:shd w:val="clear" w:color="auto" w:fill="FFFFFF"/>
                <w:lang w:val="sq-AL"/>
              </w:rPr>
              <w:t xml:space="preserve">≤ </w:t>
            </w:r>
            <w:r w:rsidRPr="00864FBA">
              <w:rPr>
                <w:rFonts w:ascii="Garamond" w:eastAsia="Times New Roman" w:hAnsi="Garamond"/>
                <w:color w:val="000000" w:themeColor="text1"/>
                <w:sz w:val="24"/>
                <w:szCs w:val="24"/>
                <w:lang w:val="sq-AL" w:eastAsia="it-IT"/>
              </w:rPr>
              <w:t>1</w:t>
            </w:r>
            <w:r w:rsidRPr="00864FBA">
              <w:rPr>
                <w:rFonts w:ascii="Garamond" w:hAnsi="Garamond"/>
                <w:color w:val="000000" w:themeColor="text1"/>
                <w:sz w:val="24"/>
                <w:szCs w:val="24"/>
                <w:lang w:val="sq-AL" w:eastAsia="it-IT"/>
              </w:rPr>
              <w:t xml:space="preserve"> </w:t>
            </w:r>
            <w:r w:rsidRPr="00864FBA">
              <w:rPr>
                <w:rFonts w:ascii="Garamond" w:eastAsia="Times New Roman" w:hAnsi="Garamond"/>
                <w:color w:val="000000" w:themeColor="text1"/>
                <w:sz w:val="24"/>
                <w:szCs w:val="24"/>
                <w:lang w:val="sq-AL" w:eastAsia="it-IT"/>
              </w:rPr>
              <w:t>500</w:t>
            </w:r>
            <w:r w:rsidRPr="00864FBA">
              <w:rPr>
                <w:rFonts w:ascii="Garamond" w:hAnsi="Garamond"/>
                <w:color w:val="000000" w:themeColor="text1"/>
                <w:sz w:val="24"/>
                <w:szCs w:val="24"/>
                <w:lang w:val="sq-AL" w:eastAsia="it-IT"/>
              </w:rPr>
              <w:t xml:space="preserve"> </w:t>
            </w:r>
            <w:r w:rsidRPr="00864FBA">
              <w:rPr>
                <w:rFonts w:ascii="Garamond" w:eastAsia="Times New Roman" w:hAnsi="Garamond"/>
                <w:color w:val="000000" w:themeColor="text1"/>
                <w:sz w:val="24"/>
                <w:szCs w:val="24"/>
                <w:lang w:val="sq-AL" w:eastAsia="it-IT"/>
              </w:rPr>
              <w:t>000</w:t>
            </w:r>
            <w:r w:rsidRPr="00864FBA">
              <w:rPr>
                <w:rFonts w:ascii="Garamond" w:hAnsi="Garamond"/>
                <w:color w:val="000000" w:themeColor="text1"/>
                <w:sz w:val="24"/>
                <w:szCs w:val="24"/>
                <w:lang w:val="sq-AL" w:eastAsia="it-IT"/>
              </w:rPr>
              <w:t xml:space="preserve"> </w:t>
            </w:r>
          </w:p>
        </w:tc>
        <w:tc>
          <w:tcPr>
            <w:tcW w:w="735" w:type="pct"/>
            <w:noWrap/>
            <w:vAlign w:val="center"/>
            <w:hideMark/>
          </w:tcPr>
          <w:p w:rsidR="00864FBA" w:rsidRPr="00864FBA" w:rsidRDefault="00864FBA" w:rsidP="00864FBA">
            <w:pPr>
              <w:spacing w:after="0" w:line="240" w:lineRule="auto"/>
              <w:jc w:val="center"/>
              <w:rPr>
                <w:rFonts w:ascii="Garamond" w:eastAsia="Times New Roman" w:hAnsi="Garamond"/>
                <w:color w:val="000000" w:themeColor="text1"/>
                <w:sz w:val="24"/>
                <w:szCs w:val="24"/>
                <w:lang w:val="sq-AL" w:eastAsia="it-IT"/>
              </w:rPr>
            </w:pPr>
            <w:r w:rsidRPr="00864FBA">
              <w:rPr>
                <w:rFonts w:ascii="Garamond" w:hAnsi="Garamond"/>
                <w:color w:val="000000" w:themeColor="text1"/>
                <w:sz w:val="24"/>
                <w:szCs w:val="24"/>
                <w:shd w:val="clear" w:color="auto" w:fill="FFFFFF"/>
                <w:lang w:val="sq-AL"/>
              </w:rPr>
              <w:t xml:space="preserve">≤ </w:t>
            </w:r>
            <w:r w:rsidRPr="00864FBA">
              <w:rPr>
                <w:rFonts w:ascii="Garamond" w:eastAsia="Times New Roman" w:hAnsi="Garamond"/>
                <w:color w:val="000000" w:themeColor="text1"/>
                <w:sz w:val="24"/>
                <w:szCs w:val="24"/>
                <w:lang w:val="sq-AL" w:eastAsia="it-IT"/>
              </w:rPr>
              <w:t xml:space="preserve">2 500 000 </w:t>
            </w:r>
          </w:p>
        </w:tc>
        <w:tc>
          <w:tcPr>
            <w:tcW w:w="736" w:type="pct"/>
            <w:noWrap/>
            <w:vAlign w:val="center"/>
            <w:hideMark/>
          </w:tcPr>
          <w:p w:rsidR="00864FBA" w:rsidRPr="00864FBA" w:rsidRDefault="00864FBA" w:rsidP="00864FBA">
            <w:pPr>
              <w:spacing w:after="0" w:line="240" w:lineRule="auto"/>
              <w:jc w:val="center"/>
              <w:rPr>
                <w:rFonts w:ascii="Garamond" w:eastAsia="Times New Roman" w:hAnsi="Garamond"/>
                <w:color w:val="000000" w:themeColor="text1"/>
                <w:sz w:val="24"/>
                <w:szCs w:val="24"/>
                <w:lang w:val="sq-AL" w:eastAsia="it-IT"/>
              </w:rPr>
            </w:pPr>
            <w:r w:rsidRPr="00864FBA">
              <w:rPr>
                <w:rFonts w:ascii="Garamond" w:hAnsi="Garamond"/>
                <w:color w:val="000000" w:themeColor="text1"/>
                <w:sz w:val="24"/>
                <w:szCs w:val="24"/>
                <w:shd w:val="clear" w:color="auto" w:fill="FFFFFF"/>
                <w:lang w:val="sq-AL"/>
              </w:rPr>
              <w:t xml:space="preserve">≤ </w:t>
            </w:r>
            <w:r w:rsidRPr="00864FBA">
              <w:rPr>
                <w:rFonts w:ascii="Garamond" w:eastAsia="Times New Roman" w:hAnsi="Garamond"/>
                <w:color w:val="000000" w:themeColor="text1"/>
                <w:sz w:val="24"/>
                <w:szCs w:val="24"/>
                <w:lang w:val="sq-AL" w:eastAsia="it-IT"/>
              </w:rPr>
              <w:t xml:space="preserve">4 000 000 </w:t>
            </w:r>
          </w:p>
        </w:tc>
        <w:tc>
          <w:tcPr>
            <w:tcW w:w="736" w:type="pct"/>
            <w:noWrap/>
            <w:vAlign w:val="center"/>
            <w:hideMark/>
          </w:tcPr>
          <w:p w:rsidR="00864FBA" w:rsidRPr="00864FBA" w:rsidRDefault="00864FBA" w:rsidP="00864FBA">
            <w:pPr>
              <w:spacing w:after="0" w:line="240" w:lineRule="auto"/>
              <w:jc w:val="center"/>
              <w:rPr>
                <w:rFonts w:ascii="Garamond" w:eastAsia="Times New Roman" w:hAnsi="Garamond"/>
                <w:color w:val="000000" w:themeColor="text1"/>
                <w:sz w:val="24"/>
                <w:szCs w:val="24"/>
                <w:lang w:val="sq-AL" w:eastAsia="it-IT"/>
              </w:rPr>
            </w:pPr>
            <w:r w:rsidRPr="00864FBA">
              <w:rPr>
                <w:rFonts w:ascii="Garamond" w:hAnsi="Garamond"/>
                <w:color w:val="000000" w:themeColor="text1"/>
                <w:sz w:val="24"/>
                <w:szCs w:val="24"/>
                <w:shd w:val="clear" w:color="auto" w:fill="FFFFFF"/>
                <w:lang w:val="sq-AL"/>
              </w:rPr>
              <w:t xml:space="preserve">≤ </w:t>
            </w:r>
            <w:r w:rsidRPr="00864FBA">
              <w:rPr>
                <w:rFonts w:ascii="Garamond" w:eastAsia="Times New Roman" w:hAnsi="Garamond"/>
                <w:color w:val="000000" w:themeColor="text1"/>
                <w:sz w:val="24"/>
                <w:szCs w:val="24"/>
                <w:lang w:val="sq-AL" w:eastAsia="it-IT"/>
              </w:rPr>
              <w:t xml:space="preserve">5 000 000 </w:t>
            </w:r>
          </w:p>
        </w:tc>
      </w:tr>
      <w:tr w:rsidR="00864FBA" w:rsidRPr="00864FBA" w:rsidTr="00D47E99">
        <w:trPr>
          <w:trHeight w:val="345"/>
          <w:jc w:val="center"/>
        </w:trPr>
        <w:tc>
          <w:tcPr>
            <w:tcW w:w="2057" w:type="pct"/>
            <w:noWrap/>
            <w:vAlign w:val="center"/>
            <w:hideMark/>
          </w:tcPr>
          <w:p w:rsidR="00864FBA" w:rsidRPr="00864FBA" w:rsidRDefault="00864FBA" w:rsidP="00864FBA">
            <w:pPr>
              <w:spacing w:after="0" w:line="240" w:lineRule="auto"/>
              <w:jc w:val="left"/>
              <w:rPr>
                <w:rFonts w:ascii="Garamond" w:eastAsia="Times New Roman" w:hAnsi="Garamond"/>
                <w:color w:val="000000" w:themeColor="text1"/>
                <w:sz w:val="24"/>
                <w:szCs w:val="24"/>
                <w:lang w:val="sq-AL" w:eastAsia="it-IT"/>
              </w:rPr>
            </w:pPr>
            <w:r w:rsidRPr="00864FBA">
              <w:rPr>
                <w:rFonts w:ascii="Garamond" w:eastAsia="Times New Roman" w:hAnsi="Garamond"/>
                <w:color w:val="000000" w:themeColor="text1"/>
                <w:sz w:val="24"/>
                <w:szCs w:val="24"/>
                <w:lang w:val="sq-AL" w:eastAsia="it-IT"/>
              </w:rPr>
              <w:t>Numri i punonjësve</w:t>
            </w:r>
          </w:p>
        </w:tc>
        <w:tc>
          <w:tcPr>
            <w:tcW w:w="735" w:type="pct"/>
            <w:noWrap/>
            <w:vAlign w:val="center"/>
            <w:hideMark/>
          </w:tcPr>
          <w:p w:rsidR="00864FBA" w:rsidRPr="00864FBA" w:rsidRDefault="00864FBA" w:rsidP="00864FBA">
            <w:pPr>
              <w:spacing w:after="0" w:line="240" w:lineRule="auto"/>
              <w:jc w:val="center"/>
              <w:rPr>
                <w:rFonts w:ascii="Garamond" w:eastAsia="Times New Roman" w:hAnsi="Garamond"/>
                <w:i/>
                <w:color w:val="000000" w:themeColor="text1"/>
                <w:sz w:val="24"/>
                <w:szCs w:val="24"/>
                <w:lang w:val="sq-AL" w:eastAsia="it-IT"/>
              </w:rPr>
            </w:pPr>
            <w:r w:rsidRPr="00864FBA">
              <w:rPr>
                <w:rFonts w:ascii="Garamond" w:hAnsi="Garamond"/>
                <w:color w:val="000000" w:themeColor="text1"/>
                <w:sz w:val="24"/>
                <w:szCs w:val="24"/>
                <w:shd w:val="clear" w:color="auto" w:fill="FFFFFF"/>
                <w:lang w:val="sq-AL"/>
              </w:rPr>
              <w:t xml:space="preserve">≤ </w:t>
            </w:r>
            <w:r w:rsidRPr="00864FBA">
              <w:rPr>
                <w:rFonts w:ascii="Garamond" w:eastAsia="Times New Roman" w:hAnsi="Garamond"/>
                <w:i/>
                <w:color w:val="000000" w:themeColor="text1"/>
                <w:sz w:val="24"/>
                <w:szCs w:val="24"/>
                <w:lang w:val="sq-AL" w:eastAsia="it-IT"/>
              </w:rPr>
              <w:t>250</w:t>
            </w:r>
          </w:p>
        </w:tc>
        <w:tc>
          <w:tcPr>
            <w:tcW w:w="735" w:type="pct"/>
            <w:noWrap/>
            <w:vAlign w:val="center"/>
            <w:hideMark/>
          </w:tcPr>
          <w:p w:rsidR="00864FBA" w:rsidRPr="00864FBA" w:rsidRDefault="00864FBA" w:rsidP="00864FBA">
            <w:pPr>
              <w:spacing w:after="0" w:line="240" w:lineRule="auto"/>
              <w:jc w:val="center"/>
              <w:rPr>
                <w:rFonts w:ascii="Garamond" w:eastAsia="Times New Roman" w:hAnsi="Garamond"/>
                <w:i/>
                <w:color w:val="000000" w:themeColor="text1"/>
                <w:sz w:val="24"/>
                <w:szCs w:val="24"/>
                <w:lang w:val="sq-AL" w:eastAsia="it-IT"/>
              </w:rPr>
            </w:pPr>
            <w:r w:rsidRPr="00864FBA">
              <w:rPr>
                <w:rFonts w:ascii="Garamond" w:hAnsi="Garamond"/>
                <w:color w:val="000000" w:themeColor="text1"/>
                <w:sz w:val="24"/>
                <w:szCs w:val="24"/>
                <w:shd w:val="clear" w:color="auto" w:fill="FFFFFF"/>
                <w:lang w:val="sq-AL"/>
              </w:rPr>
              <w:t xml:space="preserve">≤ </w:t>
            </w:r>
            <w:r w:rsidRPr="00864FBA">
              <w:rPr>
                <w:rFonts w:ascii="Garamond" w:eastAsia="Times New Roman" w:hAnsi="Garamond"/>
                <w:i/>
                <w:color w:val="000000" w:themeColor="text1"/>
                <w:sz w:val="24"/>
                <w:szCs w:val="24"/>
                <w:lang w:val="sq-AL" w:eastAsia="it-IT"/>
              </w:rPr>
              <w:t>250</w:t>
            </w:r>
          </w:p>
        </w:tc>
        <w:tc>
          <w:tcPr>
            <w:tcW w:w="736" w:type="pct"/>
            <w:noWrap/>
            <w:vAlign w:val="center"/>
            <w:hideMark/>
          </w:tcPr>
          <w:p w:rsidR="00864FBA" w:rsidRPr="00864FBA" w:rsidRDefault="00864FBA" w:rsidP="00864FBA">
            <w:pPr>
              <w:spacing w:after="0" w:line="240" w:lineRule="auto"/>
              <w:jc w:val="center"/>
              <w:rPr>
                <w:rFonts w:ascii="Garamond" w:eastAsia="Times New Roman" w:hAnsi="Garamond"/>
                <w:i/>
                <w:color w:val="000000" w:themeColor="text1"/>
                <w:sz w:val="24"/>
                <w:szCs w:val="24"/>
                <w:lang w:val="sq-AL" w:eastAsia="it-IT"/>
              </w:rPr>
            </w:pPr>
            <w:r w:rsidRPr="00864FBA">
              <w:rPr>
                <w:rFonts w:ascii="Garamond" w:hAnsi="Garamond"/>
                <w:color w:val="000000" w:themeColor="text1"/>
                <w:sz w:val="24"/>
                <w:szCs w:val="24"/>
                <w:shd w:val="clear" w:color="auto" w:fill="FFFFFF"/>
                <w:lang w:val="sq-AL"/>
              </w:rPr>
              <w:t xml:space="preserve">≤ </w:t>
            </w:r>
            <w:r w:rsidRPr="00864FBA">
              <w:rPr>
                <w:rFonts w:ascii="Garamond" w:eastAsia="Times New Roman" w:hAnsi="Garamond"/>
                <w:i/>
                <w:color w:val="000000" w:themeColor="text1"/>
                <w:sz w:val="24"/>
                <w:szCs w:val="24"/>
                <w:lang w:val="sq-AL" w:eastAsia="it-IT"/>
              </w:rPr>
              <w:t>250</w:t>
            </w:r>
          </w:p>
        </w:tc>
        <w:tc>
          <w:tcPr>
            <w:tcW w:w="736" w:type="pct"/>
            <w:noWrap/>
            <w:vAlign w:val="center"/>
            <w:hideMark/>
          </w:tcPr>
          <w:p w:rsidR="00864FBA" w:rsidRPr="00864FBA" w:rsidRDefault="00864FBA" w:rsidP="00864FBA">
            <w:pPr>
              <w:spacing w:after="0" w:line="240" w:lineRule="auto"/>
              <w:jc w:val="center"/>
              <w:rPr>
                <w:rFonts w:ascii="Garamond" w:eastAsia="Times New Roman" w:hAnsi="Garamond"/>
                <w:i/>
                <w:color w:val="000000" w:themeColor="text1"/>
                <w:sz w:val="24"/>
                <w:szCs w:val="24"/>
                <w:lang w:val="sq-AL" w:eastAsia="it-IT"/>
              </w:rPr>
            </w:pPr>
            <w:r w:rsidRPr="00864FBA">
              <w:rPr>
                <w:rFonts w:ascii="Garamond" w:hAnsi="Garamond"/>
                <w:color w:val="000000" w:themeColor="text1"/>
                <w:sz w:val="24"/>
                <w:szCs w:val="24"/>
                <w:shd w:val="clear" w:color="auto" w:fill="FFFFFF"/>
                <w:lang w:val="sq-AL"/>
              </w:rPr>
              <w:t xml:space="preserve">≤ </w:t>
            </w:r>
            <w:r w:rsidRPr="00864FBA">
              <w:rPr>
                <w:rFonts w:ascii="Garamond" w:eastAsia="Times New Roman" w:hAnsi="Garamond"/>
                <w:i/>
                <w:color w:val="000000" w:themeColor="text1"/>
                <w:sz w:val="24"/>
                <w:szCs w:val="24"/>
                <w:lang w:val="sq-AL" w:eastAsia="it-IT"/>
              </w:rPr>
              <w:t>250</w:t>
            </w:r>
          </w:p>
        </w:tc>
      </w:tr>
      <w:tr w:rsidR="00864FBA" w:rsidRPr="00864FBA" w:rsidTr="00D47E99">
        <w:trPr>
          <w:trHeight w:val="345"/>
          <w:jc w:val="center"/>
        </w:trPr>
        <w:tc>
          <w:tcPr>
            <w:tcW w:w="2057" w:type="pct"/>
            <w:shd w:val="clear" w:color="E8E0ED" w:fill="E8E0ED"/>
            <w:noWrap/>
            <w:vAlign w:val="center"/>
            <w:hideMark/>
          </w:tcPr>
          <w:p w:rsidR="00864FBA" w:rsidRPr="00864FBA" w:rsidRDefault="00864FBA" w:rsidP="00864FBA">
            <w:pPr>
              <w:spacing w:after="0" w:line="240" w:lineRule="auto"/>
              <w:jc w:val="left"/>
              <w:rPr>
                <w:rFonts w:ascii="Garamond" w:eastAsia="Times New Roman" w:hAnsi="Garamond"/>
                <w:b/>
                <w:bCs/>
                <w:color w:val="000000" w:themeColor="text1"/>
                <w:sz w:val="24"/>
                <w:szCs w:val="24"/>
                <w:lang w:val="sq-AL" w:eastAsia="it-IT"/>
              </w:rPr>
            </w:pPr>
            <w:r w:rsidRPr="00864FBA">
              <w:rPr>
                <w:rFonts w:ascii="Garamond" w:eastAsia="Times New Roman" w:hAnsi="Garamond"/>
                <w:b/>
                <w:bCs/>
                <w:color w:val="000000" w:themeColor="text1"/>
                <w:sz w:val="24"/>
                <w:szCs w:val="24"/>
                <w:lang w:val="sq-AL" w:eastAsia="it-IT"/>
              </w:rPr>
              <w:t>Grupe të mëdha</w:t>
            </w:r>
          </w:p>
        </w:tc>
        <w:tc>
          <w:tcPr>
            <w:tcW w:w="735" w:type="pct"/>
            <w:shd w:val="clear" w:color="E8E0ED" w:fill="E8E0ED"/>
            <w:noWrap/>
          </w:tcPr>
          <w:p w:rsidR="00864FBA" w:rsidRPr="00864FBA" w:rsidRDefault="00864FBA" w:rsidP="00864FBA">
            <w:pPr>
              <w:spacing w:after="0" w:line="240" w:lineRule="auto"/>
              <w:jc w:val="center"/>
              <w:rPr>
                <w:rFonts w:ascii="Garamond" w:eastAsia="Times New Roman" w:hAnsi="Garamond"/>
                <w:b/>
                <w:bCs/>
                <w:color w:val="000000" w:themeColor="text1"/>
                <w:sz w:val="24"/>
                <w:szCs w:val="24"/>
                <w:lang w:val="sq-AL" w:eastAsia="it-IT"/>
              </w:rPr>
            </w:pPr>
          </w:p>
        </w:tc>
        <w:tc>
          <w:tcPr>
            <w:tcW w:w="735" w:type="pct"/>
            <w:shd w:val="clear" w:color="E8E0ED" w:fill="E8E0ED"/>
            <w:noWrap/>
          </w:tcPr>
          <w:p w:rsidR="00864FBA" w:rsidRPr="00864FBA" w:rsidRDefault="00864FBA" w:rsidP="00864FBA">
            <w:pPr>
              <w:spacing w:after="0" w:line="240" w:lineRule="auto"/>
              <w:jc w:val="center"/>
              <w:rPr>
                <w:rFonts w:ascii="Garamond" w:eastAsia="Times New Roman" w:hAnsi="Garamond"/>
                <w:color w:val="000000" w:themeColor="text1"/>
                <w:sz w:val="24"/>
                <w:szCs w:val="24"/>
                <w:lang w:val="sq-AL" w:eastAsia="it-IT"/>
              </w:rPr>
            </w:pPr>
          </w:p>
        </w:tc>
        <w:tc>
          <w:tcPr>
            <w:tcW w:w="736" w:type="pct"/>
            <w:shd w:val="clear" w:color="E8E0ED" w:fill="E8E0ED"/>
            <w:noWrap/>
          </w:tcPr>
          <w:p w:rsidR="00864FBA" w:rsidRPr="00864FBA" w:rsidRDefault="00864FBA" w:rsidP="00864FBA">
            <w:pPr>
              <w:spacing w:after="0" w:line="240" w:lineRule="auto"/>
              <w:jc w:val="center"/>
              <w:rPr>
                <w:rFonts w:ascii="Garamond" w:eastAsia="Times New Roman" w:hAnsi="Garamond"/>
                <w:color w:val="000000" w:themeColor="text1"/>
                <w:sz w:val="24"/>
                <w:szCs w:val="24"/>
                <w:lang w:val="sq-AL" w:eastAsia="it-IT"/>
              </w:rPr>
            </w:pPr>
          </w:p>
        </w:tc>
        <w:tc>
          <w:tcPr>
            <w:tcW w:w="736" w:type="pct"/>
            <w:shd w:val="clear" w:color="E8E0ED" w:fill="E8E0ED"/>
            <w:noWrap/>
          </w:tcPr>
          <w:p w:rsidR="00864FBA" w:rsidRPr="00864FBA" w:rsidRDefault="00864FBA" w:rsidP="00864FBA">
            <w:pPr>
              <w:spacing w:after="0" w:line="240" w:lineRule="auto"/>
              <w:jc w:val="center"/>
              <w:rPr>
                <w:rFonts w:ascii="Garamond" w:eastAsia="Times New Roman" w:hAnsi="Garamond"/>
                <w:color w:val="000000" w:themeColor="text1"/>
                <w:sz w:val="24"/>
                <w:szCs w:val="24"/>
                <w:lang w:val="sq-AL" w:eastAsia="it-IT"/>
              </w:rPr>
            </w:pPr>
          </w:p>
        </w:tc>
      </w:tr>
      <w:tr w:rsidR="00864FBA" w:rsidRPr="00864FBA" w:rsidTr="00D47E99">
        <w:trPr>
          <w:trHeight w:val="345"/>
          <w:jc w:val="center"/>
        </w:trPr>
        <w:tc>
          <w:tcPr>
            <w:tcW w:w="2057" w:type="pct"/>
            <w:noWrap/>
            <w:vAlign w:val="center"/>
            <w:hideMark/>
          </w:tcPr>
          <w:p w:rsidR="00864FBA" w:rsidRPr="00864FBA" w:rsidRDefault="00864FBA" w:rsidP="00864FBA">
            <w:pPr>
              <w:spacing w:after="0" w:line="240" w:lineRule="auto"/>
              <w:jc w:val="left"/>
              <w:rPr>
                <w:rFonts w:ascii="Garamond" w:eastAsia="Times New Roman" w:hAnsi="Garamond"/>
                <w:color w:val="000000" w:themeColor="text1"/>
                <w:sz w:val="24"/>
                <w:szCs w:val="24"/>
                <w:lang w:val="sq-AL" w:eastAsia="it-IT"/>
              </w:rPr>
            </w:pPr>
            <w:r w:rsidRPr="00864FBA">
              <w:rPr>
                <w:rFonts w:ascii="Garamond" w:eastAsia="Times New Roman" w:hAnsi="Garamond"/>
                <w:color w:val="000000" w:themeColor="text1"/>
                <w:sz w:val="24"/>
                <w:szCs w:val="24"/>
                <w:lang w:val="sq-AL" w:eastAsia="it-IT"/>
              </w:rPr>
              <w:t>Aktivet</w:t>
            </w:r>
          </w:p>
        </w:tc>
        <w:tc>
          <w:tcPr>
            <w:tcW w:w="735" w:type="pct"/>
            <w:noWrap/>
            <w:vAlign w:val="center"/>
            <w:hideMark/>
          </w:tcPr>
          <w:p w:rsidR="00864FBA" w:rsidRPr="00864FBA" w:rsidRDefault="00864FBA" w:rsidP="00864FBA">
            <w:pPr>
              <w:spacing w:after="0" w:line="240" w:lineRule="auto"/>
              <w:jc w:val="center"/>
              <w:rPr>
                <w:rFonts w:ascii="Garamond" w:eastAsia="Times New Roman" w:hAnsi="Garamond"/>
                <w:color w:val="000000" w:themeColor="text1"/>
                <w:sz w:val="24"/>
                <w:szCs w:val="24"/>
                <w:lang w:val="sq-AL" w:eastAsia="it-IT"/>
              </w:rPr>
            </w:pPr>
            <w:r w:rsidRPr="00864FBA">
              <w:rPr>
                <w:rFonts w:ascii="Garamond" w:hAnsi="Garamond"/>
                <w:color w:val="000000" w:themeColor="text1"/>
                <w:sz w:val="24"/>
                <w:szCs w:val="24"/>
                <w:shd w:val="clear" w:color="auto" w:fill="FFFFFF"/>
                <w:lang w:val="sq-AL"/>
              </w:rPr>
              <w:t xml:space="preserve">≥ </w:t>
            </w:r>
            <w:r w:rsidRPr="00864FBA">
              <w:rPr>
                <w:rFonts w:ascii="Garamond" w:eastAsia="Times New Roman" w:hAnsi="Garamond"/>
                <w:color w:val="000000" w:themeColor="text1"/>
                <w:sz w:val="24"/>
                <w:szCs w:val="24"/>
                <w:lang w:val="sq-AL" w:eastAsia="it-IT"/>
              </w:rPr>
              <w:t xml:space="preserve">750 000 </w:t>
            </w:r>
          </w:p>
        </w:tc>
        <w:tc>
          <w:tcPr>
            <w:tcW w:w="735" w:type="pct"/>
            <w:noWrap/>
            <w:vAlign w:val="center"/>
            <w:hideMark/>
          </w:tcPr>
          <w:p w:rsidR="00864FBA" w:rsidRPr="00864FBA" w:rsidRDefault="00864FBA" w:rsidP="00864FBA">
            <w:pPr>
              <w:spacing w:after="0" w:line="240" w:lineRule="auto"/>
              <w:jc w:val="center"/>
              <w:rPr>
                <w:rFonts w:ascii="Garamond" w:eastAsia="Times New Roman" w:hAnsi="Garamond"/>
                <w:color w:val="000000" w:themeColor="text1"/>
                <w:sz w:val="24"/>
                <w:szCs w:val="24"/>
                <w:lang w:val="sq-AL" w:eastAsia="it-IT"/>
              </w:rPr>
            </w:pPr>
            <w:r w:rsidRPr="00864FBA">
              <w:rPr>
                <w:rFonts w:ascii="Garamond" w:hAnsi="Garamond"/>
                <w:color w:val="000000" w:themeColor="text1"/>
                <w:sz w:val="24"/>
                <w:szCs w:val="24"/>
                <w:shd w:val="clear" w:color="auto" w:fill="FFFFFF"/>
                <w:lang w:val="sq-AL"/>
              </w:rPr>
              <w:t xml:space="preserve">≥ </w:t>
            </w:r>
            <w:r w:rsidRPr="00864FBA">
              <w:rPr>
                <w:rFonts w:ascii="Garamond" w:eastAsia="Times New Roman" w:hAnsi="Garamond"/>
                <w:color w:val="000000" w:themeColor="text1"/>
                <w:sz w:val="24"/>
                <w:szCs w:val="24"/>
                <w:lang w:val="sq-AL" w:eastAsia="it-IT"/>
              </w:rPr>
              <w:t xml:space="preserve">1 250 000 </w:t>
            </w:r>
          </w:p>
        </w:tc>
        <w:tc>
          <w:tcPr>
            <w:tcW w:w="736" w:type="pct"/>
            <w:noWrap/>
            <w:vAlign w:val="center"/>
            <w:hideMark/>
          </w:tcPr>
          <w:p w:rsidR="00864FBA" w:rsidRPr="00864FBA" w:rsidRDefault="00864FBA" w:rsidP="00864FBA">
            <w:pPr>
              <w:spacing w:after="0" w:line="240" w:lineRule="auto"/>
              <w:jc w:val="center"/>
              <w:rPr>
                <w:rFonts w:ascii="Garamond" w:eastAsia="Times New Roman" w:hAnsi="Garamond"/>
                <w:color w:val="000000" w:themeColor="text1"/>
                <w:sz w:val="24"/>
                <w:szCs w:val="24"/>
                <w:lang w:val="sq-AL" w:eastAsia="it-IT"/>
              </w:rPr>
            </w:pPr>
            <w:r w:rsidRPr="00864FBA">
              <w:rPr>
                <w:rFonts w:ascii="Garamond" w:hAnsi="Garamond"/>
                <w:color w:val="000000" w:themeColor="text1"/>
                <w:sz w:val="24"/>
                <w:szCs w:val="24"/>
                <w:shd w:val="clear" w:color="auto" w:fill="FFFFFF"/>
                <w:lang w:val="sq-AL"/>
              </w:rPr>
              <w:t xml:space="preserve">≥ </w:t>
            </w:r>
            <w:r w:rsidRPr="00864FBA">
              <w:rPr>
                <w:rFonts w:ascii="Garamond" w:eastAsia="Times New Roman" w:hAnsi="Garamond"/>
                <w:color w:val="000000" w:themeColor="text1"/>
                <w:sz w:val="24"/>
                <w:szCs w:val="24"/>
                <w:lang w:val="sq-AL" w:eastAsia="it-IT"/>
              </w:rPr>
              <w:t xml:space="preserve">2 000 000 </w:t>
            </w:r>
          </w:p>
        </w:tc>
        <w:tc>
          <w:tcPr>
            <w:tcW w:w="736" w:type="pct"/>
            <w:noWrap/>
            <w:vAlign w:val="center"/>
            <w:hideMark/>
          </w:tcPr>
          <w:p w:rsidR="00864FBA" w:rsidRPr="00864FBA" w:rsidRDefault="00864FBA" w:rsidP="00864FBA">
            <w:pPr>
              <w:spacing w:after="0" w:line="240" w:lineRule="auto"/>
              <w:jc w:val="center"/>
              <w:rPr>
                <w:rFonts w:ascii="Garamond" w:eastAsia="Times New Roman" w:hAnsi="Garamond"/>
                <w:color w:val="000000" w:themeColor="text1"/>
                <w:sz w:val="24"/>
                <w:szCs w:val="24"/>
                <w:lang w:val="sq-AL" w:eastAsia="it-IT"/>
              </w:rPr>
            </w:pPr>
            <w:r w:rsidRPr="00864FBA">
              <w:rPr>
                <w:rFonts w:ascii="Garamond" w:hAnsi="Garamond"/>
                <w:color w:val="000000" w:themeColor="text1"/>
                <w:sz w:val="24"/>
                <w:szCs w:val="24"/>
                <w:shd w:val="clear" w:color="auto" w:fill="FFFFFF"/>
                <w:lang w:val="sq-AL"/>
              </w:rPr>
              <w:t xml:space="preserve">≥ </w:t>
            </w:r>
            <w:r w:rsidRPr="00864FBA">
              <w:rPr>
                <w:rFonts w:ascii="Garamond" w:eastAsia="Times New Roman" w:hAnsi="Garamond"/>
                <w:color w:val="000000" w:themeColor="text1"/>
                <w:sz w:val="24"/>
                <w:szCs w:val="24"/>
                <w:lang w:val="sq-AL" w:eastAsia="it-IT"/>
              </w:rPr>
              <w:t xml:space="preserve">2 500 000 </w:t>
            </w:r>
          </w:p>
        </w:tc>
      </w:tr>
      <w:tr w:rsidR="00864FBA" w:rsidRPr="00864FBA" w:rsidTr="00D47E99">
        <w:trPr>
          <w:trHeight w:val="345"/>
          <w:jc w:val="center"/>
        </w:trPr>
        <w:tc>
          <w:tcPr>
            <w:tcW w:w="2057" w:type="pct"/>
            <w:noWrap/>
            <w:vAlign w:val="center"/>
            <w:hideMark/>
          </w:tcPr>
          <w:p w:rsidR="00864FBA" w:rsidRPr="00864FBA" w:rsidRDefault="00864FBA" w:rsidP="00864FBA">
            <w:pPr>
              <w:spacing w:after="0" w:line="240" w:lineRule="auto"/>
              <w:jc w:val="left"/>
              <w:rPr>
                <w:rFonts w:ascii="Garamond" w:eastAsia="Times New Roman" w:hAnsi="Garamond"/>
                <w:color w:val="000000" w:themeColor="text1"/>
                <w:sz w:val="24"/>
                <w:szCs w:val="24"/>
                <w:lang w:val="sq-AL" w:eastAsia="it-IT"/>
              </w:rPr>
            </w:pPr>
            <w:r w:rsidRPr="00864FBA">
              <w:rPr>
                <w:rFonts w:ascii="Garamond" w:eastAsia="Times New Roman" w:hAnsi="Garamond"/>
                <w:color w:val="000000" w:themeColor="text1"/>
                <w:sz w:val="24"/>
                <w:szCs w:val="24"/>
                <w:lang w:val="sq-AL" w:eastAsia="it-IT"/>
              </w:rPr>
              <w:t xml:space="preserve">Të ardhurat e shfrytëzimit </w:t>
            </w:r>
          </w:p>
        </w:tc>
        <w:tc>
          <w:tcPr>
            <w:tcW w:w="735" w:type="pct"/>
            <w:noWrap/>
            <w:vAlign w:val="center"/>
            <w:hideMark/>
          </w:tcPr>
          <w:p w:rsidR="00864FBA" w:rsidRPr="00864FBA" w:rsidRDefault="00864FBA" w:rsidP="00864FBA">
            <w:pPr>
              <w:spacing w:after="0" w:line="240" w:lineRule="auto"/>
              <w:jc w:val="center"/>
              <w:rPr>
                <w:rFonts w:ascii="Garamond" w:eastAsia="Times New Roman" w:hAnsi="Garamond"/>
                <w:color w:val="000000" w:themeColor="text1"/>
                <w:sz w:val="24"/>
                <w:szCs w:val="24"/>
                <w:lang w:val="sq-AL" w:eastAsia="it-IT"/>
              </w:rPr>
            </w:pPr>
            <w:r w:rsidRPr="00864FBA">
              <w:rPr>
                <w:rFonts w:ascii="Garamond" w:hAnsi="Garamond"/>
                <w:color w:val="000000" w:themeColor="text1"/>
                <w:sz w:val="24"/>
                <w:szCs w:val="24"/>
                <w:shd w:val="clear" w:color="auto" w:fill="FFFFFF"/>
                <w:lang w:val="sq-AL"/>
              </w:rPr>
              <w:t xml:space="preserve">≥ </w:t>
            </w:r>
            <w:r w:rsidRPr="00864FBA">
              <w:rPr>
                <w:rFonts w:ascii="Garamond" w:eastAsia="Times New Roman" w:hAnsi="Garamond"/>
                <w:color w:val="000000" w:themeColor="text1"/>
                <w:sz w:val="24"/>
                <w:szCs w:val="24"/>
                <w:lang w:val="sq-AL" w:eastAsia="it-IT"/>
              </w:rPr>
              <w:t>1</w:t>
            </w:r>
            <w:r w:rsidRPr="00864FBA">
              <w:rPr>
                <w:rFonts w:ascii="Garamond" w:hAnsi="Garamond"/>
                <w:color w:val="000000" w:themeColor="text1"/>
                <w:sz w:val="24"/>
                <w:szCs w:val="24"/>
                <w:lang w:val="sq-AL" w:eastAsia="it-IT"/>
              </w:rPr>
              <w:t xml:space="preserve"> </w:t>
            </w:r>
            <w:r w:rsidRPr="00864FBA">
              <w:rPr>
                <w:rFonts w:ascii="Garamond" w:eastAsia="Times New Roman" w:hAnsi="Garamond"/>
                <w:color w:val="000000" w:themeColor="text1"/>
                <w:sz w:val="24"/>
                <w:szCs w:val="24"/>
                <w:lang w:val="sq-AL" w:eastAsia="it-IT"/>
              </w:rPr>
              <w:t>500</w:t>
            </w:r>
            <w:r w:rsidRPr="00864FBA">
              <w:rPr>
                <w:rFonts w:ascii="Garamond" w:hAnsi="Garamond"/>
                <w:color w:val="000000" w:themeColor="text1"/>
                <w:sz w:val="24"/>
                <w:szCs w:val="24"/>
                <w:lang w:val="sq-AL" w:eastAsia="it-IT"/>
              </w:rPr>
              <w:t xml:space="preserve"> </w:t>
            </w:r>
            <w:r w:rsidRPr="00864FBA">
              <w:rPr>
                <w:rFonts w:ascii="Garamond" w:eastAsia="Times New Roman" w:hAnsi="Garamond"/>
                <w:color w:val="000000" w:themeColor="text1"/>
                <w:sz w:val="24"/>
                <w:szCs w:val="24"/>
                <w:lang w:val="sq-AL" w:eastAsia="it-IT"/>
              </w:rPr>
              <w:t>000</w:t>
            </w:r>
            <w:r w:rsidRPr="00864FBA">
              <w:rPr>
                <w:rFonts w:ascii="Garamond" w:hAnsi="Garamond"/>
                <w:color w:val="000000" w:themeColor="text1"/>
                <w:sz w:val="24"/>
                <w:szCs w:val="24"/>
                <w:lang w:val="sq-AL" w:eastAsia="it-IT"/>
              </w:rPr>
              <w:t xml:space="preserve"> </w:t>
            </w:r>
          </w:p>
        </w:tc>
        <w:tc>
          <w:tcPr>
            <w:tcW w:w="735" w:type="pct"/>
            <w:noWrap/>
            <w:vAlign w:val="center"/>
            <w:hideMark/>
          </w:tcPr>
          <w:p w:rsidR="00864FBA" w:rsidRPr="00864FBA" w:rsidRDefault="00864FBA" w:rsidP="00864FBA">
            <w:pPr>
              <w:spacing w:after="0" w:line="240" w:lineRule="auto"/>
              <w:jc w:val="center"/>
              <w:rPr>
                <w:rFonts w:ascii="Garamond" w:eastAsia="Times New Roman" w:hAnsi="Garamond"/>
                <w:color w:val="000000" w:themeColor="text1"/>
                <w:sz w:val="24"/>
                <w:szCs w:val="24"/>
                <w:lang w:val="sq-AL" w:eastAsia="it-IT"/>
              </w:rPr>
            </w:pPr>
            <w:r w:rsidRPr="00864FBA">
              <w:rPr>
                <w:rFonts w:ascii="Garamond" w:hAnsi="Garamond"/>
                <w:color w:val="000000" w:themeColor="text1"/>
                <w:sz w:val="24"/>
                <w:szCs w:val="24"/>
                <w:shd w:val="clear" w:color="auto" w:fill="FFFFFF"/>
                <w:lang w:val="sq-AL"/>
              </w:rPr>
              <w:t xml:space="preserve">≥ </w:t>
            </w:r>
            <w:r w:rsidRPr="00864FBA">
              <w:rPr>
                <w:rFonts w:ascii="Garamond" w:eastAsia="Times New Roman" w:hAnsi="Garamond"/>
                <w:color w:val="000000" w:themeColor="text1"/>
                <w:sz w:val="24"/>
                <w:szCs w:val="24"/>
                <w:lang w:val="sq-AL" w:eastAsia="it-IT"/>
              </w:rPr>
              <w:t xml:space="preserve">2 500 000 </w:t>
            </w:r>
          </w:p>
        </w:tc>
        <w:tc>
          <w:tcPr>
            <w:tcW w:w="736" w:type="pct"/>
            <w:noWrap/>
            <w:vAlign w:val="center"/>
            <w:hideMark/>
          </w:tcPr>
          <w:p w:rsidR="00864FBA" w:rsidRPr="00864FBA" w:rsidRDefault="00864FBA" w:rsidP="00864FBA">
            <w:pPr>
              <w:spacing w:after="0" w:line="240" w:lineRule="auto"/>
              <w:jc w:val="center"/>
              <w:rPr>
                <w:rFonts w:ascii="Garamond" w:eastAsia="Times New Roman" w:hAnsi="Garamond"/>
                <w:color w:val="000000" w:themeColor="text1"/>
                <w:sz w:val="24"/>
                <w:szCs w:val="24"/>
                <w:lang w:val="sq-AL" w:eastAsia="it-IT"/>
              </w:rPr>
            </w:pPr>
            <w:r w:rsidRPr="00864FBA">
              <w:rPr>
                <w:rFonts w:ascii="Garamond" w:hAnsi="Garamond"/>
                <w:color w:val="000000" w:themeColor="text1"/>
                <w:sz w:val="24"/>
                <w:szCs w:val="24"/>
                <w:shd w:val="clear" w:color="auto" w:fill="FFFFFF"/>
                <w:lang w:val="sq-AL"/>
              </w:rPr>
              <w:t xml:space="preserve">≥ </w:t>
            </w:r>
            <w:r w:rsidRPr="00864FBA">
              <w:rPr>
                <w:rFonts w:ascii="Garamond" w:eastAsia="Times New Roman" w:hAnsi="Garamond"/>
                <w:color w:val="000000" w:themeColor="text1"/>
                <w:sz w:val="24"/>
                <w:szCs w:val="24"/>
                <w:lang w:val="sq-AL" w:eastAsia="it-IT"/>
              </w:rPr>
              <w:t xml:space="preserve">4 000 000 </w:t>
            </w:r>
          </w:p>
        </w:tc>
        <w:tc>
          <w:tcPr>
            <w:tcW w:w="736" w:type="pct"/>
            <w:noWrap/>
            <w:vAlign w:val="center"/>
            <w:hideMark/>
          </w:tcPr>
          <w:p w:rsidR="00864FBA" w:rsidRPr="00864FBA" w:rsidRDefault="00864FBA" w:rsidP="00864FBA">
            <w:pPr>
              <w:spacing w:after="0" w:line="240" w:lineRule="auto"/>
              <w:jc w:val="center"/>
              <w:rPr>
                <w:rFonts w:ascii="Garamond" w:eastAsia="Times New Roman" w:hAnsi="Garamond"/>
                <w:color w:val="000000" w:themeColor="text1"/>
                <w:sz w:val="24"/>
                <w:szCs w:val="24"/>
                <w:lang w:val="sq-AL" w:eastAsia="it-IT"/>
              </w:rPr>
            </w:pPr>
            <w:r w:rsidRPr="00864FBA">
              <w:rPr>
                <w:rFonts w:ascii="Garamond" w:hAnsi="Garamond"/>
                <w:color w:val="000000" w:themeColor="text1"/>
                <w:sz w:val="24"/>
                <w:szCs w:val="24"/>
                <w:shd w:val="clear" w:color="auto" w:fill="FFFFFF"/>
                <w:lang w:val="sq-AL"/>
              </w:rPr>
              <w:t xml:space="preserve">≥ </w:t>
            </w:r>
            <w:r w:rsidRPr="00864FBA">
              <w:rPr>
                <w:rFonts w:ascii="Garamond" w:eastAsia="Times New Roman" w:hAnsi="Garamond"/>
                <w:color w:val="000000" w:themeColor="text1"/>
                <w:sz w:val="24"/>
                <w:szCs w:val="24"/>
                <w:lang w:val="sq-AL" w:eastAsia="it-IT"/>
              </w:rPr>
              <w:t xml:space="preserve">5 000 000 </w:t>
            </w:r>
          </w:p>
        </w:tc>
      </w:tr>
      <w:tr w:rsidR="00864FBA" w:rsidRPr="00864FBA" w:rsidTr="00D47E99">
        <w:trPr>
          <w:trHeight w:val="345"/>
          <w:jc w:val="center"/>
        </w:trPr>
        <w:tc>
          <w:tcPr>
            <w:tcW w:w="2057" w:type="pct"/>
            <w:noWrap/>
            <w:vAlign w:val="center"/>
            <w:hideMark/>
          </w:tcPr>
          <w:p w:rsidR="00864FBA" w:rsidRPr="00864FBA" w:rsidRDefault="00864FBA" w:rsidP="00864FBA">
            <w:pPr>
              <w:spacing w:after="0" w:line="240" w:lineRule="auto"/>
              <w:jc w:val="left"/>
              <w:rPr>
                <w:rFonts w:ascii="Garamond" w:eastAsia="Times New Roman" w:hAnsi="Garamond"/>
                <w:color w:val="000000" w:themeColor="text1"/>
                <w:sz w:val="24"/>
                <w:szCs w:val="24"/>
                <w:lang w:val="sq-AL" w:eastAsia="it-IT"/>
              </w:rPr>
            </w:pPr>
            <w:r w:rsidRPr="00864FBA">
              <w:rPr>
                <w:rFonts w:ascii="Garamond" w:eastAsia="Times New Roman" w:hAnsi="Garamond"/>
                <w:color w:val="000000" w:themeColor="text1"/>
                <w:sz w:val="24"/>
                <w:szCs w:val="24"/>
                <w:lang w:val="sq-AL" w:eastAsia="it-IT"/>
              </w:rPr>
              <w:lastRenderedPageBreak/>
              <w:t>Numri i punonjësve</w:t>
            </w:r>
          </w:p>
        </w:tc>
        <w:tc>
          <w:tcPr>
            <w:tcW w:w="735" w:type="pct"/>
            <w:noWrap/>
            <w:vAlign w:val="center"/>
            <w:hideMark/>
          </w:tcPr>
          <w:p w:rsidR="00864FBA" w:rsidRPr="00864FBA" w:rsidRDefault="00864FBA" w:rsidP="00864FBA">
            <w:pPr>
              <w:spacing w:after="0" w:line="240" w:lineRule="auto"/>
              <w:jc w:val="center"/>
              <w:rPr>
                <w:rFonts w:ascii="Garamond" w:eastAsia="Times New Roman" w:hAnsi="Garamond"/>
                <w:i/>
                <w:color w:val="000000" w:themeColor="text1"/>
                <w:sz w:val="24"/>
                <w:szCs w:val="24"/>
                <w:lang w:val="sq-AL" w:eastAsia="it-IT"/>
              </w:rPr>
            </w:pPr>
            <w:r w:rsidRPr="00864FBA">
              <w:rPr>
                <w:rFonts w:ascii="Garamond" w:hAnsi="Garamond"/>
                <w:i/>
                <w:color w:val="000000" w:themeColor="text1"/>
                <w:sz w:val="24"/>
                <w:szCs w:val="24"/>
                <w:shd w:val="clear" w:color="auto" w:fill="FFFFFF"/>
                <w:lang w:val="sq-AL"/>
              </w:rPr>
              <w:t xml:space="preserve">≥ </w:t>
            </w:r>
            <w:r w:rsidRPr="00864FBA">
              <w:rPr>
                <w:rFonts w:ascii="Garamond" w:eastAsia="Times New Roman" w:hAnsi="Garamond"/>
                <w:i/>
                <w:color w:val="000000" w:themeColor="text1"/>
                <w:sz w:val="24"/>
                <w:szCs w:val="24"/>
                <w:lang w:val="sq-AL" w:eastAsia="it-IT"/>
              </w:rPr>
              <w:t>250</w:t>
            </w:r>
          </w:p>
        </w:tc>
        <w:tc>
          <w:tcPr>
            <w:tcW w:w="735" w:type="pct"/>
            <w:noWrap/>
            <w:vAlign w:val="center"/>
            <w:hideMark/>
          </w:tcPr>
          <w:p w:rsidR="00864FBA" w:rsidRPr="00864FBA" w:rsidRDefault="00864FBA" w:rsidP="00864FBA">
            <w:pPr>
              <w:spacing w:after="0" w:line="240" w:lineRule="auto"/>
              <w:jc w:val="center"/>
              <w:rPr>
                <w:rFonts w:ascii="Garamond" w:eastAsia="Times New Roman" w:hAnsi="Garamond"/>
                <w:i/>
                <w:color w:val="000000" w:themeColor="text1"/>
                <w:sz w:val="24"/>
                <w:szCs w:val="24"/>
                <w:lang w:val="sq-AL" w:eastAsia="it-IT"/>
              </w:rPr>
            </w:pPr>
            <w:r w:rsidRPr="00864FBA">
              <w:rPr>
                <w:rFonts w:ascii="Garamond" w:hAnsi="Garamond"/>
                <w:i/>
                <w:color w:val="000000" w:themeColor="text1"/>
                <w:sz w:val="24"/>
                <w:szCs w:val="24"/>
                <w:shd w:val="clear" w:color="auto" w:fill="FFFFFF"/>
                <w:lang w:val="sq-AL"/>
              </w:rPr>
              <w:t xml:space="preserve">≥ </w:t>
            </w:r>
            <w:r w:rsidRPr="00864FBA">
              <w:rPr>
                <w:rFonts w:ascii="Garamond" w:eastAsia="Times New Roman" w:hAnsi="Garamond"/>
                <w:i/>
                <w:color w:val="000000" w:themeColor="text1"/>
                <w:sz w:val="24"/>
                <w:szCs w:val="24"/>
                <w:lang w:val="sq-AL" w:eastAsia="it-IT"/>
              </w:rPr>
              <w:t>250</w:t>
            </w:r>
          </w:p>
        </w:tc>
        <w:tc>
          <w:tcPr>
            <w:tcW w:w="736" w:type="pct"/>
            <w:noWrap/>
            <w:vAlign w:val="center"/>
            <w:hideMark/>
          </w:tcPr>
          <w:p w:rsidR="00864FBA" w:rsidRPr="00864FBA" w:rsidRDefault="00864FBA" w:rsidP="00864FBA">
            <w:pPr>
              <w:spacing w:after="0" w:line="240" w:lineRule="auto"/>
              <w:jc w:val="center"/>
              <w:rPr>
                <w:rFonts w:ascii="Garamond" w:eastAsia="Times New Roman" w:hAnsi="Garamond"/>
                <w:i/>
                <w:color w:val="000000" w:themeColor="text1"/>
                <w:sz w:val="24"/>
                <w:szCs w:val="24"/>
                <w:lang w:val="sq-AL" w:eastAsia="it-IT"/>
              </w:rPr>
            </w:pPr>
            <w:r w:rsidRPr="00864FBA">
              <w:rPr>
                <w:rFonts w:ascii="Garamond" w:hAnsi="Garamond"/>
                <w:i/>
                <w:color w:val="000000" w:themeColor="text1"/>
                <w:sz w:val="24"/>
                <w:szCs w:val="24"/>
                <w:shd w:val="clear" w:color="auto" w:fill="FFFFFF"/>
                <w:lang w:val="sq-AL"/>
              </w:rPr>
              <w:t xml:space="preserve">≥ </w:t>
            </w:r>
            <w:r w:rsidRPr="00864FBA">
              <w:rPr>
                <w:rFonts w:ascii="Garamond" w:eastAsia="Times New Roman" w:hAnsi="Garamond"/>
                <w:i/>
                <w:color w:val="000000" w:themeColor="text1"/>
                <w:sz w:val="24"/>
                <w:szCs w:val="24"/>
                <w:lang w:val="sq-AL" w:eastAsia="it-IT"/>
              </w:rPr>
              <w:t>250</w:t>
            </w:r>
          </w:p>
        </w:tc>
        <w:tc>
          <w:tcPr>
            <w:tcW w:w="736" w:type="pct"/>
            <w:noWrap/>
            <w:vAlign w:val="center"/>
            <w:hideMark/>
          </w:tcPr>
          <w:p w:rsidR="00864FBA" w:rsidRPr="00864FBA" w:rsidRDefault="00864FBA" w:rsidP="00864FBA">
            <w:pPr>
              <w:spacing w:after="0" w:line="240" w:lineRule="auto"/>
              <w:jc w:val="center"/>
              <w:rPr>
                <w:rFonts w:ascii="Garamond" w:eastAsia="Times New Roman" w:hAnsi="Garamond"/>
                <w:i/>
                <w:color w:val="000000" w:themeColor="text1"/>
                <w:sz w:val="24"/>
                <w:szCs w:val="24"/>
                <w:lang w:val="sq-AL" w:eastAsia="it-IT"/>
              </w:rPr>
            </w:pPr>
            <w:r w:rsidRPr="00864FBA">
              <w:rPr>
                <w:rFonts w:ascii="Garamond" w:hAnsi="Garamond"/>
                <w:i/>
                <w:color w:val="000000" w:themeColor="text1"/>
                <w:sz w:val="24"/>
                <w:szCs w:val="24"/>
                <w:shd w:val="clear" w:color="auto" w:fill="FFFFFF"/>
                <w:lang w:val="sq-AL"/>
              </w:rPr>
              <w:t xml:space="preserve">≥ </w:t>
            </w:r>
            <w:r w:rsidRPr="00864FBA">
              <w:rPr>
                <w:rFonts w:ascii="Garamond" w:eastAsia="Times New Roman" w:hAnsi="Garamond"/>
                <w:i/>
                <w:color w:val="000000" w:themeColor="text1"/>
                <w:sz w:val="24"/>
                <w:szCs w:val="24"/>
                <w:lang w:val="sq-AL" w:eastAsia="it-IT"/>
              </w:rPr>
              <w:t>250</w:t>
            </w:r>
          </w:p>
        </w:tc>
      </w:tr>
    </w:tbl>
    <w:p w:rsidR="00DF6666" w:rsidRPr="00993C76" w:rsidRDefault="00DF6666" w:rsidP="00DF6666">
      <w:pPr>
        <w:pStyle w:val="Paragrafi"/>
        <w:rPr>
          <w:rFonts w:eastAsia="Times New Roman"/>
          <w:spacing w:val="-4"/>
          <w:szCs w:val="24"/>
          <w:lang w:val="sq-AL" w:eastAsia="en-GB"/>
        </w:rPr>
      </w:pPr>
    </w:p>
    <w:p w:rsidR="0025655E" w:rsidRPr="00993C76" w:rsidRDefault="0025655E">
      <w:pPr>
        <w:rPr>
          <w:rFonts w:ascii="Garamond" w:hAnsi="Garamond"/>
          <w:sz w:val="24"/>
          <w:szCs w:val="24"/>
        </w:rPr>
      </w:pPr>
    </w:p>
    <w:sectPr w:rsidR="0025655E" w:rsidRPr="00993C76" w:rsidSect="00DF666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19D5" w:rsidRDefault="007919D5" w:rsidP="00DF6666">
      <w:pPr>
        <w:spacing w:after="0" w:line="240" w:lineRule="auto"/>
      </w:pPr>
      <w:r>
        <w:separator/>
      </w:r>
    </w:p>
  </w:endnote>
  <w:endnote w:type="continuationSeparator" w:id="0">
    <w:p w:rsidR="007919D5" w:rsidRDefault="007919D5" w:rsidP="00DF66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Aptos">
    <w:altName w:val="Calibri"/>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19D5" w:rsidRDefault="007919D5" w:rsidP="00DF6666">
      <w:pPr>
        <w:spacing w:after="0" w:line="240" w:lineRule="auto"/>
      </w:pPr>
      <w:r>
        <w:separator/>
      </w:r>
    </w:p>
  </w:footnote>
  <w:footnote w:type="continuationSeparator" w:id="0">
    <w:p w:rsidR="007919D5" w:rsidRDefault="007919D5" w:rsidP="00DF6666">
      <w:pPr>
        <w:spacing w:after="0" w:line="240" w:lineRule="auto"/>
      </w:pPr>
      <w:r>
        <w:continuationSeparator/>
      </w:r>
    </w:p>
  </w:footnote>
  <w:footnote w:id="1">
    <w:p w:rsidR="00A80C4B" w:rsidRPr="00070807" w:rsidRDefault="00A80C4B" w:rsidP="00DF6666">
      <w:pPr>
        <w:pStyle w:val="ListParagraph"/>
        <w:spacing w:after="0" w:line="240" w:lineRule="auto"/>
        <w:ind w:left="0"/>
        <w:jc w:val="both"/>
        <w:rPr>
          <w:rFonts w:ascii="Garamond" w:hAnsi="Garamond"/>
          <w:bCs/>
          <w:i/>
          <w:iCs/>
          <w:spacing w:val="-4"/>
          <w:sz w:val="20"/>
          <w:szCs w:val="20"/>
          <w:lang w:val="sq-AL"/>
        </w:rPr>
      </w:pPr>
      <w:r>
        <w:rPr>
          <w:rFonts w:ascii="Times New Roman" w:hAnsi="Times New Roman"/>
          <w:bCs/>
          <w:i/>
          <w:iCs/>
          <w:sz w:val="20"/>
          <w:szCs w:val="20"/>
          <w:lang w:val="sq-AL"/>
        </w:rPr>
        <w:tab/>
      </w:r>
      <w:r w:rsidRPr="00070807">
        <w:rPr>
          <w:rStyle w:val="FootnoteReference"/>
          <w:rFonts w:ascii="Garamond" w:eastAsia="MS Mincho" w:hAnsi="Garamond"/>
          <w:i/>
          <w:spacing w:val="-4"/>
          <w:sz w:val="20"/>
          <w:szCs w:val="20"/>
          <w:lang w:val="sq-AL"/>
        </w:rPr>
        <w:footnoteRef/>
      </w:r>
      <w:r w:rsidRPr="00070807">
        <w:rPr>
          <w:rFonts w:ascii="Garamond" w:hAnsi="Garamond"/>
          <w:bCs/>
          <w:i/>
          <w:iCs/>
          <w:spacing w:val="-4"/>
          <w:sz w:val="20"/>
          <w:szCs w:val="20"/>
          <w:lang w:val="sq-AL"/>
        </w:rPr>
        <w:t xml:space="preserve"> Ky ligj është përafruar pjesërisht me </w:t>
      </w:r>
      <w:r w:rsidRPr="00070807">
        <w:rPr>
          <w:rFonts w:ascii="Garamond" w:hAnsi="Garamond"/>
          <w:i/>
          <w:spacing w:val="-4"/>
          <w:sz w:val="20"/>
          <w:szCs w:val="20"/>
          <w:lang w:val="sq-AL" w:eastAsia="sq-AL"/>
        </w:rPr>
        <w:t>Direktivën 2013/34/BE të Parlamentit Evropian dhe Këshillit, datë 26 qershor 2013, “Mbi pasqyrat financiare vjetore, pasqyrat financiare të konsoliduara dhe raportet përkatëse të llojeve të caktuara të ndërmarrjeve”, që ndryshon Direktivën 2006/43/KE të Parlamentit Evropian dhe të Këshillit dhe shfuqizon Direktivat e Këshillit 78/660/KEE dhe 83/349/KEE”, e ndryshuar</w:t>
      </w:r>
      <w:r w:rsidRPr="00070807">
        <w:rPr>
          <w:rFonts w:ascii="Garamond" w:hAnsi="Garamond"/>
          <w:i/>
          <w:spacing w:val="-4"/>
          <w:sz w:val="20"/>
          <w:szCs w:val="20"/>
          <w:lang w:val="sq-AL"/>
        </w:rPr>
        <w:t xml:space="preserve"> </w:t>
      </w:r>
      <w:r w:rsidRPr="00070807">
        <w:rPr>
          <w:rFonts w:ascii="Garamond" w:hAnsi="Garamond"/>
          <w:i/>
          <w:spacing w:val="-4"/>
          <w:sz w:val="20"/>
          <w:szCs w:val="20"/>
          <w:lang w:val="sq-AL" w:eastAsia="sq-AL"/>
        </w:rPr>
        <w:t xml:space="preserve">me Direktivën 2014/95/BE të Parlamentit Evropian dhe Këshillit, datë 22 tetor 2014 dhe Direktivën e Këshillit 2014/102/BE, datë 7 nëntor 2014. Numri CELEX </w:t>
      </w:r>
      <w:r w:rsidRPr="00070807">
        <w:rPr>
          <w:rFonts w:ascii="Garamond" w:hAnsi="Garamond"/>
          <w:i/>
          <w:spacing w:val="-4"/>
          <w:sz w:val="20"/>
          <w:szCs w:val="20"/>
          <w:lang w:val="sq-AL"/>
        </w:rPr>
        <w:t>32013L0034</w:t>
      </w:r>
      <w:r w:rsidRPr="00070807">
        <w:rPr>
          <w:rFonts w:ascii="Garamond" w:hAnsi="Garamond"/>
          <w:i/>
          <w:spacing w:val="-4"/>
          <w:sz w:val="20"/>
          <w:szCs w:val="20"/>
          <w:lang w:val="sq-AL" w:eastAsia="sq-AL"/>
        </w:rPr>
        <w:t xml:space="preserve">, Fletorja Zyrtare e Bashkimit Evropian, Seria </w:t>
      </w:r>
      <w:r w:rsidRPr="00070807">
        <w:rPr>
          <w:rFonts w:ascii="Garamond" w:hAnsi="Garamond"/>
          <w:bCs/>
          <w:i/>
          <w:spacing w:val="-4"/>
          <w:sz w:val="20"/>
          <w:szCs w:val="20"/>
          <w:lang w:val="sq-AL"/>
        </w:rPr>
        <w:t xml:space="preserve">L, nr. 182, datë </w:t>
      </w:r>
      <w:r w:rsidRPr="00070807">
        <w:rPr>
          <w:rFonts w:ascii="Garamond" w:hAnsi="Garamond"/>
          <w:i/>
          <w:spacing w:val="-4"/>
          <w:sz w:val="20"/>
          <w:szCs w:val="20"/>
          <w:lang w:val="sq-AL"/>
        </w:rPr>
        <w:t>29.6.2013, faqe 19</w:t>
      </w:r>
      <w:r w:rsidRPr="00070807">
        <w:rPr>
          <w:rFonts w:ascii="Garamond" w:hAnsi="Garamond"/>
          <w:sz w:val="20"/>
          <w:szCs w:val="20"/>
          <w:lang w:val="sq-AL"/>
        </w:rPr>
        <w:t>–</w:t>
      </w:r>
      <w:r w:rsidRPr="00070807">
        <w:rPr>
          <w:rFonts w:ascii="Garamond" w:hAnsi="Garamond"/>
          <w:i/>
          <w:spacing w:val="-4"/>
          <w:sz w:val="20"/>
          <w:szCs w:val="20"/>
          <w:lang w:val="sq-AL"/>
        </w:rPr>
        <w:t>76</w:t>
      </w:r>
      <w:r w:rsidRPr="00070807">
        <w:rPr>
          <w:rFonts w:ascii="Garamond" w:hAnsi="Garamond"/>
          <w:i/>
          <w:spacing w:val="-4"/>
          <w:sz w:val="20"/>
          <w:szCs w:val="20"/>
          <w:lang w:val="sq-AL" w:eastAsia="sq-AL"/>
        </w:rPr>
        <w:t>.</w:t>
      </w:r>
    </w:p>
  </w:footnote>
  <w:footnote w:id="2">
    <w:p w:rsidR="00A80C4B" w:rsidRPr="00070807" w:rsidRDefault="00A80C4B" w:rsidP="000E2709">
      <w:pPr>
        <w:widowControl w:val="0"/>
        <w:autoSpaceDE w:val="0"/>
        <w:autoSpaceDN w:val="0"/>
        <w:spacing w:after="0" w:line="240" w:lineRule="auto"/>
        <w:rPr>
          <w:rFonts w:ascii="Garamond" w:eastAsia="Times New Roman" w:hAnsi="Garamond"/>
          <w:b/>
          <w:bCs/>
          <w:i/>
          <w:iCs/>
          <w:color w:val="1F1F1F"/>
          <w:sz w:val="20"/>
          <w:szCs w:val="20"/>
          <w:lang w:val="sq-AL"/>
        </w:rPr>
      </w:pPr>
      <w:r w:rsidRPr="00070807">
        <w:rPr>
          <w:rStyle w:val="FootnoteReference"/>
          <w:rFonts w:ascii="Garamond" w:hAnsi="Garamond"/>
          <w:sz w:val="20"/>
          <w:szCs w:val="20"/>
        </w:rPr>
        <w:footnoteRef/>
      </w:r>
      <w:r w:rsidRPr="00070807">
        <w:rPr>
          <w:rFonts w:ascii="Garamond" w:hAnsi="Garamond"/>
          <w:sz w:val="20"/>
          <w:szCs w:val="20"/>
        </w:rPr>
        <w:t xml:space="preserve"> </w:t>
      </w:r>
      <w:r w:rsidRPr="00070807">
        <w:rPr>
          <w:rFonts w:ascii="Garamond" w:eastAsia="Times New Roman" w:hAnsi="Garamond"/>
          <w:i/>
          <w:sz w:val="20"/>
          <w:szCs w:val="20"/>
          <w:lang w:val="sq-AL"/>
        </w:rPr>
        <w:t xml:space="preserve">Ky ligj është përafruar plotësisht me: </w:t>
      </w:r>
    </w:p>
    <w:p w:rsidR="00A80C4B" w:rsidRPr="00070807" w:rsidRDefault="00A80C4B" w:rsidP="000E2709">
      <w:pPr>
        <w:spacing w:after="0" w:line="240" w:lineRule="auto"/>
        <w:ind w:firstLine="0"/>
        <w:rPr>
          <w:rFonts w:ascii="Garamond" w:eastAsiaTheme="minorHAnsi" w:hAnsi="Garamond"/>
          <w:i/>
          <w:color w:val="1F1F1F"/>
          <w:sz w:val="20"/>
          <w:szCs w:val="20"/>
          <w:lang w:val="sq-AL"/>
        </w:rPr>
      </w:pPr>
      <w:r w:rsidRPr="00070807">
        <w:rPr>
          <w:rFonts w:ascii="Garamond" w:eastAsiaTheme="minorHAnsi" w:hAnsi="Garamond"/>
          <w:i/>
          <w:color w:val="1F1F1F"/>
          <w:sz w:val="20"/>
          <w:szCs w:val="20"/>
          <w:lang w:val="sq-AL"/>
        </w:rPr>
        <w:t xml:space="preserve">Direktivën 2013/34/BE të Parlamentit Evropian dhe të Këshillit, datë 26 qershor 2013, </w:t>
      </w:r>
      <w:r w:rsidRPr="00070807">
        <w:rPr>
          <w:rFonts w:ascii="Garamond" w:eastAsiaTheme="minorHAnsi" w:hAnsi="Garamond"/>
          <w:i/>
          <w:color w:val="000000" w:themeColor="text1"/>
          <w:sz w:val="20"/>
          <w:szCs w:val="20"/>
          <w:lang w:val="sq-AL"/>
        </w:rPr>
        <w:t>mbi</w:t>
      </w:r>
      <w:r w:rsidRPr="00070807">
        <w:rPr>
          <w:rFonts w:ascii="Garamond" w:eastAsiaTheme="minorHAnsi" w:hAnsi="Garamond"/>
          <w:i/>
          <w:color w:val="1F1F1F"/>
          <w:sz w:val="20"/>
          <w:szCs w:val="20"/>
          <w:lang w:val="sq-AL"/>
        </w:rPr>
        <w:t xml:space="preserve"> pasqyrat financiare vjetore, pasqyrat financiare të konsoliduara dhe raportet përkatëse të llojeve të caktuara të ndërmarrjeve, që ndryshon Direktivën 2006/43/KE të Parlamentit Evropian dhe të Këshillit dhe shfuqizon Direktivat 78/660/KEE dhe 83/349/KEE të Këshillit. Numri CELEX: 32013L0034, Fletorja Zyrtare e Bashkimit Evropian, OJ L 182, datë 29.6.2013, faqe 19–76;</w:t>
      </w:r>
    </w:p>
    <w:p w:rsidR="00A80C4B" w:rsidRPr="00070807" w:rsidRDefault="00A80C4B" w:rsidP="000E2709">
      <w:pPr>
        <w:spacing w:after="0" w:line="240" w:lineRule="auto"/>
        <w:ind w:firstLine="0"/>
        <w:rPr>
          <w:rFonts w:ascii="Garamond" w:eastAsiaTheme="minorHAnsi" w:hAnsi="Garamond"/>
          <w:i/>
          <w:color w:val="1F1F1F"/>
          <w:sz w:val="20"/>
          <w:szCs w:val="20"/>
          <w:lang w:val="sq-AL"/>
        </w:rPr>
      </w:pPr>
      <w:r w:rsidRPr="00070807">
        <w:rPr>
          <w:rFonts w:ascii="Garamond" w:eastAsiaTheme="minorHAnsi" w:hAnsi="Garamond"/>
          <w:i/>
          <w:color w:val="1F1F1F"/>
          <w:sz w:val="20"/>
          <w:szCs w:val="20"/>
          <w:lang w:val="sq-AL"/>
        </w:rPr>
        <w:t>Direktivën 2014/95/BE të Parlamentit Evropian dhe të Këshillit, datë 22 tetor 2014, që ndryshon Direktivën 2013/34/BE</w:t>
      </w:r>
      <w:r w:rsidRPr="00070807">
        <w:rPr>
          <w:rFonts w:ascii="Garamond" w:eastAsiaTheme="minorHAnsi" w:hAnsi="Garamond"/>
          <w:i/>
          <w:color w:val="000000" w:themeColor="text1"/>
          <w:sz w:val="20"/>
          <w:szCs w:val="20"/>
          <w:lang w:val="sq-AL"/>
        </w:rPr>
        <w:t xml:space="preserve"> për </w:t>
      </w:r>
      <w:r w:rsidRPr="00070807">
        <w:rPr>
          <w:rFonts w:ascii="Garamond" w:eastAsiaTheme="minorHAnsi" w:hAnsi="Garamond"/>
          <w:i/>
          <w:color w:val="1F1F1F"/>
          <w:sz w:val="20"/>
          <w:szCs w:val="20"/>
          <w:lang w:val="sq-AL"/>
        </w:rPr>
        <w:t xml:space="preserve">sa i përket publikimit të informacionit jofinanciar dhe informacionit </w:t>
      </w:r>
      <w:r w:rsidRPr="00070807">
        <w:rPr>
          <w:rFonts w:ascii="Garamond" w:eastAsiaTheme="minorHAnsi" w:hAnsi="Garamond"/>
          <w:i/>
          <w:color w:val="000000" w:themeColor="text1"/>
          <w:sz w:val="20"/>
          <w:szCs w:val="20"/>
          <w:lang w:val="sq-AL"/>
        </w:rPr>
        <w:t xml:space="preserve">mbi </w:t>
      </w:r>
      <w:r w:rsidRPr="00070807">
        <w:rPr>
          <w:rFonts w:ascii="Garamond" w:eastAsiaTheme="minorHAnsi" w:hAnsi="Garamond"/>
          <w:i/>
          <w:color w:val="1F1F1F"/>
          <w:sz w:val="20"/>
          <w:szCs w:val="20"/>
          <w:lang w:val="sq-AL"/>
        </w:rPr>
        <w:t>diversitetin nga disa ndërmarrje të mëdha dhe grupe. Numri CELEX: 32014L0095, Fletorja Zyrtare e Bashkimit Evropian, OJ L 330, datë 15.11.2014, faqe 1–9;</w:t>
      </w:r>
    </w:p>
    <w:p w:rsidR="00A80C4B" w:rsidRPr="00070807" w:rsidRDefault="00A80C4B" w:rsidP="000E2709">
      <w:pPr>
        <w:spacing w:after="0" w:line="240" w:lineRule="auto"/>
        <w:ind w:firstLine="0"/>
        <w:rPr>
          <w:rFonts w:ascii="Garamond" w:eastAsiaTheme="minorHAnsi" w:hAnsi="Garamond"/>
          <w:i/>
          <w:color w:val="000000" w:themeColor="text1"/>
          <w:sz w:val="20"/>
          <w:szCs w:val="20"/>
          <w:lang w:val="sq-AL"/>
        </w:rPr>
      </w:pPr>
      <w:r w:rsidRPr="00070807">
        <w:rPr>
          <w:rFonts w:ascii="Garamond" w:eastAsiaTheme="minorHAnsi" w:hAnsi="Garamond"/>
          <w:i/>
          <w:color w:val="1F1F1F"/>
          <w:sz w:val="20"/>
          <w:szCs w:val="20"/>
          <w:lang w:val="sq-AL"/>
        </w:rPr>
        <w:t xml:space="preserve">Direktivën (BE) 2021/2101 të Parlamentit Evropian dhe të Këshillit, datë 24 nëntor 2021, që ndryshon Direktivën 2013/34/BE </w:t>
      </w:r>
      <w:r w:rsidRPr="00070807">
        <w:rPr>
          <w:rFonts w:ascii="Garamond" w:eastAsiaTheme="minorHAnsi" w:hAnsi="Garamond"/>
          <w:i/>
          <w:color w:val="000000" w:themeColor="text1"/>
          <w:sz w:val="20"/>
          <w:szCs w:val="20"/>
          <w:lang w:val="sq-AL"/>
        </w:rPr>
        <w:t>për</w:t>
      </w:r>
      <w:r w:rsidRPr="00070807">
        <w:rPr>
          <w:rFonts w:ascii="Garamond" w:eastAsiaTheme="minorHAnsi" w:hAnsi="Garamond"/>
          <w:i/>
          <w:color w:val="1F1F1F"/>
          <w:sz w:val="20"/>
          <w:szCs w:val="20"/>
          <w:lang w:val="sq-AL"/>
        </w:rPr>
        <w:t xml:space="preserve"> sa i përket publikimit të informacionit </w:t>
      </w:r>
      <w:r w:rsidRPr="00070807">
        <w:rPr>
          <w:rFonts w:ascii="Garamond" w:eastAsiaTheme="minorHAnsi" w:hAnsi="Garamond"/>
          <w:i/>
          <w:color w:val="000000" w:themeColor="text1"/>
          <w:sz w:val="20"/>
          <w:szCs w:val="20"/>
          <w:lang w:val="sq-AL"/>
        </w:rPr>
        <w:t>mbi tatimin mbi të ardhurat nga ndërmarrje dhe degë të caktuara. Numri CELEX: 32021L2101, Fletorja Zyrtare e Bashkimit Evropian, OJ L 429, datë 1.12.2021, faqe 1–17;</w:t>
      </w:r>
    </w:p>
    <w:p w:rsidR="00A80C4B" w:rsidRPr="00070807" w:rsidRDefault="00A80C4B" w:rsidP="000E2709">
      <w:pPr>
        <w:spacing w:after="0" w:line="240" w:lineRule="auto"/>
        <w:ind w:firstLine="0"/>
        <w:rPr>
          <w:rFonts w:ascii="Garamond" w:eastAsiaTheme="minorHAnsi" w:hAnsi="Garamond"/>
          <w:i/>
          <w:color w:val="000000" w:themeColor="text1"/>
          <w:sz w:val="20"/>
          <w:szCs w:val="20"/>
          <w:lang w:val="sq-AL"/>
        </w:rPr>
      </w:pPr>
      <w:r w:rsidRPr="00070807">
        <w:rPr>
          <w:rFonts w:ascii="Garamond" w:eastAsiaTheme="minorHAnsi" w:hAnsi="Garamond"/>
          <w:i/>
          <w:color w:val="000000" w:themeColor="text1"/>
          <w:sz w:val="20"/>
          <w:szCs w:val="20"/>
          <w:lang w:val="sq-AL"/>
        </w:rPr>
        <w:t>Direktivën (BE) 2022/2464 të Parlamentit Evropian dhe të Këshillit, datë 14 dhjetor 2022, që ndryshon Rregulloren (BE) nr. 537/2014, Direktivën 2004/109/KE, Direktivën 2006/43/KE dhe Direktivën 2013/34/BE për sa i përket raportimit të qëndrueshmërisë nga ndërmarrjet (</w:t>
      </w:r>
      <w:r w:rsidRPr="00070807">
        <w:rPr>
          <w:rFonts w:ascii="Garamond" w:eastAsiaTheme="minorHAnsi" w:hAnsi="Garamond"/>
          <w:i/>
          <w:iCs/>
          <w:color w:val="000000" w:themeColor="text1"/>
          <w:sz w:val="20"/>
          <w:szCs w:val="20"/>
          <w:lang w:val="sq-AL"/>
        </w:rPr>
        <w:t>Corporate Sustainability Reporting Directive</w:t>
      </w:r>
      <w:r w:rsidRPr="00070807">
        <w:rPr>
          <w:rFonts w:ascii="Garamond" w:eastAsiaTheme="minorHAnsi" w:hAnsi="Garamond"/>
          <w:i/>
          <w:color w:val="000000" w:themeColor="text1"/>
          <w:sz w:val="20"/>
          <w:szCs w:val="20"/>
          <w:lang w:val="sq-AL"/>
        </w:rPr>
        <w:t xml:space="preserve"> – CSRD). Numri CELEX: 32022L2464, Fletorja Zyrtare e Bashkimit Evropian, OJ L 322, datë 16.12.2022, faqe 15–80;</w:t>
      </w:r>
    </w:p>
    <w:p w:rsidR="00A80C4B" w:rsidRPr="00070807" w:rsidRDefault="00A80C4B" w:rsidP="000E2709">
      <w:pPr>
        <w:spacing w:after="0" w:line="240" w:lineRule="auto"/>
        <w:ind w:firstLine="0"/>
        <w:rPr>
          <w:rFonts w:ascii="Garamond" w:eastAsiaTheme="minorHAnsi" w:hAnsi="Garamond"/>
          <w:i/>
          <w:color w:val="000000" w:themeColor="text1"/>
          <w:sz w:val="20"/>
          <w:szCs w:val="20"/>
          <w:lang w:val="sq-AL"/>
        </w:rPr>
      </w:pPr>
      <w:r w:rsidRPr="00070807">
        <w:rPr>
          <w:rFonts w:ascii="Garamond" w:eastAsiaTheme="minorHAnsi" w:hAnsi="Garamond"/>
          <w:i/>
          <w:color w:val="000000" w:themeColor="text1"/>
          <w:sz w:val="20"/>
          <w:szCs w:val="20"/>
          <w:lang w:val="sq-AL"/>
        </w:rPr>
        <w:t>Direktivën e Deleguar (BE) 2023/2775 të Komisionit, datë 17 tetor 2023, që ndryshon Direktivën 2013/34/BE të Parlamentit Evropian dhe të Këshillit për sa i përket përshtatjes së kritereve të madhësisë për mikro, ndërmarrjet e vogla, të mesme dhe të mëdha ose grupet. Numri CELEX: 32023L2775, Fletorja Zyrtare e Bashkimit Evropian, OJ L 2023/2775, datë 21.12.2023;</w:t>
      </w:r>
    </w:p>
    <w:p w:rsidR="00A80C4B" w:rsidRPr="00070807" w:rsidRDefault="00A80C4B" w:rsidP="000E2709">
      <w:pPr>
        <w:spacing w:after="0" w:line="240" w:lineRule="auto"/>
        <w:ind w:firstLine="0"/>
        <w:rPr>
          <w:rFonts w:ascii="Garamond" w:eastAsiaTheme="minorHAnsi" w:hAnsi="Garamond"/>
          <w:i/>
          <w:color w:val="000000" w:themeColor="text1"/>
          <w:sz w:val="20"/>
          <w:szCs w:val="20"/>
          <w:lang w:val="sq-AL"/>
        </w:rPr>
      </w:pPr>
      <w:r w:rsidRPr="00070807">
        <w:rPr>
          <w:rFonts w:ascii="Garamond" w:eastAsiaTheme="minorHAnsi" w:hAnsi="Garamond"/>
          <w:i/>
          <w:color w:val="000000" w:themeColor="text1"/>
          <w:sz w:val="20"/>
          <w:szCs w:val="20"/>
          <w:lang w:val="sq-AL"/>
        </w:rPr>
        <w:t>Rregulloren (KE) nr. 1606/2002 të Parlamentit Evropian dhe të Këshillit, datë 19 korrik 2002, për zbatimin e standardeve ndërkombëtare të kontabilitetit. Numri CELEX: 32002R1606, Fletorja Zyrtare e Bashkimit Evropian, OJ L 243, datë 11.9.2002, faqe 1–4;</w:t>
      </w:r>
    </w:p>
    <w:p w:rsidR="00A80C4B" w:rsidRPr="00070807" w:rsidRDefault="00A80C4B" w:rsidP="000E2709">
      <w:pPr>
        <w:widowControl w:val="0"/>
        <w:autoSpaceDE w:val="0"/>
        <w:autoSpaceDN w:val="0"/>
        <w:spacing w:after="0" w:line="240" w:lineRule="auto"/>
        <w:ind w:firstLine="0"/>
        <w:rPr>
          <w:rFonts w:ascii="Garamond" w:eastAsia="Times New Roman" w:hAnsi="Garamond"/>
          <w:i/>
          <w:color w:val="1F1F1F"/>
          <w:sz w:val="20"/>
          <w:szCs w:val="20"/>
          <w:lang w:val="sq-AL"/>
        </w:rPr>
      </w:pPr>
      <w:r w:rsidRPr="00070807">
        <w:rPr>
          <w:rFonts w:ascii="Garamond" w:eastAsiaTheme="minorHAnsi" w:hAnsi="Garamond"/>
          <w:i/>
          <w:color w:val="000000" w:themeColor="text1"/>
          <w:sz w:val="20"/>
          <w:szCs w:val="20"/>
          <w:lang w:val="sq-AL"/>
        </w:rPr>
        <w:t xml:space="preserve">Direktivën (BE) 2026/470 të Parlamentit Evropian dhe të Këshillit, datë 24 shkurt 2026, që ndryshon Direktivat 2006/43/KE, 2013/34/BE, (BE) 2022/2464 dhe (BE) 2024/1760 për sa u përket </w:t>
      </w:r>
      <w:r w:rsidRPr="00070807">
        <w:rPr>
          <w:rFonts w:ascii="Garamond" w:eastAsiaTheme="minorHAnsi" w:hAnsi="Garamond"/>
          <w:i/>
          <w:color w:val="1F1F1F"/>
          <w:sz w:val="20"/>
          <w:szCs w:val="20"/>
          <w:lang w:val="sq-AL"/>
        </w:rPr>
        <w:t>disa kërkesave për raportimin e qëndrueshmërisë së korporatave dhe disa kërkesave për kujdesin e duhur të korporatave në fushën e qëndrueshmërisë. Numri CELEX: 32026L0470, Fletorja Zyrtare e Bashkimit Evropian, OJ L 2026/470, datë 26.2.2026</w:t>
      </w:r>
      <w:r w:rsidRPr="00070807">
        <w:rPr>
          <w:rFonts w:ascii="Garamond" w:eastAsiaTheme="minorHAnsi" w:hAnsi="Garamond"/>
          <w:i/>
          <w:sz w:val="20"/>
          <w:szCs w:val="20"/>
          <w:lang w:val="sq-AL"/>
        </w:rPr>
        <w:t>.</w:t>
      </w:r>
    </w:p>
    <w:p w:rsidR="00A80C4B" w:rsidRPr="00070807" w:rsidRDefault="00A80C4B">
      <w:pPr>
        <w:pStyle w:val="FootnoteText"/>
        <w:rPr>
          <w:rFonts w:ascii="Garamond" w:hAnsi="Garamond"/>
          <w:i/>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12157F1"/>
    <w:multiLevelType w:val="hybridMultilevel"/>
    <w:tmpl w:val="00B6BF86"/>
    <w:lvl w:ilvl="0" w:tplc="8D2A1C2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666"/>
    <w:rsid w:val="0000314C"/>
    <w:rsid w:val="00070807"/>
    <w:rsid w:val="000E2709"/>
    <w:rsid w:val="00196BD3"/>
    <w:rsid w:val="001A3A9F"/>
    <w:rsid w:val="0025655E"/>
    <w:rsid w:val="0031380A"/>
    <w:rsid w:val="003D0603"/>
    <w:rsid w:val="00570251"/>
    <w:rsid w:val="005A1B8E"/>
    <w:rsid w:val="007919D5"/>
    <w:rsid w:val="007B198F"/>
    <w:rsid w:val="00864FBA"/>
    <w:rsid w:val="00972BF5"/>
    <w:rsid w:val="00993C76"/>
    <w:rsid w:val="00A560CD"/>
    <w:rsid w:val="00A80C4B"/>
    <w:rsid w:val="00AB6A4E"/>
    <w:rsid w:val="00C133D0"/>
    <w:rsid w:val="00D92629"/>
    <w:rsid w:val="00DF6666"/>
    <w:rsid w:val="00F83D8E"/>
    <w:rsid w:val="00FC7F11"/>
    <w:rsid w:val="00FE2A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02DDD"/>
  <w15:chartTrackingRefBased/>
  <w15:docId w15:val="{EDE5527B-8537-42D6-8203-0BEDC0143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6666"/>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DF6666"/>
    <w:rPr>
      <w:rFonts w:ascii="Calibri" w:eastAsia="Times New Roman" w:hAnsi="Calibri" w:cs="Times New Roman"/>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DF6666"/>
    <w:pPr>
      <w:ind w:left="720" w:firstLine="0"/>
      <w:contextualSpacing/>
      <w:jc w:val="left"/>
    </w:pPr>
    <w:rPr>
      <w:rFonts w:eastAsia="Times New Roman"/>
    </w:rPr>
  </w:style>
  <w:style w:type="character" w:customStyle="1" w:styleId="ParagrafiChar">
    <w:name w:val="Paragrafi Char"/>
    <w:basedOn w:val="DefaultParagraphFont"/>
    <w:link w:val="Paragrafi"/>
    <w:locked/>
    <w:rsid w:val="00DF6666"/>
    <w:rPr>
      <w:rFonts w:ascii="Garamond" w:eastAsia="MS Mincho" w:hAnsi="Garamond" w:cs="CG Times"/>
      <w:sz w:val="24"/>
    </w:rPr>
  </w:style>
  <w:style w:type="paragraph" w:customStyle="1" w:styleId="Paragrafi">
    <w:name w:val="Paragrafi"/>
    <w:link w:val="ParagrafiChar"/>
    <w:qFormat/>
    <w:rsid w:val="00DF6666"/>
    <w:pPr>
      <w:widowControl w:val="0"/>
      <w:spacing w:after="0" w:line="240" w:lineRule="auto"/>
      <w:ind w:firstLine="284"/>
      <w:jc w:val="both"/>
    </w:pPr>
    <w:rPr>
      <w:rFonts w:ascii="Garamond" w:eastAsia="MS Mincho" w:hAnsi="Garamond" w:cs="CG Times"/>
      <w:sz w:val="24"/>
    </w:rPr>
  </w:style>
  <w:style w:type="character" w:customStyle="1" w:styleId="NeniNrChar">
    <w:name w:val="Neni_Nr Char"/>
    <w:basedOn w:val="DefaultParagraphFont"/>
    <w:link w:val="NeniNr"/>
    <w:locked/>
    <w:rsid w:val="00DF6666"/>
    <w:rPr>
      <w:rFonts w:ascii="Garamond" w:eastAsia="MS Mincho" w:hAnsi="Garamond" w:cs="CG Times"/>
      <w:sz w:val="24"/>
      <w:lang w:val="en-GB"/>
    </w:rPr>
  </w:style>
  <w:style w:type="paragraph" w:customStyle="1" w:styleId="NeniNr">
    <w:name w:val="Neni_Nr"/>
    <w:next w:val="Normal"/>
    <w:link w:val="NeniNrChar"/>
    <w:rsid w:val="00DF6666"/>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DF6666"/>
    <w:pPr>
      <w:keepNext/>
      <w:widowControl w:val="0"/>
      <w:spacing w:after="0" w:line="240" w:lineRule="auto"/>
      <w:jc w:val="center"/>
      <w:outlineLvl w:val="2"/>
    </w:pPr>
    <w:rPr>
      <w:rFonts w:ascii="Garamond" w:eastAsia="MS Mincho" w:hAnsi="Garamond" w:cs="CG Times"/>
      <w:b/>
      <w:bCs/>
      <w:sz w:val="24"/>
      <w:lang w:val="en-GB"/>
    </w:rPr>
  </w:style>
  <w:style w:type="character" w:styleId="FootnoteReference">
    <w:name w:val="footnote reference"/>
    <w:aliases w:val="ftref,BVI fnr,16 Point,Superscript 6 Point,Fußnotenzeichen DISS,Footnote,Footnote symbol,Char1 Char Char Char Char,Odwołanie przypisu,fr,Rimando nota a piè di pagina2,Footnote Reference Arial,callout"/>
    <w:link w:val="Char2"/>
    <w:uiPriority w:val="99"/>
    <w:unhideWhenUsed/>
    <w:qFormat/>
    <w:rsid w:val="00DF6666"/>
    <w:rPr>
      <w:vertAlign w:val="superscript"/>
    </w:rPr>
  </w:style>
  <w:style w:type="paragraph" w:customStyle="1" w:styleId="Char2">
    <w:name w:val="Char2"/>
    <w:basedOn w:val="Normal"/>
    <w:link w:val="FootnoteReference"/>
    <w:uiPriority w:val="99"/>
    <w:rsid w:val="00DF6666"/>
    <w:pPr>
      <w:spacing w:after="160" w:line="240" w:lineRule="exact"/>
      <w:ind w:firstLine="0"/>
      <w:jc w:val="left"/>
    </w:pPr>
    <w:rPr>
      <w:rFonts w:asciiTheme="minorHAnsi" w:eastAsiaTheme="minorHAnsi" w:hAnsiTheme="minorHAnsi" w:cstheme="minorBidi"/>
      <w:vertAlign w:val="superscript"/>
    </w:rPr>
  </w:style>
  <w:style w:type="paragraph" w:styleId="FootnoteText">
    <w:name w:val="footnote text"/>
    <w:basedOn w:val="Normal"/>
    <w:link w:val="FootnoteTextChar"/>
    <w:uiPriority w:val="99"/>
    <w:semiHidden/>
    <w:unhideWhenUsed/>
    <w:rsid w:val="000E270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E2709"/>
    <w:rPr>
      <w:rFonts w:ascii="Calibri" w:eastAsia="Calibri"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3172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8A0CBD-8FA5-4094-8A66-8467CED55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31</Pages>
  <Words>17588</Words>
  <Characters>100253</Characters>
  <Application>Microsoft Office Word</Application>
  <DocSecurity>0</DocSecurity>
  <Lines>835</Lines>
  <Paragraphs>235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Rovena Lipe</cp:lastModifiedBy>
  <cp:revision>3</cp:revision>
  <dcterms:created xsi:type="dcterms:W3CDTF">2026-08-18T10:42:00Z</dcterms:created>
  <dcterms:modified xsi:type="dcterms:W3CDTF">2026-08-18T10:47:00Z</dcterms:modified>
</cp:coreProperties>
</file>