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B4F" w:rsidRPr="00D210A4" w:rsidRDefault="007C1B4F" w:rsidP="007C1B4F">
      <w:pPr>
        <w:pStyle w:val="NeniTitull"/>
      </w:pPr>
      <w:r w:rsidRPr="00D210A4">
        <w:t>LIGJ</w:t>
      </w:r>
    </w:p>
    <w:p w:rsidR="007C1B4F" w:rsidRPr="00D210A4" w:rsidRDefault="007C1B4F" w:rsidP="007C1B4F">
      <w:pPr>
        <w:pStyle w:val="NeniTitull"/>
      </w:pPr>
      <w:r w:rsidRPr="00D210A4">
        <w:t>Nr. 33/2018</w:t>
      </w:r>
    </w:p>
    <w:p w:rsidR="007C1B4F" w:rsidRPr="00FF0DF4" w:rsidRDefault="007C1B4F" w:rsidP="007C1B4F">
      <w:pPr>
        <w:pStyle w:val="NeniTitull"/>
        <w:rPr>
          <w:sz w:val="12"/>
        </w:rPr>
      </w:pPr>
    </w:p>
    <w:p w:rsidR="007C1B4F" w:rsidRPr="00D210A4" w:rsidRDefault="007C1B4F" w:rsidP="007C1B4F">
      <w:pPr>
        <w:pStyle w:val="NeniTitull"/>
      </w:pPr>
      <w:r w:rsidRPr="00D210A4">
        <w:t>PËR ADERIMIN E REPUBLIKËS SË SHQIPËRISË NË MARRËVESHJEN E LOKARNOS “PËR PËRCAKTIMIN E NJË KLASIFIKIMI NDËRKOMBËTAR PËR DISENJOT INDUSTRIALE”</w:t>
      </w:r>
    </w:p>
    <w:p w:rsidR="007C1B4F" w:rsidRPr="00FF0DF4" w:rsidRDefault="007C1B4F" w:rsidP="007C1B4F">
      <w:pPr>
        <w:pStyle w:val="Paragrafi"/>
        <w:rPr>
          <w:sz w:val="12"/>
        </w:rPr>
      </w:pPr>
    </w:p>
    <w:p w:rsidR="007C1B4F" w:rsidRPr="00D210A4" w:rsidRDefault="007C1B4F" w:rsidP="007C1B4F">
      <w:pPr>
        <w:pStyle w:val="Paragrafi"/>
      </w:pPr>
      <w:proofErr w:type="spellStart"/>
      <w:r w:rsidRPr="00D210A4">
        <w:t>Në</w:t>
      </w:r>
      <w:proofErr w:type="spellEnd"/>
      <w:r w:rsidRPr="00D210A4">
        <w:t xml:space="preserve"> </w:t>
      </w:r>
      <w:proofErr w:type="spellStart"/>
      <w:r w:rsidRPr="00D210A4">
        <w:t>mbështetje</w:t>
      </w:r>
      <w:proofErr w:type="spellEnd"/>
      <w:r w:rsidRPr="00D210A4">
        <w:t xml:space="preserve"> </w:t>
      </w:r>
      <w:proofErr w:type="spellStart"/>
      <w:r w:rsidRPr="00D210A4">
        <w:t>të</w:t>
      </w:r>
      <w:proofErr w:type="spellEnd"/>
      <w:r w:rsidRPr="00D210A4">
        <w:t xml:space="preserve"> </w:t>
      </w:r>
      <w:proofErr w:type="spellStart"/>
      <w:r w:rsidRPr="00D210A4">
        <w:t>neneve</w:t>
      </w:r>
      <w:proofErr w:type="spellEnd"/>
      <w:r w:rsidRPr="00D210A4">
        <w:t xml:space="preserve"> 78, 83, </w:t>
      </w:r>
      <w:proofErr w:type="spellStart"/>
      <w:r w:rsidRPr="00D210A4">
        <w:t>pika</w:t>
      </w:r>
      <w:proofErr w:type="spellEnd"/>
      <w:r w:rsidRPr="00D210A4">
        <w:t xml:space="preserve"> 1, </w:t>
      </w:r>
      <w:proofErr w:type="spellStart"/>
      <w:r w:rsidRPr="00D210A4">
        <w:t>dhe</w:t>
      </w:r>
      <w:proofErr w:type="spellEnd"/>
      <w:r w:rsidRPr="00D210A4">
        <w:t xml:space="preserve"> 121, </w:t>
      </w:r>
      <w:proofErr w:type="spellStart"/>
      <w:r w:rsidRPr="00D210A4">
        <w:t>të</w:t>
      </w:r>
      <w:proofErr w:type="spellEnd"/>
      <w:r w:rsidRPr="00D210A4">
        <w:t xml:space="preserve"> </w:t>
      </w:r>
      <w:proofErr w:type="spellStart"/>
      <w:r w:rsidRPr="00D210A4">
        <w:t>Kushtetutës</w:t>
      </w:r>
      <w:proofErr w:type="spellEnd"/>
      <w:r w:rsidRPr="00D210A4">
        <w:t xml:space="preserve">, me </w:t>
      </w:r>
      <w:proofErr w:type="spellStart"/>
      <w:r w:rsidRPr="00D210A4">
        <w:t>propozimin</w:t>
      </w:r>
      <w:proofErr w:type="spellEnd"/>
      <w:r w:rsidRPr="00D210A4">
        <w:t xml:space="preserve"> e </w:t>
      </w:r>
      <w:proofErr w:type="spellStart"/>
      <w:r w:rsidRPr="00D210A4">
        <w:t>Këshillit</w:t>
      </w:r>
      <w:proofErr w:type="spellEnd"/>
      <w:r w:rsidRPr="00D210A4">
        <w:t xml:space="preserve"> </w:t>
      </w:r>
      <w:proofErr w:type="spellStart"/>
      <w:r w:rsidRPr="00D210A4">
        <w:t>të</w:t>
      </w:r>
      <w:proofErr w:type="spellEnd"/>
      <w:r w:rsidRPr="00D210A4">
        <w:t xml:space="preserve"> </w:t>
      </w:r>
      <w:proofErr w:type="spellStart"/>
      <w:r w:rsidRPr="00D210A4">
        <w:t>Ministrave</w:t>
      </w:r>
      <w:proofErr w:type="spellEnd"/>
      <w:r w:rsidRPr="00D210A4">
        <w:t xml:space="preserve">, </w:t>
      </w:r>
    </w:p>
    <w:p w:rsidR="007C1B4F" w:rsidRPr="00FF0DF4" w:rsidRDefault="007C1B4F" w:rsidP="007C1B4F">
      <w:pPr>
        <w:pStyle w:val="Paragrafi"/>
        <w:rPr>
          <w:sz w:val="14"/>
        </w:rPr>
      </w:pPr>
    </w:p>
    <w:p w:rsidR="007C1B4F" w:rsidRPr="00D210A4" w:rsidRDefault="007C1B4F" w:rsidP="007C1B4F">
      <w:pPr>
        <w:pStyle w:val="NeniNr"/>
      </w:pPr>
      <w:r>
        <w:t>KUVEND</w:t>
      </w:r>
      <w:r w:rsidRPr="00D210A4">
        <w:t>I</w:t>
      </w:r>
    </w:p>
    <w:p w:rsidR="007C1B4F" w:rsidRPr="00D210A4" w:rsidRDefault="007C1B4F" w:rsidP="007C1B4F">
      <w:pPr>
        <w:pStyle w:val="NeniNr"/>
      </w:pPr>
      <w:r w:rsidRPr="00D210A4">
        <w:t>I REPUBLIKËS SË SHQIPËRISË</w:t>
      </w:r>
    </w:p>
    <w:p w:rsidR="007C1B4F" w:rsidRPr="00FF0DF4" w:rsidRDefault="007C1B4F" w:rsidP="007C1B4F">
      <w:pPr>
        <w:pStyle w:val="NeniNr"/>
        <w:rPr>
          <w:sz w:val="14"/>
        </w:rPr>
      </w:pPr>
    </w:p>
    <w:p w:rsidR="007C1B4F" w:rsidRPr="00D210A4" w:rsidRDefault="007C1B4F" w:rsidP="007C1B4F">
      <w:pPr>
        <w:pStyle w:val="NeniNr"/>
      </w:pPr>
      <w:r>
        <w:t>VENDOS</w:t>
      </w:r>
      <w:r w:rsidRPr="00D210A4">
        <w:t>I:</w:t>
      </w:r>
    </w:p>
    <w:p w:rsidR="007C1B4F" w:rsidRPr="00FF0DF4" w:rsidRDefault="007C1B4F" w:rsidP="007C1B4F">
      <w:pPr>
        <w:pStyle w:val="NeniNr"/>
        <w:rPr>
          <w:sz w:val="14"/>
        </w:rPr>
      </w:pPr>
    </w:p>
    <w:p w:rsidR="007C1B4F" w:rsidRPr="00D210A4" w:rsidRDefault="007C1B4F" w:rsidP="007C1B4F">
      <w:pPr>
        <w:pStyle w:val="NeniNr"/>
      </w:pPr>
      <w:proofErr w:type="spellStart"/>
      <w:r w:rsidRPr="00D210A4">
        <w:t>Neni</w:t>
      </w:r>
      <w:proofErr w:type="spellEnd"/>
      <w:r w:rsidRPr="00D210A4">
        <w:t xml:space="preserve"> 1</w:t>
      </w:r>
    </w:p>
    <w:p w:rsidR="007C1B4F" w:rsidRPr="00A766F7" w:rsidRDefault="007C1B4F" w:rsidP="007C1B4F">
      <w:pPr>
        <w:pStyle w:val="Paragrafi"/>
        <w:rPr>
          <w:sz w:val="14"/>
        </w:rPr>
      </w:pPr>
    </w:p>
    <w:p w:rsidR="007C1B4F" w:rsidRPr="00FF0DF4" w:rsidRDefault="007C1B4F" w:rsidP="007C1B4F">
      <w:pPr>
        <w:pStyle w:val="Paragrafi"/>
        <w:rPr>
          <w:spacing w:val="-4"/>
        </w:rPr>
      </w:pPr>
      <w:proofErr w:type="spellStart"/>
      <w:r w:rsidRPr="00FF0DF4">
        <w:rPr>
          <w:spacing w:val="-4"/>
        </w:rPr>
        <w:t>Republika</w:t>
      </w:r>
      <w:proofErr w:type="spellEnd"/>
      <w:r w:rsidRPr="00FF0DF4">
        <w:rPr>
          <w:spacing w:val="-4"/>
        </w:rPr>
        <w:t xml:space="preserve"> e </w:t>
      </w:r>
      <w:proofErr w:type="spellStart"/>
      <w:r w:rsidRPr="00FF0DF4">
        <w:rPr>
          <w:spacing w:val="-4"/>
        </w:rPr>
        <w:t>Shqipërisë</w:t>
      </w:r>
      <w:proofErr w:type="spellEnd"/>
      <w:r w:rsidRPr="00FF0DF4">
        <w:rPr>
          <w:spacing w:val="-4"/>
        </w:rPr>
        <w:t xml:space="preserve"> </w:t>
      </w:r>
      <w:proofErr w:type="spellStart"/>
      <w:r w:rsidRPr="00FF0DF4">
        <w:rPr>
          <w:spacing w:val="-4"/>
        </w:rPr>
        <w:t>aderon</w:t>
      </w:r>
      <w:proofErr w:type="spellEnd"/>
      <w:r w:rsidRPr="00FF0DF4">
        <w:rPr>
          <w:spacing w:val="-4"/>
        </w:rPr>
        <w:t xml:space="preserve"> </w:t>
      </w:r>
      <w:proofErr w:type="spellStart"/>
      <w:r w:rsidRPr="00FF0DF4">
        <w:rPr>
          <w:spacing w:val="-4"/>
        </w:rPr>
        <w:t>në</w:t>
      </w:r>
      <w:proofErr w:type="spellEnd"/>
      <w:r w:rsidRPr="00FF0DF4">
        <w:rPr>
          <w:spacing w:val="-4"/>
        </w:rPr>
        <w:t xml:space="preserve"> </w:t>
      </w:r>
      <w:proofErr w:type="spellStart"/>
      <w:r w:rsidRPr="00FF0DF4">
        <w:rPr>
          <w:spacing w:val="-4"/>
        </w:rPr>
        <w:t>marrëveshjen</w:t>
      </w:r>
      <w:proofErr w:type="spellEnd"/>
      <w:r w:rsidRPr="00FF0DF4">
        <w:rPr>
          <w:spacing w:val="-4"/>
        </w:rPr>
        <w:t xml:space="preserve"> e </w:t>
      </w:r>
      <w:proofErr w:type="spellStart"/>
      <w:r w:rsidRPr="00FF0DF4">
        <w:rPr>
          <w:spacing w:val="-4"/>
        </w:rPr>
        <w:t>Lokarnos</w:t>
      </w:r>
      <w:proofErr w:type="spellEnd"/>
      <w:r w:rsidRPr="00FF0DF4">
        <w:rPr>
          <w:spacing w:val="-4"/>
        </w:rPr>
        <w:t xml:space="preserve"> “</w:t>
      </w:r>
      <w:proofErr w:type="spellStart"/>
      <w:r w:rsidRPr="00FF0DF4">
        <w:rPr>
          <w:spacing w:val="-4"/>
        </w:rPr>
        <w:t>Për</w:t>
      </w:r>
      <w:proofErr w:type="spellEnd"/>
      <w:r w:rsidRPr="00FF0DF4">
        <w:rPr>
          <w:spacing w:val="-4"/>
        </w:rPr>
        <w:t xml:space="preserve"> </w:t>
      </w:r>
      <w:proofErr w:type="spellStart"/>
      <w:r w:rsidRPr="00FF0DF4">
        <w:rPr>
          <w:spacing w:val="-4"/>
        </w:rPr>
        <w:t>përcaktimin</w:t>
      </w:r>
      <w:proofErr w:type="spellEnd"/>
      <w:r w:rsidRPr="00FF0DF4">
        <w:rPr>
          <w:spacing w:val="-4"/>
        </w:rPr>
        <w:t xml:space="preserve"> e </w:t>
      </w:r>
      <w:proofErr w:type="spellStart"/>
      <w:r w:rsidRPr="00FF0DF4">
        <w:rPr>
          <w:spacing w:val="-4"/>
        </w:rPr>
        <w:t>një</w:t>
      </w:r>
      <w:proofErr w:type="spellEnd"/>
      <w:r w:rsidRPr="00FF0DF4">
        <w:rPr>
          <w:spacing w:val="-4"/>
        </w:rPr>
        <w:t xml:space="preserve"> </w:t>
      </w:r>
      <w:proofErr w:type="spellStart"/>
      <w:r w:rsidRPr="00FF0DF4">
        <w:rPr>
          <w:spacing w:val="-4"/>
        </w:rPr>
        <w:t>klasifikimi</w:t>
      </w:r>
      <w:proofErr w:type="spellEnd"/>
      <w:r w:rsidRPr="00FF0DF4">
        <w:rPr>
          <w:spacing w:val="-4"/>
        </w:rPr>
        <w:t xml:space="preserve"> </w:t>
      </w:r>
      <w:proofErr w:type="spellStart"/>
      <w:r w:rsidRPr="00FF0DF4">
        <w:rPr>
          <w:spacing w:val="-4"/>
        </w:rPr>
        <w:t>ndërkombëtar</w:t>
      </w:r>
      <w:proofErr w:type="spellEnd"/>
      <w:r w:rsidRPr="00FF0DF4">
        <w:rPr>
          <w:spacing w:val="-4"/>
        </w:rPr>
        <w:t xml:space="preserve"> </w:t>
      </w:r>
      <w:proofErr w:type="spellStart"/>
      <w:r w:rsidRPr="00FF0DF4">
        <w:rPr>
          <w:spacing w:val="-4"/>
        </w:rPr>
        <w:t>për</w:t>
      </w:r>
      <w:proofErr w:type="spellEnd"/>
      <w:r w:rsidRPr="00FF0DF4">
        <w:rPr>
          <w:spacing w:val="-4"/>
        </w:rPr>
        <w:t xml:space="preserve"> </w:t>
      </w:r>
      <w:proofErr w:type="spellStart"/>
      <w:r w:rsidRPr="00FF0DF4">
        <w:rPr>
          <w:spacing w:val="-4"/>
        </w:rPr>
        <w:t>disenjot</w:t>
      </w:r>
      <w:proofErr w:type="spellEnd"/>
      <w:r w:rsidRPr="00FF0DF4">
        <w:rPr>
          <w:spacing w:val="-4"/>
        </w:rPr>
        <w:t xml:space="preserve"> </w:t>
      </w:r>
      <w:proofErr w:type="spellStart"/>
      <w:r w:rsidRPr="00FF0DF4">
        <w:rPr>
          <w:spacing w:val="-4"/>
        </w:rPr>
        <w:t>industriale</w:t>
      </w:r>
      <w:proofErr w:type="spellEnd"/>
      <w:r w:rsidRPr="00FF0DF4">
        <w:rPr>
          <w:spacing w:val="-4"/>
        </w:rPr>
        <w:t xml:space="preserve">”, </w:t>
      </w:r>
      <w:proofErr w:type="spellStart"/>
      <w:r w:rsidRPr="00FF0DF4">
        <w:rPr>
          <w:spacing w:val="-4"/>
        </w:rPr>
        <w:t>sipas</w:t>
      </w:r>
      <w:proofErr w:type="spellEnd"/>
      <w:r w:rsidRPr="00FF0DF4">
        <w:rPr>
          <w:spacing w:val="-4"/>
        </w:rPr>
        <w:t xml:space="preserve"> </w:t>
      </w:r>
      <w:proofErr w:type="spellStart"/>
      <w:r w:rsidRPr="00FF0DF4">
        <w:rPr>
          <w:spacing w:val="-4"/>
        </w:rPr>
        <w:t>tekstit</w:t>
      </w:r>
      <w:proofErr w:type="spellEnd"/>
      <w:r w:rsidRPr="00FF0DF4">
        <w:rPr>
          <w:spacing w:val="-4"/>
        </w:rPr>
        <w:t xml:space="preserve"> </w:t>
      </w:r>
      <w:proofErr w:type="spellStart"/>
      <w:r w:rsidRPr="00FF0DF4">
        <w:rPr>
          <w:spacing w:val="-4"/>
        </w:rPr>
        <w:t>që</w:t>
      </w:r>
      <w:proofErr w:type="spellEnd"/>
      <w:r w:rsidRPr="00FF0DF4">
        <w:rPr>
          <w:spacing w:val="-4"/>
        </w:rPr>
        <w:t xml:space="preserve"> </w:t>
      </w:r>
      <w:proofErr w:type="spellStart"/>
      <w:r w:rsidRPr="00FF0DF4">
        <w:rPr>
          <w:spacing w:val="-4"/>
        </w:rPr>
        <w:t>i</w:t>
      </w:r>
      <w:proofErr w:type="spellEnd"/>
      <w:r w:rsidRPr="00FF0DF4">
        <w:rPr>
          <w:spacing w:val="-4"/>
        </w:rPr>
        <w:t xml:space="preserve"> </w:t>
      </w:r>
      <w:proofErr w:type="spellStart"/>
      <w:r w:rsidRPr="00FF0DF4">
        <w:rPr>
          <w:spacing w:val="-4"/>
        </w:rPr>
        <w:t>bashkëlidhet</w:t>
      </w:r>
      <w:proofErr w:type="spellEnd"/>
      <w:r w:rsidRPr="00FF0DF4">
        <w:rPr>
          <w:spacing w:val="-4"/>
        </w:rPr>
        <w:t xml:space="preserve"> </w:t>
      </w:r>
      <w:proofErr w:type="spellStart"/>
      <w:r w:rsidRPr="00FF0DF4">
        <w:rPr>
          <w:spacing w:val="-4"/>
        </w:rPr>
        <w:t>këtij</w:t>
      </w:r>
      <w:proofErr w:type="spellEnd"/>
      <w:r w:rsidRPr="00FF0DF4">
        <w:rPr>
          <w:spacing w:val="-4"/>
        </w:rPr>
        <w:t xml:space="preserve"> </w:t>
      </w:r>
      <w:proofErr w:type="spellStart"/>
      <w:r w:rsidRPr="00FF0DF4">
        <w:rPr>
          <w:spacing w:val="-4"/>
        </w:rPr>
        <w:t>ligji</w:t>
      </w:r>
      <w:proofErr w:type="spellEnd"/>
      <w:r w:rsidRPr="00FF0DF4">
        <w:rPr>
          <w:spacing w:val="-4"/>
        </w:rPr>
        <w:t xml:space="preserve"> </w:t>
      </w:r>
      <w:proofErr w:type="spellStart"/>
      <w:r w:rsidRPr="00FF0DF4">
        <w:rPr>
          <w:spacing w:val="-4"/>
        </w:rPr>
        <w:t>dhe</w:t>
      </w:r>
      <w:proofErr w:type="spellEnd"/>
      <w:r w:rsidRPr="00FF0DF4">
        <w:rPr>
          <w:spacing w:val="-4"/>
        </w:rPr>
        <w:t xml:space="preserve"> </w:t>
      </w:r>
      <w:proofErr w:type="spellStart"/>
      <w:r w:rsidRPr="00FF0DF4">
        <w:rPr>
          <w:spacing w:val="-4"/>
        </w:rPr>
        <w:t>është</w:t>
      </w:r>
      <w:proofErr w:type="spellEnd"/>
      <w:r w:rsidRPr="00FF0DF4">
        <w:rPr>
          <w:spacing w:val="-4"/>
        </w:rPr>
        <w:t xml:space="preserve"> </w:t>
      </w:r>
      <w:proofErr w:type="spellStart"/>
      <w:r w:rsidRPr="00FF0DF4">
        <w:rPr>
          <w:spacing w:val="-4"/>
        </w:rPr>
        <w:t>pjesë</w:t>
      </w:r>
      <w:proofErr w:type="spellEnd"/>
      <w:r w:rsidRPr="00FF0DF4">
        <w:rPr>
          <w:spacing w:val="-4"/>
        </w:rPr>
        <w:t xml:space="preserve"> </w:t>
      </w:r>
      <w:proofErr w:type="spellStart"/>
      <w:r w:rsidRPr="00FF0DF4">
        <w:rPr>
          <w:spacing w:val="-4"/>
        </w:rPr>
        <w:t>përbërëse</w:t>
      </w:r>
      <w:proofErr w:type="spellEnd"/>
      <w:r w:rsidRPr="00FF0DF4">
        <w:rPr>
          <w:spacing w:val="-4"/>
        </w:rPr>
        <w:t xml:space="preserve"> e </w:t>
      </w:r>
      <w:proofErr w:type="spellStart"/>
      <w:r w:rsidRPr="00FF0DF4">
        <w:rPr>
          <w:spacing w:val="-4"/>
        </w:rPr>
        <w:t>tij</w:t>
      </w:r>
      <w:proofErr w:type="spellEnd"/>
      <w:r w:rsidRPr="00FF0DF4">
        <w:rPr>
          <w:spacing w:val="-4"/>
        </w:rPr>
        <w:t>.</w:t>
      </w:r>
    </w:p>
    <w:p w:rsidR="007C1B4F" w:rsidRPr="007C1B4F" w:rsidRDefault="007C1B4F" w:rsidP="007C1B4F">
      <w:pPr>
        <w:pStyle w:val="NeniNr"/>
        <w:rPr>
          <w:sz w:val="14"/>
        </w:rPr>
      </w:pPr>
    </w:p>
    <w:p w:rsidR="007C1B4F" w:rsidRPr="00D210A4" w:rsidRDefault="007C1B4F" w:rsidP="007C1B4F">
      <w:pPr>
        <w:pStyle w:val="NeniNr"/>
      </w:pPr>
      <w:proofErr w:type="spellStart"/>
      <w:r w:rsidRPr="00D210A4">
        <w:t>Neni</w:t>
      </w:r>
      <w:proofErr w:type="spellEnd"/>
      <w:r w:rsidRPr="00D210A4">
        <w:t xml:space="preserve"> 2</w:t>
      </w:r>
    </w:p>
    <w:p w:rsidR="007C1B4F" w:rsidRPr="00FF0DF4" w:rsidRDefault="007C1B4F" w:rsidP="007C1B4F">
      <w:pPr>
        <w:pStyle w:val="Paragrafi"/>
        <w:rPr>
          <w:sz w:val="12"/>
        </w:rPr>
      </w:pPr>
    </w:p>
    <w:p w:rsidR="007C1B4F" w:rsidRPr="00D210A4" w:rsidRDefault="007C1B4F" w:rsidP="007C1B4F">
      <w:pPr>
        <w:pStyle w:val="Paragrafi"/>
      </w:pPr>
      <w:proofErr w:type="spellStart"/>
      <w:proofErr w:type="gramStart"/>
      <w:r w:rsidRPr="00D210A4">
        <w:t>Ky</w:t>
      </w:r>
      <w:proofErr w:type="spellEnd"/>
      <w:proofErr w:type="gramEnd"/>
      <w:r w:rsidRPr="00D210A4">
        <w:t xml:space="preserve"> </w:t>
      </w:r>
      <w:proofErr w:type="spellStart"/>
      <w:r w:rsidRPr="00D210A4">
        <w:t>ligj</w:t>
      </w:r>
      <w:proofErr w:type="spellEnd"/>
      <w:r w:rsidRPr="00D210A4">
        <w:t xml:space="preserve"> </w:t>
      </w:r>
      <w:proofErr w:type="spellStart"/>
      <w:r w:rsidRPr="00D210A4">
        <w:t>hyn</w:t>
      </w:r>
      <w:proofErr w:type="spellEnd"/>
      <w:r w:rsidRPr="00D210A4">
        <w:t xml:space="preserve"> </w:t>
      </w:r>
      <w:proofErr w:type="spellStart"/>
      <w:r w:rsidRPr="00D210A4">
        <w:t>në</w:t>
      </w:r>
      <w:proofErr w:type="spellEnd"/>
      <w:r w:rsidRPr="00D210A4">
        <w:t xml:space="preserve"> </w:t>
      </w:r>
      <w:proofErr w:type="spellStart"/>
      <w:r w:rsidRPr="00D210A4">
        <w:t>fuqi</w:t>
      </w:r>
      <w:proofErr w:type="spellEnd"/>
      <w:r w:rsidRPr="00D210A4">
        <w:t xml:space="preserve"> 15 </w:t>
      </w:r>
      <w:proofErr w:type="spellStart"/>
      <w:r w:rsidRPr="00D210A4">
        <w:t>ditë</w:t>
      </w:r>
      <w:proofErr w:type="spellEnd"/>
      <w:r w:rsidRPr="00D210A4">
        <w:t xml:space="preserve"> pas </w:t>
      </w:r>
      <w:proofErr w:type="spellStart"/>
      <w:r w:rsidRPr="00D210A4">
        <w:t>botimit</w:t>
      </w:r>
      <w:proofErr w:type="spellEnd"/>
      <w:r w:rsidRPr="00D210A4">
        <w:t xml:space="preserve"> </w:t>
      </w:r>
      <w:proofErr w:type="spellStart"/>
      <w:r w:rsidRPr="00D210A4">
        <w:t>në</w:t>
      </w:r>
      <w:proofErr w:type="spellEnd"/>
      <w:r w:rsidRPr="00D210A4">
        <w:t xml:space="preserve"> </w:t>
      </w:r>
      <w:proofErr w:type="spellStart"/>
      <w:r w:rsidRPr="00D210A4">
        <w:t>Fletoren</w:t>
      </w:r>
      <w:proofErr w:type="spellEnd"/>
      <w:r w:rsidRPr="00D210A4">
        <w:t xml:space="preserve"> </w:t>
      </w:r>
      <w:proofErr w:type="spellStart"/>
      <w:r w:rsidRPr="00D210A4">
        <w:t>Zyrtare</w:t>
      </w:r>
      <w:proofErr w:type="spellEnd"/>
      <w:r w:rsidRPr="00D210A4">
        <w:t>.</w:t>
      </w:r>
    </w:p>
    <w:p w:rsidR="007C1B4F" w:rsidRPr="00FF0DF4" w:rsidRDefault="007C1B4F" w:rsidP="007C1B4F">
      <w:pPr>
        <w:pStyle w:val="Paragrafi"/>
        <w:rPr>
          <w:sz w:val="14"/>
        </w:rPr>
      </w:pPr>
    </w:p>
    <w:p w:rsidR="007C1B4F" w:rsidRPr="00D210A4" w:rsidRDefault="007C1B4F" w:rsidP="007C1B4F">
      <w:pPr>
        <w:pStyle w:val="Paragrafi"/>
      </w:pPr>
      <w:proofErr w:type="spellStart"/>
      <w:r w:rsidRPr="00D210A4">
        <w:t>Miratuar</w:t>
      </w:r>
      <w:proofErr w:type="spellEnd"/>
      <w:r w:rsidRPr="00D210A4">
        <w:t xml:space="preserve"> </w:t>
      </w:r>
      <w:proofErr w:type="spellStart"/>
      <w:r w:rsidRPr="00D210A4">
        <w:t>në</w:t>
      </w:r>
      <w:proofErr w:type="spellEnd"/>
      <w:r w:rsidRPr="00D210A4">
        <w:t xml:space="preserve"> </w:t>
      </w:r>
      <w:proofErr w:type="spellStart"/>
      <w:r w:rsidRPr="00D210A4">
        <w:t>datën</w:t>
      </w:r>
      <w:proofErr w:type="spellEnd"/>
      <w:r w:rsidRPr="00D210A4">
        <w:t xml:space="preserve"> 7.6.2018</w:t>
      </w:r>
    </w:p>
    <w:p w:rsidR="007C1B4F" w:rsidRPr="00FF0DF4" w:rsidRDefault="007C1B4F" w:rsidP="007C1B4F">
      <w:pPr>
        <w:pStyle w:val="NeniNr"/>
        <w:jc w:val="both"/>
        <w:rPr>
          <w:b/>
          <w:spacing w:val="-4"/>
          <w:sz w:val="14"/>
          <w:lang w:val="sq-AL"/>
        </w:rPr>
      </w:pPr>
    </w:p>
    <w:p w:rsidR="007C1B4F" w:rsidRPr="00FF0DF4" w:rsidRDefault="007C1B4F" w:rsidP="007C1B4F">
      <w:pPr>
        <w:pStyle w:val="NeniNr"/>
        <w:jc w:val="both"/>
        <w:rPr>
          <w:b/>
          <w:lang w:val="sq-AL"/>
        </w:rPr>
      </w:pPr>
      <w:r w:rsidRPr="00FF0DF4">
        <w:rPr>
          <w:b/>
          <w:lang w:val="sq-AL"/>
        </w:rPr>
        <w:t xml:space="preserve">Shpallur me dekretin nr. 10814, datë 25.6.2018 të Presidentit të Republikës së Shqipërisë,  Ilir Meta </w:t>
      </w:r>
    </w:p>
    <w:p w:rsidR="007C1B4F" w:rsidRDefault="007C1B4F" w:rsidP="007C1B4F">
      <w:pPr>
        <w:pStyle w:val="NeniTitull"/>
        <w:rPr>
          <w:lang w:val="sq-AL"/>
        </w:rPr>
      </w:pPr>
    </w:p>
    <w:p w:rsidR="007C1B4F" w:rsidRPr="00C6252F" w:rsidRDefault="007C1B4F" w:rsidP="007C1B4F">
      <w:pPr>
        <w:pStyle w:val="NeniTitull"/>
        <w:rPr>
          <w:lang w:val="sq-AL"/>
        </w:rPr>
      </w:pPr>
      <w:r w:rsidRPr="00C6252F">
        <w:rPr>
          <w:lang w:val="sq-AL"/>
        </w:rPr>
        <w:t>MARRËVESHJA E LOKARNOS</w:t>
      </w:r>
    </w:p>
    <w:p w:rsidR="007C1B4F" w:rsidRPr="00C6252F" w:rsidRDefault="007C1B4F" w:rsidP="007C1B4F">
      <w:pPr>
        <w:pStyle w:val="NeniTitull"/>
        <w:rPr>
          <w:rFonts w:eastAsia="Times New Roman" w:cs="Times New Roman"/>
          <w:b w:val="0"/>
          <w:lang w:val="sq-AL"/>
        </w:rPr>
      </w:pPr>
      <w:r w:rsidRPr="00C6252F">
        <w:rPr>
          <w:b w:val="0"/>
          <w:lang w:val="sq-AL"/>
        </w:rPr>
        <w:t>PËR PËRCAKTIMIN E NJË KLASIFIKIMI NDËRKOMBËTAR PËR DIZENJOT INDUSTRIALE</w:t>
      </w:r>
    </w:p>
    <w:p w:rsidR="007C1B4F" w:rsidRPr="00C6252F" w:rsidRDefault="007C1B4F" w:rsidP="007C1B4F">
      <w:pPr>
        <w:pStyle w:val="NeniNr"/>
        <w:rPr>
          <w:lang w:val="sq-AL"/>
        </w:rPr>
      </w:pPr>
      <w:r w:rsidRPr="00C6252F">
        <w:rPr>
          <w:lang w:val="sq-AL"/>
        </w:rPr>
        <w:t xml:space="preserve">E nënshkruar në Lokarno, më 8 tetor 1968 </w:t>
      </w:r>
    </w:p>
    <w:p w:rsidR="007C1B4F" w:rsidRPr="00C6252F" w:rsidRDefault="007C1B4F" w:rsidP="007C1B4F">
      <w:pPr>
        <w:pStyle w:val="NeniNr"/>
        <w:rPr>
          <w:i/>
          <w:lang w:val="sq-AL"/>
        </w:rPr>
      </w:pPr>
      <w:r w:rsidRPr="00C6252F">
        <w:rPr>
          <w:lang w:val="sq-AL"/>
        </w:rPr>
        <w:t>dhe e ndryshuar më 28 shtator 1979</w:t>
      </w:r>
    </w:p>
    <w:p w:rsidR="007C1B4F" w:rsidRPr="00C6252F" w:rsidRDefault="007C1B4F" w:rsidP="007C1B4F">
      <w:pPr>
        <w:pStyle w:val="Hapesira7"/>
        <w:rPr>
          <w:lang w:val="sq-AL"/>
        </w:rPr>
      </w:pPr>
    </w:p>
    <w:p w:rsidR="007C1B4F" w:rsidRPr="00C6252F" w:rsidRDefault="007C1B4F" w:rsidP="007C1B4F">
      <w:pPr>
        <w:pStyle w:val="NeniNr"/>
        <w:rPr>
          <w:rFonts w:eastAsia="Times New Roman" w:cs="Times New Roman"/>
          <w:lang w:val="sq-AL"/>
        </w:rPr>
      </w:pPr>
      <w:r w:rsidRPr="00C6252F">
        <w:rPr>
          <w:lang w:val="sq-AL"/>
        </w:rPr>
        <w:t>Neni 1</w:t>
      </w:r>
    </w:p>
    <w:p w:rsidR="007C1B4F" w:rsidRPr="00C6252F" w:rsidRDefault="007C1B4F" w:rsidP="007C1B4F">
      <w:pPr>
        <w:pStyle w:val="Paragrafi"/>
        <w:ind w:firstLine="0"/>
        <w:jc w:val="center"/>
        <w:rPr>
          <w:rFonts w:eastAsia="Times New Roman" w:cs="Times New Roman"/>
          <w:b/>
          <w:lang w:val="sq-AL"/>
        </w:rPr>
      </w:pPr>
      <w:r w:rsidRPr="00C6252F">
        <w:rPr>
          <w:b/>
          <w:lang w:val="sq-AL"/>
        </w:rPr>
        <w:t>Themelimi i një Unioni të Posaçëm; miratimi i një Klasifikimi Ndërkombëtar</w:t>
      </w:r>
    </w:p>
    <w:p w:rsidR="007C1B4F" w:rsidRPr="00C6252F" w:rsidRDefault="007C1B4F" w:rsidP="007C1B4F">
      <w:pPr>
        <w:pStyle w:val="Paragrafi"/>
        <w:rPr>
          <w:sz w:val="14"/>
          <w:szCs w:val="14"/>
          <w:lang w:val="sq-AL"/>
        </w:rPr>
      </w:pPr>
    </w:p>
    <w:p w:rsidR="007C1B4F" w:rsidRPr="00C6252F" w:rsidRDefault="007C1B4F" w:rsidP="007C1B4F">
      <w:pPr>
        <w:pStyle w:val="Paragrafi"/>
        <w:rPr>
          <w:rFonts w:eastAsia="Times New Roman" w:cs="Times New Roman"/>
          <w:lang w:val="sq-AL"/>
        </w:rPr>
      </w:pPr>
      <w:r w:rsidRPr="00C6252F">
        <w:rPr>
          <w:lang w:val="sq-AL"/>
        </w:rPr>
        <w:t>1. Vendet ku zbatohet kjo Marrëveshje përbëjnë një Union të Posaçëm.</w:t>
      </w:r>
    </w:p>
    <w:p w:rsidR="007C1B4F" w:rsidRPr="00C6252F" w:rsidRDefault="007C1B4F" w:rsidP="007C1B4F">
      <w:pPr>
        <w:pStyle w:val="Paragrafi"/>
        <w:rPr>
          <w:rFonts w:eastAsia="Times New Roman" w:cs="Times New Roman"/>
          <w:lang w:val="sq-AL"/>
        </w:rPr>
      </w:pPr>
      <w:r w:rsidRPr="00C6252F">
        <w:rPr>
          <w:lang w:val="sq-AL"/>
        </w:rPr>
        <w:t>2. Këto vende miratojnë një klasifikim të vetëm për dizenjot industriale (në vijim i referuar si “Klasifikimi Ndërkombëtar”).</w:t>
      </w:r>
    </w:p>
    <w:p w:rsidR="007C1B4F" w:rsidRPr="00C6252F" w:rsidRDefault="007C1B4F" w:rsidP="007C1B4F">
      <w:pPr>
        <w:pStyle w:val="Paragrafi"/>
        <w:rPr>
          <w:rFonts w:eastAsia="Times New Roman" w:cs="Times New Roman"/>
          <w:lang w:val="sq-AL"/>
        </w:rPr>
      </w:pPr>
      <w:r w:rsidRPr="00C6252F">
        <w:rPr>
          <w:lang w:val="sq-AL"/>
        </w:rPr>
        <w:t>3. Klasifikimi Ndërkombëtar përbëhet nga:</w:t>
      </w:r>
    </w:p>
    <w:p w:rsidR="007C1B4F" w:rsidRPr="00C6252F" w:rsidRDefault="007C1B4F" w:rsidP="007C1B4F">
      <w:pPr>
        <w:pStyle w:val="Paragrafi"/>
        <w:rPr>
          <w:rFonts w:eastAsia="Times New Roman" w:cs="Times New Roman"/>
          <w:lang w:val="sq-AL"/>
        </w:rPr>
      </w:pPr>
      <w:r w:rsidRPr="00C6252F">
        <w:rPr>
          <w:lang w:val="sq-AL"/>
        </w:rPr>
        <w:t>i. një listë e klasave dhe e nënklasave;</w:t>
      </w:r>
    </w:p>
    <w:p w:rsidR="007C1B4F" w:rsidRPr="00C6252F" w:rsidRDefault="007C1B4F" w:rsidP="007C1B4F">
      <w:pPr>
        <w:pStyle w:val="Paragrafi"/>
        <w:rPr>
          <w:rFonts w:eastAsia="Times New Roman" w:cs="Times New Roman"/>
          <w:lang w:val="sq-AL"/>
        </w:rPr>
      </w:pPr>
      <w:r w:rsidRPr="00C6252F">
        <w:rPr>
          <w:lang w:val="sq-AL"/>
        </w:rPr>
        <w:t>ii. një listë alfabetike e mallrave ku përfshihen dizenjot industriale, me një tregues të klasave dhe nënklasave ku ato kategorizohen;</w:t>
      </w:r>
    </w:p>
    <w:p w:rsidR="007C1B4F" w:rsidRPr="00C6252F" w:rsidRDefault="007C1B4F" w:rsidP="007C1B4F">
      <w:pPr>
        <w:pStyle w:val="Paragrafi"/>
        <w:rPr>
          <w:rFonts w:eastAsia="Times New Roman" w:cs="Times New Roman"/>
          <w:lang w:val="sq-AL"/>
        </w:rPr>
      </w:pPr>
      <w:r w:rsidRPr="00C6252F">
        <w:rPr>
          <w:lang w:val="sq-AL"/>
        </w:rPr>
        <w:t>iii. shënime shpjeguese.</w:t>
      </w:r>
    </w:p>
    <w:p w:rsidR="007C1B4F" w:rsidRPr="00C6252F" w:rsidRDefault="007C1B4F" w:rsidP="007C1B4F">
      <w:pPr>
        <w:pStyle w:val="Paragrafi"/>
        <w:rPr>
          <w:rFonts w:eastAsia="Times New Roman" w:cs="Times New Roman"/>
          <w:lang w:val="sq-AL"/>
        </w:rPr>
      </w:pPr>
      <w:r w:rsidRPr="00C6252F">
        <w:rPr>
          <w:lang w:val="sq-AL"/>
        </w:rPr>
        <w:t>4. Lista e klasave dhe e nënklasave është lista bashkëlidhur kësaj Marrëveshjeje, objekt i këtyre ndryshimeve dhe shtesave, siç përcaktohet nga Komiteti i Ekspertëve, sipas nenit 3 (në vijim i referuar si “Komiteti i Ekspertëve”).</w:t>
      </w:r>
    </w:p>
    <w:p w:rsidR="007C1B4F" w:rsidRPr="0027705D" w:rsidRDefault="007C1B4F" w:rsidP="007C1B4F">
      <w:pPr>
        <w:pStyle w:val="Paragrafi"/>
        <w:rPr>
          <w:rFonts w:eastAsia="Times New Roman" w:cs="Times New Roman"/>
          <w:spacing w:val="-6"/>
          <w:lang w:val="sq-AL"/>
        </w:rPr>
      </w:pPr>
      <w:r w:rsidRPr="0027705D">
        <w:rPr>
          <w:spacing w:val="-6"/>
          <w:lang w:val="sq-AL"/>
        </w:rPr>
        <w:t>5. Lista alfabetike e mallrave dhe e shënimeve shpjeguese miratohet nga Komiteti i Ekspertëve, në përputhje me procedurën e përcaktuar në nenin 3.</w:t>
      </w:r>
    </w:p>
    <w:p w:rsidR="007C1B4F" w:rsidRPr="00C6252F" w:rsidRDefault="007C1B4F" w:rsidP="007C1B4F">
      <w:pPr>
        <w:pStyle w:val="Paragrafi"/>
        <w:rPr>
          <w:rFonts w:eastAsia="Times New Roman" w:cs="Times New Roman"/>
          <w:lang w:val="sq-AL"/>
        </w:rPr>
      </w:pPr>
      <w:r w:rsidRPr="00C6252F">
        <w:rPr>
          <w:lang w:val="sq-AL"/>
        </w:rPr>
        <w:t xml:space="preserve">6. Klasifikimi Ndërkombëtar mund të ndryshohet ose plotësohet nga Komiteti i Ekspertëve, në </w:t>
      </w:r>
      <w:r w:rsidRPr="00C6252F">
        <w:rPr>
          <w:lang w:val="sq-AL"/>
        </w:rPr>
        <w:lastRenderedPageBreak/>
        <w:t>përputhje me procedurën e përcaktuar në nenin 3.</w:t>
      </w:r>
    </w:p>
    <w:p w:rsidR="007C1B4F" w:rsidRPr="00C6252F" w:rsidRDefault="007C1B4F" w:rsidP="007C1B4F">
      <w:pPr>
        <w:pStyle w:val="Paragrafi"/>
        <w:rPr>
          <w:rFonts w:eastAsia="Times New Roman" w:cs="Times New Roman"/>
          <w:lang w:val="sq-AL"/>
        </w:rPr>
      </w:pPr>
      <w:r w:rsidRPr="00C6252F">
        <w:rPr>
          <w:lang w:val="sq-AL"/>
        </w:rPr>
        <w:t>7. a)</w:t>
      </w:r>
      <w:r w:rsidRPr="00C6252F">
        <w:rPr>
          <w:lang w:val="sq-AL"/>
        </w:rPr>
        <w:tab/>
        <w:t>Klasifikimi Ndërkombëtar hartohet në gjuhët angleze dhe frënge.</w:t>
      </w:r>
    </w:p>
    <w:p w:rsidR="007C1B4F" w:rsidRPr="00C6252F" w:rsidRDefault="007C1B4F" w:rsidP="007C1B4F">
      <w:pPr>
        <w:pStyle w:val="Paragrafi"/>
        <w:rPr>
          <w:lang w:val="sq-AL"/>
        </w:rPr>
      </w:pPr>
      <w:r w:rsidRPr="00C6252F">
        <w:rPr>
          <w:lang w:val="sq-AL"/>
        </w:rPr>
        <w:t>b)</w:t>
      </w:r>
      <w:r w:rsidRPr="00C6252F">
        <w:rPr>
          <w:lang w:val="sq-AL"/>
        </w:rPr>
        <w:tab/>
        <w:t>Tekstet zyrtare të Klasifikimit Ndërkombëtar, në gjuhë të tjera, siç mund të përcaktohen nga Asambleja e përmendur në nenin 5, përcaktohen pas konsultimit me qeveritë e interesuara, nga Byroja Ndërkombëtare e Pronësisë Intelektuale (në vijim e referuar si “Byroja Ndërkombëtare”), e përmendur në Konventën për themelimin e Organizatës Botërore të Pronësisë Intelektuale (në vijim e referuar si “Organizata”).</w:t>
      </w:r>
    </w:p>
    <w:p w:rsidR="007C1B4F" w:rsidRPr="00C6252F" w:rsidRDefault="007C1B4F" w:rsidP="007C1B4F">
      <w:pPr>
        <w:pStyle w:val="Hapesira7"/>
        <w:rPr>
          <w:spacing w:val="-4"/>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2</w:t>
      </w:r>
    </w:p>
    <w:p w:rsidR="007C1B4F" w:rsidRPr="00C6252F" w:rsidRDefault="007C1B4F" w:rsidP="007C1B4F">
      <w:pPr>
        <w:pStyle w:val="Paragrafi"/>
        <w:ind w:firstLine="0"/>
        <w:jc w:val="center"/>
        <w:rPr>
          <w:rFonts w:eastAsia="Times New Roman" w:cs="Times New Roman"/>
          <w:b/>
          <w:spacing w:val="-4"/>
          <w:lang w:val="sq-AL"/>
        </w:rPr>
      </w:pPr>
      <w:r w:rsidRPr="00C6252F">
        <w:rPr>
          <w:b/>
          <w:spacing w:val="-4"/>
          <w:lang w:val="sq-AL"/>
        </w:rPr>
        <w:t>Përdorimi dhe fusha ligjore e veprimit të Klasifikimit Ndërkombëtar</w:t>
      </w:r>
    </w:p>
    <w:p w:rsidR="007C1B4F" w:rsidRPr="00C6252F" w:rsidRDefault="007C1B4F" w:rsidP="007C1B4F">
      <w:pPr>
        <w:pStyle w:val="Paragrafi"/>
        <w:rPr>
          <w:spacing w:val="-4"/>
          <w:sz w:val="14"/>
          <w:lang w:val="sq-AL"/>
        </w:rPr>
      </w:pPr>
    </w:p>
    <w:p w:rsidR="007C1B4F" w:rsidRPr="00C6252F" w:rsidRDefault="007C1B4F" w:rsidP="007C1B4F">
      <w:pPr>
        <w:pStyle w:val="Paragrafi"/>
        <w:rPr>
          <w:rFonts w:eastAsia="Times New Roman" w:cs="Times New Roman"/>
          <w:spacing w:val="-4"/>
          <w:lang w:val="sq-AL"/>
        </w:rPr>
      </w:pPr>
      <w:r w:rsidRPr="00C6252F">
        <w:rPr>
          <w:spacing w:val="-4"/>
          <w:lang w:val="sq-AL"/>
        </w:rPr>
        <w:t>1. Sipas kërkesave të përshkruara në këtë Marrëveshje, Klasifikimi Ndërkombëtar ka vetëm karakter administrativ. Megjithatë, secili vend mund të vendosë atë fushë ligjore veprimi që e çmon të përshtatshme. Në veçanti, Klasifikimi Ndërkombëtar nuk i detyron vendet e Unionit të Posaçëm në lidhje me natyrën dhe objektin e mbrojtjes që u jepet dizenjove në ato vende.</w:t>
      </w:r>
    </w:p>
    <w:p w:rsidR="007C1B4F" w:rsidRPr="00C6252F" w:rsidRDefault="007C1B4F" w:rsidP="007C1B4F">
      <w:pPr>
        <w:pStyle w:val="Paragrafi"/>
        <w:rPr>
          <w:rFonts w:eastAsia="Times New Roman" w:cs="Times New Roman"/>
          <w:spacing w:val="-4"/>
          <w:lang w:val="sq-AL"/>
        </w:rPr>
      </w:pPr>
      <w:r w:rsidRPr="00C6252F">
        <w:rPr>
          <w:spacing w:val="-4"/>
          <w:lang w:val="sq-AL"/>
        </w:rPr>
        <w:t>2. Secili vend i Unionit të Posaçëm rezervon të drejtën për të përdorur Klasifikimin Ndërkombëtar si një sistem parësor ose sistem ndihmës.</w:t>
      </w:r>
    </w:p>
    <w:p w:rsidR="007C1B4F" w:rsidRPr="00C6252F" w:rsidRDefault="007C1B4F" w:rsidP="007C1B4F">
      <w:pPr>
        <w:pStyle w:val="Paragrafi"/>
        <w:rPr>
          <w:rFonts w:eastAsia="Times New Roman" w:cs="Times New Roman"/>
          <w:spacing w:val="-4"/>
          <w:lang w:val="sq-AL"/>
        </w:rPr>
      </w:pPr>
      <w:r w:rsidRPr="00C6252F">
        <w:rPr>
          <w:spacing w:val="-4"/>
          <w:lang w:val="sq-AL"/>
        </w:rPr>
        <w:t>3. Zyrat e vendeve të Unionit të Posaçëm duhet të përfshijnë në dokumentet zyrtare për depozitimin ose për regjistrimin e dizenjove dhe, nëse janë botuar zyrtarisht, në botimet në fjalë, numrat e klasave dhe të nënklasave të Klasifikimit Ndërkombëtar ku kategorizohen mallrat që i përkasin dizenjos.</w:t>
      </w:r>
    </w:p>
    <w:p w:rsidR="007C1B4F" w:rsidRPr="00C6252F" w:rsidRDefault="007C1B4F" w:rsidP="007C1B4F">
      <w:pPr>
        <w:pStyle w:val="Paragrafi"/>
        <w:rPr>
          <w:rFonts w:eastAsia="Times New Roman" w:cs="Times New Roman"/>
          <w:spacing w:val="-4"/>
          <w:lang w:val="sq-AL"/>
        </w:rPr>
      </w:pPr>
      <w:r w:rsidRPr="00C6252F">
        <w:rPr>
          <w:spacing w:val="-4"/>
          <w:lang w:val="sq-AL"/>
        </w:rPr>
        <w:t>4. Në përzgjedhjen e kushteve për përfshirjen në listën alfabetike të mallrave, Komiteti i Ekspertëve tregon kujdes të arsyeshëm për shmangien e përdorimit të kushteve ku mund të ekzistojnë të drejtat ekskluzive. Megjithatë, përfshirja e ndonjë fjale në indeksin alfabetik nuk përbën shprehje të opinionit të Komitetit të Ekspertëve në lidhje me faktin nëse është objekt i të drejtave ekskluzive apo jo.</w:t>
      </w:r>
    </w:p>
    <w:p w:rsidR="007C1B4F" w:rsidRPr="00C6252F" w:rsidRDefault="007C1B4F" w:rsidP="007C1B4F">
      <w:pPr>
        <w:pStyle w:val="Hapesira7"/>
        <w:rPr>
          <w:spacing w:val="-4"/>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3</w:t>
      </w:r>
    </w:p>
    <w:p w:rsidR="007C1B4F" w:rsidRPr="00C6252F" w:rsidRDefault="007C1B4F" w:rsidP="007C1B4F">
      <w:pPr>
        <w:pStyle w:val="NeniNr"/>
        <w:rPr>
          <w:rFonts w:eastAsia="Times New Roman" w:cs="Times New Roman"/>
          <w:b/>
          <w:spacing w:val="-4"/>
          <w:lang w:val="sq-AL"/>
        </w:rPr>
      </w:pPr>
      <w:r w:rsidRPr="00C6252F">
        <w:rPr>
          <w:b/>
          <w:spacing w:val="-4"/>
          <w:lang w:val="sq-AL"/>
        </w:rPr>
        <w:t>Komiteti i Ekspertëve</w:t>
      </w:r>
    </w:p>
    <w:p w:rsidR="007C1B4F" w:rsidRPr="00C6252F" w:rsidRDefault="007C1B4F" w:rsidP="007C1B4F">
      <w:pPr>
        <w:pStyle w:val="Hapesira7"/>
        <w:rPr>
          <w:spacing w:val="-4"/>
          <w:lang w:val="sq-AL"/>
        </w:rPr>
      </w:pPr>
    </w:p>
    <w:p w:rsidR="007C1B4F" w:rsidRPr="00C6252F" w:rsidRDefault="007C1B4F" w:rsidP="007C1B4F">
      <w:pPr>
        <w:pStyle w:val="Paragrafi"/>
        <w:rPr>
          <w:spacing w:val="-4"/>
          <w:lang w:val="sq-AL"/>
        </w:rPr>
      </w:pPr>
      <w:r w:rsidRPr="00C6252F">
        <w:rPr>
          <w:spacing w:val="-4"/>
          <w:lang w:val="sq-AL"/>
        </w:rPr>
        <w:t>1. Komitetit të Ekspertëve i besohen detyrat e përmendura në nenin 1, paragrafët 4 dhe 5 dhe në nenin 1, paragrafi 6. Çdo vend i Unionit të Posaçëm përfaqësohet në Komitetin e Ekspertëve, i cili organizohet sipas rregullave të procedurës të miratuara me shumicë të thjeshtë të vendeve të përfaqësuara.</w:t>
      </w:r>
    </w:p>
    <w:p w:rsidR="007C1B4F" w:rsidRPr="00C6252F" w:rsidRDefault="007C1B4F" w:rsidP="007C1B4F">
      <w:pPr>
        <w:pStyle w:val="Paragrafi"/>
        <w:rPr>
          <w:rFonts w:eastAsia="Times New Roman" w:cs="Times New Roman"/>
          <w:spacing w:val="-4"/>
          <w:lang w:val="sq-AL"/>
        </w:rPr>
      </w:pPr>
      <w:r w:rsidRPr="00C6252F">
        <w:rPr>
          <w:spacing w:val="-4"/>
          <w:lang w:val="sq-AL"/>
        </w:rPr>
        <w:t>2. Komiteti i Ekspertëve miraton listën alfabetike dhe shënimet shpjeguese me shumicë të thjeshtë të votave të vendeve të Unionit të Posaçëm.</w:t>
      </w:r>
    </w:p>
    <w:p w:rsidR="007C1B4F" w:rsidRPr="00C6252F" w:rsidRDefault="007C1B4F" w:rsidP="007C1B4F">
      <w:pPr>
        <w:pStyle w:val="Paragrafi"/>
        <w:rPr>
          <w:rFonts w:eastAsia="Times New Roman" w:cs="Times New Roman"/>
          <w:spacing w:val="-4"/>
          <w:lang w:val="sq-AL"/>
        </w:rPr>
      </w:pPr>
      <w:r w:rsidRPr="00C6252F">
        <w:rPr>
          <w:spacing w:val="-4"/>
          <w:lang w:val="sq-AL"/>
        </w:rPr>
        <w:t>3. Propozimet për ndryshime ose shtesa në Klasifikimin Ndërkombëtar mund të kryhen nga zyra e çdo vendi të Unionit të Posaçëm ose nga Byroja Ndërkombëtare. Çdo propozim që paraqitet nga një zyrë përcillet nga ajo zyrë pranë Byrosë Ndërkombëtare. Propozimet nga zyrat dhe Byroja Ndërkombëtare përcillen nga këto të fundit tek anëtarët e Komitetit të Ekspertëve jo më vonë se dy muaj para seancës së Komitetit ku do të shqyrtohen propozimet e lartpërmendura.</w:t>
      </w:r>
    </w:p>
    <w:p w:rsidR="007C1B4F" w:rsidRPr="00C6252F" w:rsidRDefault="007C1B4F" w:rsidP="007C1B4F">
      <w:pPr>
        <w:pStyle w:val="Paragrafi"/>
        <w:rPr>
          <w:rFonts w:eastAsia="Times New Roman" w:cs="Times New Roman"/>
          <w:spacing w:val="-4"/>
          <w:lang w:val="sq-AL"/>
        </w:rPr>
      </w:pPr>
      <w:r w:rsidRPr="00C6252F">
        <w:rPr>
          <w:spacing w:val="-4"/>
          <w:lang w:val="sq-AL"/>
        </w:rPr>
        <w:t>4. Vendimet e Komitetit të Ekspertëve, në lidhje me miratimin e ndryshimeve dhe të shtesave të Klasifikimin Ndërkombëtar, do të merren me shumicë të thjeshtë votash të vendeve të Unionit të Posaçëm. Megjithatë, nëse këto vendime sjellin krijimin e një klase të re ose transferim të mallrave nga njëra klasë në tjetrën, kërkohet unanimitet.</w:t>
      </w:r>
    </w:p>
    <w:p w:rsidR="007C1B4F" w:rsidRPr="00C6252F" w:rsidRDefault="007C1B4F" w:rsidP="007C1B4F">
      <w:pPr>
        <w:pStyle w:val="Paragrafi"/>
        <w:rPr>
          <w:rFonts w:eastAsia="Times New Roman" w:cs="Times New Roman"/>
          <w:spacing w:val="-4"/>
          <w:lang w:val="sq-AL"/>
        </w:rPr>
      </w:pPr>
      <w:r w:rsidRPr="00C6252F">
        <w:rPr>
          <w:spacing w:val="-4"/>
          <w:lang w:val="sq-AL"/>
        </w:rPr>
        <w:t>5. Çdo ekspert ka të drejtë të votojë me postë.</w:t>
      </w:r>
    </w:p>
    <w:p w:rsidR="007C1B4F" w:rsidRPr="00C6252F" w:rsidRDefault="007C1B4F" w:rsidP="007C1B4F">
      <w:pPr>
        <w:pStyle w:val="Paragrafi"/>
        <w:rPr>
          <w:rFonts w:eastAsia="Times New Roman" w:cs="Times New Roman"/>
          <w:spacing w:val="-4"/>
          <w:lang w:val="sq-AL"/>
        </w:rPr>
      </w:pPr>
      <w:r w:rsidRPr="00C6252F">
        <w:rPr>
          <w:spacing w:val="-4"/>
          <w:lang w:val="sq-AL"/>
        </w:rPr>
        <w:t>6. Nëse një vend nuk emëron një përfaqësues për një seancë të caktuar të Komitetit të Ekspertëve, ose nëse eksperti i emëruar nuk e ka hedhur votën e tij gjatë seancës ose brenda një afati të caktuar nga rregullat e procedurës së Komitetit të Ekspertëve, vendi në fjalë konsiderohet se e ka pranuar vendimin e Komitetit.</w:t>
      </w:r>
    </w:p>
    <w:p w:rsidR="007C1B4F" w:rsidRDefault="007C1B4F" w:rsidP="007C1B4F">
      <w:pPr>
        <w:pStyle w:val="Hapesira7"/>
        <w:rPr>
          <w:spacing w:val="-4"/>
          <w:lang w:val="sq-AL"/>
        </w:rPr>
      </w:pPr>
    </w:p>
    <w:p w:rsidR="007C1B4F" w:rsidRPr="00C6252F" w:rsidRDefault="007C1B4F" w:rsidP="007C1B4F">
      <w:pPr>
        <w:pStyle w:val="Hapesira7"/>
        <w:rPr>
          <w:spacing w:val="-4"/>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lastRenderedPageBreak/>
        <w:t>Neni 4</w:t>
      </w:r>
    </w:p>
    <w:p w:rsidR="007C1B4F" w:rsidRPr="00C6252F" w:rsidRDefault="007C1B4F" w:rsidP="007C1B4F">
      <w:pPr>
        <w:pStyle w:val="NeniNr"/>
        <w:rPr>
          <w:rFonts w:eastAsia="Times New Roman" w:cs="Times New Roman"/>
          <w:b/>
          <w:spacing w:val="-4"/>
          <w:lang w:val="sq-AL"/>
        </w:rPr>
      </w:pPr>
      <w:r w:rsidRPr="00C6252F">
        <w:rPr>
          <w:b/>
          <w:spacing w:val="-4"/>
          <w:lang w:val="sq-AL"/>
        </w:rPr>
        <w:t>Njoftimi dhe botimi i klasifikimit dhe i ndryshimeve dhe shtesave të tyre</w:t>
      </w:r>
    </w:p>
    <w:p w:rsidR="007C1B4F" w:rsidRPr="00C6252F" w:rsidRDefault="007C1B4F" w:rsidP="007C1B4F">
      <w:pPr>
        <w:pStyle w:val="Hapesira7"/>
        <w:rPr>
          <w:spacing w:val="-4"/>
          <w:lang w:val="sq-AL"/>
        </w:rPr>
      </w:pPr>
    </w:p>
    <w:p w:rsidR="007C1B4F" w:rsidRPr="00C6252F" w:rsidRDefault="007C1B4F" w:rsidP="007C1B4F">
      <w:pPr>
        <w:pStyle w:val="Paragrafi"/>
        <w:rPr>
          <w:rFonts w:eastAsia="Times New Roman" w:cs="Times New Roman"/>
          <w:spacing w:val="-4"/>
          <w:lang w:val="sq-AL"/>
        </w:rPr>
      </w:pPr>
      <w:r w:rsidRPr="00C6252F">
        <w:rPr>
          <w:spacing w:val="-4"/>
          <w:lang w:val="sq-AL"/>
        </w:rPr>
        <w:t>1. Lista alfabetike e mallrave dhe shënimet shpjeguese të miratuara nga Komiteti i Ekspertëve, si dhe çdo ndryshim ose shtim i Klasifikimit Ndërkombëtar të vendosur nga Komiteti, u përcillet zyrave të vendeve të Unionit të Posaçëm nga Byroja Ndërkombëtare. Vendimet e Komitetit të Ekspertëve hyjnë në fuqi sapo ky komunikim të jetë pranuar. Megjithatë, nëse këto vendime sjellin krijimin e një klase të re ose transferimin e mallrave nga njëra klasë në tjetrën, ato hyjnë në fuqi brenda një periudhe prej gjashtë muajsh nga data e komunikimit në fjalë.</w:t>
      </w:r>
    </w:p>
    <w:p w:rsidR="007C1B4F" w:rsidRPr="00C6252F" w:rsidRDefault="007C1B4F" w:rsidP="007C1B4F">
      <w:pPr>
        <w:pStyle w:val="Paragrafi"/>
        <w:rPr>
          <w:rFonts w:eastAsia="Times New Roman" w:cs="Times New Roman"/>
          <w:spacing w:val="-4"/>
          <w:lang w:val="sq-AL"/>
        </w:rPr>
      </w:pPr>
      <w:r w:rsidRPr="00C6252F">
        <w:rPr>
          <w:spacing w:val="-4"/>
          <w:lang w:val="sq-AL"/>
        </w:rPr>
        <w:t>2. Byroja Ndërkombëtare, si depozitare e Klasifikimit Ndërkombëtar, përfshin ndryshimet dhe shtesat që kanë hyrë në fuqi. Njoftimet e ndryshimeve dhe shtesave publikohen në botimin periodik që caktohet nga Asambleja.</w:t>
      </w:r>
    </w:p>
    <w:p w:rsidR="007C1B4F" w:rsidRPr="00C6252F" w:rsidRDefault="007C1B4F" w:rsidP="007C1B4F">
      <w:pPr>
        <w:pStyle w:val="Hapesira7"/>
        <w:rPr>
          <w:spacing w:val="-4"/>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5</w:t>
      </w:r>
    </w:p>
    <w:p w:rsidR="007C1B4F" w:rsidRPr="00C6252F" w:rsidRDefault="007C1B4F" w:rsidP="007C1B4F">
      <w:pPr>
        <w:pStyle w:val="NeniNr"/>
        <w:rPr>
          <w:rFonts w:eastAsia="Times New Roman" w:cs="Times New Roman"/>
          <w:b/>
          <w:spacing w:val="-4"/>
          <w:lang w:val="sq-AL"/>
        </w:rPr>
      </w:pPr>
      <w:r w:rsidRPr="00C6252F">
        <w:rPr>
          <w:b/>
          <w:spacing w:val="-4"/>
          <w:lang w:val="sq-AL"/>
        </w:rPr>
        <w:t>Asambleja e Unionit të Posaçëm</w:t>
      </w:r>
    </w:p>
    <w:p w:rsidR="007C1B4F" w:rsidRPr="00C6252F" w:rsidRDefault="007C1B4F" w:rsidP="007C1B4F">
      <w:pPr>
        <w:pStyle w:val="Hapesira7"/>
        <w:rPr>
          <w:spacing w:val="-4"/>
          <w:lang w:val="sq-AL"/>
        </w:rPr>
      </w:pPr>
    </w:p>
    <w:p w:rsidR="007C1B4F" w:rsidRPr="00C6252F" w:rsidRDefault="007C1B4F" w:rsidP="007C1B4F">
      <w:pPr>
        <w:pStyle w:val="Paragrafi"/>
        <w:rPr>
          <w:rFonts w:eastAsia="Times New Roman" w:cs="Times New Roman"/>
          <w:spacing w:val="-4"/>
          <w:lang w:val="sq-AL"/>
        </w:rPr>
      </w:pPr>
      <w:r w:rsidRPr="00C6252F">
        <w:rPr>
          <w:spacing w:val="-4"/>
          <w:lang w:val="sq-AL"/>
        </w:rPr>
        <w:t>1. a)</w:t>
      </w:r>
      <w:r w:rsidRPr="00C6252F">
        <w:rPr>
          <w:spacing w:val="-4"/>
          <w:lang w:val="sq-AL"/>
        </w:rPr>
        <w:tab/>
        <w:t>Unioni i Posaçëm ka një Asamble të përbërë nga vendet e Unionit të Posaçëm.</w:t>
      </w:r>
    </w:p>
    <w:p w:rsidR="007C1B4F" w:rsidRPr="00C6252F" w:rsidRDefault="007C1B4F" w:rsidP="007C1B4F">
      <w:pPr>
        <w:pStyle w:val="Paragrafi"/>
        <w:rPr>
          <w:rFonts w:eastAsia="Times New Roman" w:cs="Times New Roman"/>
          <w:spacing w:val="-4"/>
          <w:lang w:val="sq-AL"/>
        </w:rPr>
      </w:pPr>
      <w:r w:rsidRPr="00C6252F">
        <w:rPr>
          <w:spacing w:val="-4"/>
          <w:lang w:val="sq-AL"/>
        </w:rPr>
        <w:t>b) Qeveria e secilit vend të Unionit të Posaçëm përfaqësohet nga një delegat, i cili mund të asistohet nga delegatë, këshilltarë dhe ekspertë të ndryshëm.</w:t>
      </w:r>
    </w:p>
    <w:p w:rsidR="007C1B4F" w:rsidRPr="00C6252F" w:rsidRDefault="007C1B4F" w:rsidP="007C1B4F">
      <w:pPr>
        <w:pStyle w:val="Paragrafi"/>
        <w:rPr>
          <w:rFonts w:eastAsia="Times New Roman" w:cs="Times New Roman"/>
          <w:spacing w:val="-4"/>
          <w:lang w:val="sq-AL"/>
        </w:rPr>
      </w:pPr>
      <w:r w:rsidRPr="00C6252F">
        <w:rPr>
          <w:spacing w:val="-4"/>
          <w:lang w:val="sq-AL"/>
        </w:rPr>
        <w:t>c) Shpenzimet e secilit delegacion mbulohen nga qeveria që e ka caktuar atë.</w:t>
      </w:r>
    </w:p>
    <w:p w:rsidR="007C1B4F" w:rsidRPr="00C6252F" w:rsidRDefault="007C1B4F" w:rsidP="007C1B4F">
      <w:pPr>
        <w:pStyle w:val="Paragrafi"/>
        <w:rPr>
          <w:rFonts w:eastAsia="Times New Roman" w:cs="Times New Roman"/>
          <w:spacing w:val="-4"/>
          <w:lang w:val="sq-AL"/>
        </w:rPr>
      </w:pPr>
      <w:r w:rsidRPr="00C6252F">
        <w:rPr>
          <w:spacing w:val="-4"/>
          <w:lang w:val="sq-AL"/>
        </w:rPr>
        <w:t>2. a)</w:t>
      </w:r>
      <w:r w:rsidRPr="00C6252F">
        <w:rPr>
          <w:spacing w:val="-4"/>
          <w:lang w:val="sq-AL"/>
        </w:rPr>
        <w:tab/>
        <w:t>Në bazë të dispozitave të nenit 3, Asambleja:</w:t>
      </w:r>
    </w:p>
    <w:p w:rsidR="007C1B4F" w:rsidRPr="00C6252F" w:rsidRDefault="007C1B4F" w:rsidP="007C1B4F">
      <w:pPr>
        <w:pStyle w:val="Paragrafi"/>
        <w:rPr>
          <w:rFonts w:eastAsia="Times New Roman" w:cs="Times New Roman"/>
          <w:spacing w:val="-4"/>
          <w:lang w:val="sq-AL"/>
        </w:rPr>
      </w:pPr>
      <w:r w:rsidRPr="00C6252F">
        <w:rPr>
          <w:spacing w:val="-4"/>
          <w:lang w:val="sq-AL"/>
        </w:rPr>
        <w:t>i. trajton të gjitha çështjet që lidhen me mirëmbajtjen dhe zhvillimin e Unionit të Posaçëm dhe zbatimin e kësaj Marrëveshjeje;</w:t>
      </w:r>
    </w:p>
    <w:p w:rsidR="007C1B4F" w:rsidRPr="00C6252F" w:rsidRDefault="007C1B4F" w:rsidP="007C1B4F">
      <w:pPr>
        <w:pStyle w:val="Paragrafi"/>
        <w:rPr>
          <w:rFonts w:eastAsia="Times New Roman" w:cs="Times New Roman"/>
          <w:spacing w:val="-4"/>
          <w:lang w:val="sq-AL"/>
        </w:rPr>
      </w:pPr>
      <w:r w:rsidRPr="00C6252F">
        <w:rPr>
          <w:spacing w:val="-4"/>
          <w:lang w:val="sq-AL"/>
        </w:rPr>
        <w:t>ii. jep udhëzime për Byronë Ndërkombëtare në lidhje me përgatitjen për konferencat e rishikimit;</w:t>
      </w:r>
    </w:p>
    <w:p w:rsidR="007C1B4F" w:rsidRPr="00C6252F" w:rsidRDefault="007C1B4F" w:rsidP="007C1B4F">
      <w:pPr>
        <w:pStyle w:val="Paragrafi"/>
        <w:rPr>
          <w:rFonts w:eastAsia="Times New Roman" w:cs="Times New Roman"/>
          <w:spacing w:val="-4"/>
          <w:lang w:val="sq-AL"/>
        </w:rPr>
      </w:pPr>
      <w:r w:rsidRPr="00C6252F">
        <w:rPr>
          <w:spacing w:val="-4"/>
          <w:lang w:val="sq-AL"/>
        </w:rPr>
        <w:t>iii. shqyrton dhe miraton raportet dhe veprimtaritë e Drejtorit të Përgjithshëm të Organizatës (në vijim i referuar si “Drejtori i Përgjithshëm”) në lidhje me Unionin e Posaçëm dhe i jep atij të gjitha udhëzimet e nevojshme për çështjet që mbulohen nga Unioni i Posaçëm;</w:t>
      </w:r>
    </w:p>
    <w:p w:rsidR="007C1B4F" w:rsidRPr="00C6252F" w:rsidRDefault="007C1B4F" w:rsidP="007C1B4F">
      <w:pPr>
        <w:pStyle w:val="Paragrafi"/>
        <w:rPr>
          <w:rFonts w:eastAsia="Times New Roman" w:cs="Times New Roman"/>
          <w:spacing w:val="-4"/>
          <w:lang w:val="sq-AL"/>
        </w:rPr>
      </w:pPr>
      <w:r w:rsidRPr="00C6252F">
        <w:rPr>
          <w:spacing w:val="-4"/>
          <w:lang w:val="sq-AL"/>
        </w:rPr>
        <w:t>iv. përcakton programin dhe miraton buxhetin dyvjeçar të Unionit të Posaçëm dhe miraton llogaritë e tij përfundimtare;</w:t>
      </w:r>
    </w:p>
    <w:p w:rsidR="007C1B4F" w:rsidRPr="00C6252F" w:rsidRDefault="007C1B4F" w:rsidP="007C1B4F">
      <w:pPr>
        <w:pStyle w:val="Paragrafi"/>
        <w:rPr>
          <w:rFonts w:eastAsia="Times New Roman" w:cs="Times New Roman"/>
          <w:spacing w:val="-4"/>
          <w:lang w:val="sq-AL"/>
        </w:rPr>
      </w:pPr>
      <w:r w:rsidRPr="00C6252F">
        <w:rPr>
          <w:spacing w:val="-4"/>
          <w:lang w:val="sq-AL"/>
        </w:rPr>
        <w:t>v. miraton rregulloret financiare të Unionit të Posaçëm;</w:t>
      </w:r>
    </w:p>
    <w:p w:rsidR="007C1B4F" w:rsidRPr="00C6252F" w:rsidRDefault="007C1B4F" w:rsidP="007C1B4F">
      <w:pPr>
        <w:pStyle w:val="Paragrafi"/>
        <w:rPr>
          <w:rFonts w:eastAsia="Times New Roman" w:cs="Times New Roman"/>
          <w:spacing w:val="-4"/>
          <w:lang w:val="sq-AL"/>
        </w:rPr>
      </w:pPr>
      <w:r w:rsidRPr="00C6252F">
        <w:rPr>
          <w:spacing w:val="-4"/>
          <w:lang w:val="sq-AL"/>
        </w:rPr>
        <w:t>vi. vendos për hartimin e teksteve zyrtare të Klasifikimit Ndërkombëtar në gjuhë të ndryshme, përveç gjuhës angleze dhe frënge;</w:t>
      </w:r>
    </w:p>
    <w:p w:rsidR="007C1B4F" w:rsidRPr="00C6252F" w:rsidRDefault="007C1B4F" w:rsidP="007C1B4F">
      <w:pPr>
        <w:pStyle w:val="Paragrafi"/>
        <w:rPr>
          <w:rFonts w:eastAsia="Times New Roman" w:cs="Times New Roman"/>
          <w:spacing w:val="-4"/>
          <w:lang w:val="sq-AL"/>
        </w:rPr>
      </w:pPr>
      <w:r w:rsidRPr="00C6252F">
        <w:rPr>
          <w:spacing w:val="-4"/>
          <w:lang w:val="sq-AL"/>
        </w:rPr>
        <w:t>vii. themelon, përveç Komitetit të Ekspertëve, të krijuar sipas nenit 3, komitete të tjera ekspertësh dhe grupe pune që i çmon të përshtatshme për përmbushjen e objektivave të Unionit të Posaçëm;</w:t>
      </w:r>
    </w:p>
    <w:p w:rsidR="007C1B4F" w:rsidRPr="00C6252F" w:rsidRDefault="007C1B4F" w:rsidP="007C1B4F">
      <w:pPr>
        <w:pStyle w:val="Paragrafi"/>
        <w:rPr>
          <w:rFonts w:eastAsia="Times New Roman" w:cs="Times New Roman"/>
          <w:spacing w:val="-4"/>
          <w:lang w:val="sq-AL"/>
        </w:rPr>
      </w:pPr>
      <w:r w:rsidRPr="00C6252F">
        <w:rPr>
          <w:spacing w:val="-4"/>
          <w:lang w:val="sq-AL"/>
        </w:rPr>
        <w:t>viii. përcakton cilat vende nuk janë anëtare të Unionit të Posaçëm dhe cilat organizata ndërqeveritare dhe ndërkombëtare joqeveritare do të pranohen në takimet e tyre në rolin e vëzhguesit;</w:t>
      </w:r>
    </w:p>
    <w:p w:rsidR="007C1B4F" w:rsidRPr="00C6252F" w:rsidRDefault="007C1B4F" w:rsidP="007C1B4F">
      <w:pPr>
        <w:pStyle w:val="Paragrafi"/>
        <w:rPr>
          <w:rFonts w:eastAsia="Times New Roman" w:cs="Times New Roman"/>
          <w:spacing w:val="-4"/>
          <w:lang w:val="sq-AL"/>
        </w:rPr>
      </w:pPr>
      <w:r w:rsidRPr="00C6252F">
        <w:rPr>
          <w:spacing w:val="-4"/>
          <w:lang w:val="sq-AL"/>
        </w:rPr>
        <w:t>ix. miraton ndryshime në nenet 5 deri 8;</w:t>
      </w:r>
    </w:p>
    <w:p w:rsidR="007C1B4F" w:rsidRPr="00C6252F" w:rsidRDefault="007C1B4F" w:rsidP="007C1B4F">
      <w:pPr>
        <w:pStyle w:val="Paragrafi"/>
        <w:rPr>
          <w:rFonts w:eastAsia="Times New Roman" w:cs="Times New Roman"/>
          <w:spacing w:val="-4"/>
          <w:lang w:val="sq-AL"/>
        </w:rPr>
      </w:pPr>
      <w:r w:rsidRPr="00C6252F">
        <w:rPr>
          <w:spacing w:val="-4"/>
          <w:lang w:val="sq-AL"/>
        </w:rPr>
        <w:t>x. ndërmerr çdo masë tjetër të përshtatshme që synon të zhvillojë më tej objektivat e Unionit të Posaçëm;</w:t>
      </w:r>
    </w:p>
    <w:p w:rsidR="007C1B4F" w:rsidRPr="00C6252F" w:rsidRDefault="007C1B4F" w:rsidP="007C1B4F">
      <w:pPr>
        <w:pStyle w:val="Paragrafi"/>
        <w:rPr>
          <w:rFonts w:eastAsia="Times New Roman" w:cs="Times New Roman"/>
          <w:spacing w:val="-4"/>
          <w:lang w:val="sq-AL"/>
        </w:rPr>
      </w:pPr>
      <w:r w:rsidRPr="00C6252F">
        <w:rPr>
          <w:spacing w:val="-4"/>
          <w:lang w:val="sq-AL"/>
        </w:rPr>
        <w:t>xi. kryen funksione të tjera të përshtatshme sipas kësaj Marrëveshjeje.</w:t>
      </w:r>
    </w:p>
    <w:p w:rsidR="007C1B4F" w:rsidRPr="00C6252F" w:rsidRDefault="007C1B4F" w:rsidP="007C1B4F">
      <w:pPr>
        <w:pStyle w:val="Paragrafi"/>
        <w:rPr>
          <w:spacing w:val="-4"/>
          <w:lang w:val="sq-AL"/>
        </w:rPr>
      </w:pPr>
      <w:r w:rsidRPr="00C6252F">
        <w:rPr>
          <w:spacing w:val="-4"/>
          <w:lang w:val="sq-AL"/>
        </w:rPr>
        <w:t>b)</w:t>
      </w:r>
      <w:r w:rsidRPr="00C6252F">
        <w:rPr>
          <w:spacing w:val="-4"/>
          <w:lang w:val="sq-AL"/>
        </w:rPr>
        <w:tab/>
        <w:t>Në lidhje me çështjet me interes edhe për sindikatat e tjera nën administrimin e Organizatës, Asambleja merr vendimet e saj, pasi të ketë dëgjuar këshillën e Komitetit Koordinues të Organizatës.</w:t>
      </w:r>
    </w:p>
    <w:p w:rsidR="007C1B4F" w:rsidRPr="00C6252F" w:rsidRDefault="007C1B4F" w:rsidP="007C1B4F">
      <w:pPr>
        <w:pStyle w:val="Paragrafi"/>
        <w:rPr>
          <w:rFonts w:eastAsia="Times New Roman" w:cs="Times New Roman"/>
          <w:spacing w:val="-4"/>
          <w:lang w:val="sq-AL"/>
        </w:rPr>
      </w:pPr>
      <w:r w:rsidRPr="00C6252F">
        <w:rPr>
          <w:spacing w:val="-4"/>
          <w:lang w:val="sq-AL"/>
        </w:rPr>
        <w:t>3. a)</w:t>
      </w:r>
      <w:r w:rsidRPr="00C6252F">
        <w:rPr>
          <w:spacing w:val="-4"/>
          <w:lang w:val="sq-AL"/>
        </w:rPr>
        <w:tab/>
        <w:t>Çdo anëtar i vendit të Asamblesë gëzon një votë.</w:t>
      </w:r>
    </w:p>
    <w:p w:rsidR="007C1B4F" w:rsidRPr="00C6252F" w:rsidRDefault="007C1B4F" w:rsidP="007C1B4F">
      <w:pPr>
        <w:pStyle w:val="Paragrafi"/>
        <w:rPr>
          <w:rFonts w:eastAsia="Times New Roman" w:cs="Times New Roman"/>
          <w:spacing w:val="-4"/>
          <w:lang w:val="sq-AL"/>
        </w:rPr>
      </w:pPr>
      <w:r w:rsidRPr="00C6252F">
        <w:rPr>
          <w:spacing w:val="-4"/>
          <w:lang w:val="sq-AL"/>
        </w:rPr>
        <w:t>b) Gjysma e vendeve anëtare të Asamblesë përbën një kuorum.</w:t>
      </w:r>
    </w:p>
    <w:p w:rsidR="007C1B4F" w:rsidRPr="00C6252F" w:rsidRDefault="007C1B4F" w:rsidP="007C1B4F">
      <w:pPr>
        <w:pStyle w:val="Paragrafi"/>
        <w:rPr>
          <w:rFonts w:eastAsia="Times New Roman" w:cs="Times New Roman"/>
          <w:spacing w:val="-4"/>
          <w:lang w:val="sq-AL"/>
        </w:rPr>
      </w:pPr>
      <w:r w:rsidRPr="00C6252F">
        <w:rPr>
          <w:spacing w:val="-4"/>
          <w:lang w:val="sq-AL"/>
        </w:rPr>
        <w:t xml:space="preserve">c) Pavarësisht nga dispozitat e nënparagrafit “b”, nëse në ndonjë seancë numri i vendeve të përfaqësuara është më pak se gjysma, por i barabartë ose më i madh se një e treta e vendeve anëtare të Asamblesë, Asambleja mund të marrë vendime, por, me përjashtim të vendimeve që lidhen me procedurën e vet, të gjitha vendimet e tjera hyjnë në fuqi vetëm nëse plotësohen kushtet e përcaktuara më poshtë. Byroja Ndërkombëtare ua komunikon vendimet në fjalë vendeve anëtare të Asamblesë që nuk janë të </w:t>
      </w:r>
      <w:r w:rsidRPr="00C6252F">
        <w:rPr>
          <w:spacing w:val="-4"/>
          <w:lang w:val="sq-AL"/>
        </w:rPr>
        <w:lastRenderedPageBreak/>
        <w:t>përfaqësuara dhe i fton të hedhin me shkrim votën e tyre ose të abstenojnë brenda një periudhe prej tre muajsh nga data e komunikimit. Nëse, pas skadimit të kësaj periudhe, numri i vendeve që kanë hedhur votën ose kanë abstenuar në këtë mënyrë arrin numrin e shteteve që mungonin për arritjen e kuorumit në seancë, këto vendime hyjnë në fuqi me kusht që në të njëjtën kohë të arrihet shumica e nevojshme.</w:t>
      </w:r>
    </w:p>
    <w:p w:rsidR="007C1B4F" w:rsidRPr="00C6252F" w:rsidRDefault="007C1B4F" w:rsidP="007C1B4F">
      <w:pPr>
        <w:pStyle w:val="Paragrafi"/>
        <w:rPr>
          <w:rFonts w:eastAsia="Times New Roman" w:cs="Times New Roman"/>
          <w:spacing w:val="-4"/>
          <w:lang w:val="sq-AL"/>
        </w:rPr>
      </w:pPr>
      <w:r w:rsidRPr="00C6252F">
        <w:rPr>
          <w:rFonts w:eastAsia="Times New Roman" w:cs="Times New Roman"/>
          <w:spacing w:val="-4"/>
          <w:lang w:val="sq-AL"/>
        </w:rPr>
        <w:t xml:space="preserve">d) </w:t>
      </w:r>
      <w:r w:rsidRPr="00C6252F">
        <w:rPr>
          <w:spacing w:val="-4"/>
          <w:lang w:val="sq-AL"/>
        </w:rPr>
        <w:t>Në bazë të dispozitave të nenit 8, paragrafi 2, vendimet e Asamblesë kërkojnë dy të tretat e votave të hedhura.</w:t>
      </w:r>
    </w:p>
    <w:p w:rsidR="007C1B4F" w:rsidRPr="00C6252F" w:rsidRDefault="007C1B4F" w:rsidP="007C1B4F">
      <w:pPr>
        <w:pStyle w:val="Paragrafi"/>
        <w:rPr>
          <w:rFonts w:eastAsia="Times New Roman" w:cs="Times New Roman"/>
          <w:spacing w:val="-4"/>
          <w:lang w:val="sq-AL"/>
        </w:rPr>
      </w:pPr>
      <w:r w:rsidRPr="00C6252F">
        <w:rPr>
          <w:spacing w:val="-4"/>
          <w:lang w:val="sq-AL"/>
        </w:rPr>
        <w:t>e) Abstenimet nuk konsiderohen si vota.</w:t>
      </w:r>
    </w:p>
    <w:p w:rsidR="007C1B4F" w:rsidRPr="00C6252F" w:rsidRDefault="007C1B4F" w:rsidP="007C1B4F">
      <w:pPr>
        <w:pStyle w:val="Paragrafi"/>
        <w:rPr>
          <w:rFonts w:eastAsia="Times New Roman" w:cs="Times New Roman"/>
          <w:spacing w:val="-4"/>
          <w:lang w:val="sq-AL"/>
        </w:rPr>
      </w:pPr>
      <w:r w:rsidRPr="00C6252F">
        <w:rPr>
          <w:spacing w:val="-4"/>
          <w:lang w:val="sq-AL"/>
        </w:rPr>
        <w:t>f) Një delegat mund të përfaqësojë dhe të votojë vetëm në emër të një vendi.</w:t>
      </w:r>
    </w:p>
    <w:p w:rsidR="007C1B4F" w:rsidRPr="00C6252F" w:rsidRDefault="007C1B4F" w:rsidP="007C1B4F">
      <w:pPr>
        <w:pStyle w:val="Paragrafi"/>
        <w:rPr>
          <w:rFonts w:eastAsia="Times New Roman" w:cs="Times New Roman"/>
          <w:spacing w:val="-4"/>
          <w:lang w:val="sq-AL"/>
        </w:rPr>
      </w:pPr>
      <w:r w:rsidRPr="00C6252F">
        <w:rPr>
          <w:spacing w:val="-4"/>
          <w:lang w:val="sq-AL"/>
        </w:rPr>
        <w:t>4. a)</w:t>
      </w:r>
      <w:r w:rsidRPr="00C6252F">
        <w:rPr>
          <w:spacing w:val="-4"/>
          <w:lang w:val="sq-AL"/>
        </w:rPr>
        <w:tab/>
      </w:r>
      <w:r>
        <w:rPr>
          <w:spacing w:val="-4"/>
          <w:lang w:val="sq-AL"/>
        </w:rPr>
        <w:t xml:space="preserve"> </w:t>
      </w:r>
      <w:r w:rsidRPr="00C6252F">
        <w:rPr>
          <w:spacing w:val="-4"/>
          <w:lang w:val="sq-AL"/>
        </w:rPr>
        <w:t>Asambleja mblidhet një herë çdo vit të dytë kalendarik në seancë të zakonshme pas thirrjes nga Drejtori i Përgjithshëm dhe, në mungesë të rrethanave të jashtëzakonshme, gjatë së njëjtës periudhë dhe në të njëjtin vend si Asambleja e Përgjithshme e Organizatës.</w:t>
      </w:r>
    </w:p>
    <w:p w:rsidR="007C1B4F" w:rsidRPr="00C6252F" w:rsidRDefault="007C1B4F" w:rsidP="007C1B4F">
      <w:pPr>
        <w:pStyle w:val="Paragrafi"/>
        <w:rPr>
          <w:rFonts w:eastAsia="Times New Roman" w:cs="Times New Roman"/>
          <w:spacing w:val="-4"/>
          <w:lang w:val="sq-AL"/>
        </w:rPr>
      </w:pPr>
      <w:r w:rsidRPr="00C6252F">
        <w:rPr>
          <w:spacing w:val="-4"/>
          <w:lang w:val="sq-AL"/>
        </w:rPr>
        <w:t>b) Asambleja mblidhet në seancë të jashtëzakonshme pas thirrjes nga Drejtori i Përgjithshëm, me kërkesën e një të katërtës së vendeve anëtare të Asamblesë.</w:t>
      </w:r>
    </w:p>
    <w:p w:rsidR="007C1B4F" w:rsidRPr="00C6252F" w:rsidRDefault="007C1B4F" w:rsidP="007C1B4F">
      <w:pPr>
        <w:pStyle w:val="Paragrafi"/>
        <w:rPr>
          <w:rFonts w:eastAsia="Times New Roman" w:cs="Times New Roman"/>
          <w:spacing w:val="-4"/>
          <w:lang w:val="sq-AL"/>
        </w:rPr>
      </w:pPr>
      <w:r w:rsidRPr="00C6252F">
        <w:rPr>
          <w:spacing w:val="-4"/>
          <w:lang w:val="sq-AL"/>
        </w:rPr>
        <w:t>c) Rendi i ditës i çdo seance përgatitet nga Drejtori i Përgjithshëm.</w:t>
      </w:r>
    </w:p>
    <w:p w:rsidR="007C1B4F" w:rsidRPr="00C6252F" w:rsidRDefault="007C1B4F" w:rsidP="007C1B4F">
      <w:pPr>
        <w:pStyle w:val="Paragrafi"/>
        <w:rPr>
          <w:rFonts w:eastAsia="Times New Roman" w:cs="Times New Roman"/>
          <w:spacing w:val="-4"/>
          <w:lang w:val="sq-AL"/>
        </w:rPr>
      </w:pPr>
      <w:r w:rsidRPr="00C6252F">
        <w:rPr>
          <w:spacing w:val="-4"/>
          <w:lang w:val="sq-AL"/>
        </w:rPr>
        <w:t>5. Asambleja miraton vetë rregulloren e saj të brendshme.</w:t>
      </w:r>
    </w:p>
    <w:p w:rsidR="007C1B4F" w:rsidRPr="00C6252F" w:rsidRDefault="007C1B4F" w:rsidP="007C1B4F">
      <w:pPr>
        <w:pStyle w:val="NeniNr"/>
        <w:rPr>
          <w:spacing w:val="-4"/>
          <w:sz w:val="14"/>
          <w:szCs w:val="14"/>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6</w:t>
      </w:r>
    </w:p>
    <w:p w:rsidR="007C1B4F" w:rsidRPr="00C6252F" w:rsidRDefault="007C1B4F" w:rsidP="007C1B4F">
      <w:pPr>
        <w:pStyle w:val="NeniNr"/>
        <w:rPr>
          <w:rFonts w:eastAsia="Times New Roman" w:cs="Times New Roman"/>
          <w:b/>
          <w:spacing w:val="-4"/>
          <w:lang w:val="sq-AL"/>
        </w:rPr>
      </w:pPr>
      <w:r w:rsidRPr="00C6252F">
        <w:rPr>
          <w:b/>
          <w:spacing w:val="-4"/>
          <w:lang w:val="sq-AL"/>
        </w:rPr>
        <w:t>Byroja Ndërkombëtare</w:t>
      </w:r>
    </w:p>
    <w:p w:rsidR="007C1B4F" w:rsidRPr="00C6252F" w:rsidRDefault="007C1B4F" w:rsidP="007C1B4F">
      <w:pPr>
        <w:pStyle w:val="Hapesira7"/>
        <w:rPr>
          <w:spacing w:val="-4"/>
          <w:lang w:val="sq-AL"/>
        </w:rPr>
      </w:pPr>
    </w:p>
    <w:p w:rsidR="007C1B4F" w:rsidRPr="00C6252F" w:rsidRDefault="007C1B4F" w:rsidP="007C1B4F">
      <w:pPr>
        <w:pStyle w:val="Paragrafi"/>
        <w:rPr>
          <w:rFonts w:eastAsia="Times New Roman" w:cs="Times New Roman"/>
          <w:spacing w:val="-4"/>
          <w:lang w:val="sq-AL"/>
        </w:rPr>
      </w:pPr>
      <w:r w:rsidRPr="00C6252F">
        <w:rPr>
          <w:spacing w:val="-4"/>
          <w:lang w:val="sq-AL"/>
        </w:rPr>
        <w:t>1. a)</w:t>
      </w:r>
      <w:r w:rsidRPr="00C6252F">
        <w:rPr>
          <w:spacing w:val="-4"/>
          <w:lang w:val="sq-AL"/>
        </w:rPr>
        <w:tab/>
        <w:t>Detyrimet administrative në lidhje me Unionin e Posaçëm përmbushen nga Byroja Ndërkombëtare.</w:t>
      </w:r>
    </w:p>
    <w:p w:rsidR="007C1B4F" w:rsidRPr="00C6252F" w:rsidRDefault="007C1B4F" w:rsidP="007C1B4F">
      <w:pPr>
        <w:pStyle w:val="Paragrafi"/>
        <w:rPr>
          <w:rFonts w:eastAsia="Times New Roman" w:cs="Times New Roman"/>
          <w:spacing w:val="-4"/>
          <w:lang w:val="sq-AL"/>
        </w:rPr>
      </w:pPr>
      <w:r w:rsidRPr="00C6252F">
        <w:rPr>
          <w:spacing w:val="-4"/>
          <w:lang w:val="sq-AL"/>
        </w:rPr>
        <w:t>b) Në veçanti, Byroja Ndërkombëtare përgatit mbledhjet dhe siguron Sekretariatin e Asamblesë, Komitetin e Ekspertëve dhe komitetet e tjera të ekspertëve dhe grupet e punës, siç janë krijuar nga Asambleja ose Komiteti i Ekspertëve.</w:t>
      </w:r>
    </w:p>
    <w:p w:rsidR="007C1B4F" w:rsidRPr="00C6252F" w:rsidRDefault="007C1B4F" w:rsidP="007C1B4F">
      <w:pPr>
        <w:pStyle w:val="Paragrafi"/>
        <w:rPr>
          <w:rFonts w:eastAsia="Times New Roman" w:cs="Times New Roman"/>
          <w:spacing w:val="-4"/>
          <w:lang w:val="sq-AL"/>
        </w:rPr>
      </w:pPr>
      <w:r w:rsidRPr="00C6252F">
        <w:rPr>
          <w:spacing w:val="-4"/>
          <w:lang w:val="sq-AL"/>
        </w:rPr>
        <w:t>c) Drejtori i Përgjithshëm është drejtuesi ekzekutiv i Unionit të Posaçëm dhe përfaqëson Unionin e Posaçëm.</w:t>
      </w:r>
    </w:p>
    <w:p w:rsidR="007C1B4F" w:rsidRPr="00C6252F" w:rsidRDefault="007C1B4F" w:rsidP="007C1B4F">
      <w:pPr>
        <w:pStyle w:val="Paragrafi"/>
        <w:rPr>
          <w:rFonts w:eastAsia="Times New Roman" w:cs="Times New Roman"/>
          <w:spacing w:val="-4"/>
          <w:lang w:val="sq-AL"/>
        </w:rPr>
      </w:pPr>
      <w:r w:rsidRPr="00C6252F">
        <w:rPr>
          <w:spacing w:val="-4"/>
          <w:lang w:val="sq-AL"/>
        </w:rPr>
        <w:t xml:space="preserve">2. Drejtori i Përgjithshëm dhe çdo anëtar tjetër i stafit të caktuar prej tij merr pjesë, pa të drejtë vote, në të gjitha mbledhjet e Asamblesë, të Komitetit të Ekspertëve dhe të komiteteve të tjera të ekspertëve ose të grupeve të punës që mund të jenë krijuar nga Asambleja ose Komiteti i Ekspertëve. Drejtori i Përgjithshëm ose një anëtar tjetër i stafit të caktuar prej tij është sekretar </w:t>
      </w:r>
      <w:r w:rsidRPr="00C6252F">
        <w:rPr>
          <w:i/>
          <w:spacing w:val="-4"/>
          <w:lang w:val="sq-AL"/>
        </w:rPr>
        <w:t>ex officio</w:t>
      </w:r>
      <w:r w:rsidRPr="00C6252F">
        <w:rPr>
          <w:spacing w:val="-4"/>
          <w:lang w:val="sq-AL"/>
        </w:rPr>
        <w:t>/i caktuar kryesisht i këtyre organeve.</w:t>
      </w:r>
    </w:p>
    <w:p w:rsidR="007C1B4F" w:rsidRPr="00C6252F" w:rsidRDefault="007C1B4F" w:rsidP="007C1B4F">
      <w:pPr>
        <w:pStyle w:val="Paragrafi"/>
        <w:rPr>
          <w:rFonts w:eastAsia="Times New Roman" w:cs="Times New Roman"/>
          <w:spacing w:val="-6"/>
          <w:lang w:val="sq-AL"/>
        </w:rPr>
      </w:pPr>
      <w:r w:rsidRPr="00C6252F">
        <w:rPr>
          <w:spacing w:val="-6"/>
          <w:lang w:val="sq-AL"/>
        </w:rPr>
        <w:t>3. a)</w:t>
      </w:r>
      <w:r w:rsidRPr="00C6252F">
        <w:rPr>
          <w:spacing w:val="-6"/>
          <w:lang w:val="sq-AL"/>
        </w:rPr>
        <w:tab/>
        <w:t>Byroja Ndërkombëtare, në përputhje me udhëzimet e Asamblesë, kryen përgatitjet për konfe-rencat e rishikimit të dispozitave të Marrëveshjes, përveç dispozitave të neneve 5 deri në 8.</w:t>
      </w:r>
    </w:p>
    <w:p w:rsidR="007C1B4F" w:rsidRPr="00C6252F" w:rsidRDefault="007C1B4F" w:rsidP="007C1B4F">
      <w:pPr>
        <w:pStyle w:val="Paragrafi"/>
        <w:rPr>
          <w:rFonts w:eastAsia="Times New Roman" w:cs="Times New Roman"/>
          <w:spacing w:val="-4"/>
          <w:lang w:val="sq-AL"/>
        </w:rPr>
      </w:pPr>
      <w:r w:rsidRPr="00C6252F">
        <w:rPr>
          <w:spacing w:val="-4"/>
          <w:lang w:val="sq-AL"/>
        </w:rPr>
        <w:t>b) Byroja Ndërkombëtare mund të konsultohet me organizatat ndërqeveritare dhe ndërkombëtare joqeveritare në lidhje me përgatitjet për konferencat e rishikimit.</w:t>
      </w:r>
    </w:p>
    <w:p w:rsidR="007C1B4F" w:rsidRPr="00C6252F" w:rsidRDefault="007C1B4F" w:rsidP="007C1B4F">
      <w:pPr>
        <w:pStyle w:val="Paragrafi"/>
        <w:rPr>
          <w:rFonts w:eastAsia="Times New Roman" w:cs="Times New Roman"/>
          <w:spacing w:val="-4"/>
          <w:lang w:val="sq-AL"/>
        </w:rPr>
      </w:pPr>
      <w:r w:rsidRPr="00C6252F">
        <w:rPr>
          <w:spacing w:val="-4"/>
          <w:lang w:val="sq-AL"/>
        </w:rPr>
        <w:t>c) Drejtori i Përgjithshëm dhe personat e caktuar prej tij marrin pjesë, pa të drejtë vote, në diskutimet e zhvilluara në këto konferenca.</w:t>
      </w:r>
    </w:p>
    <w:p w:rsidR="007C1B4F" w:rsidRDefault="007C1B4F" w:rsidP="007C1B4F">
      <w:pPr>
        <w:pStyle w:val="Paragrafi"/>
        <w:rPr>
          <w:spacing w:val="-4"/>
          <w:lang w:val="sq-AL"/>
        </w:rPr>
      </w:pPr>
      <w:r w:rsidRPr="00C6252F">
        <w:rPr>
          <w:spacing w:val="-4"/>
          <w:lang w:val="sq-AL"/>
        </w:rPr>
        <w:t>4. Byroja Ndërkombëtare kryen çdo detyrë tjetër që i është caktuar.</w:t>
      </w:r>
    </w:p>
    <w:p w:rsidR="007C1B4F" w:rsidRPr="007C1B4F" w:rsidRDefault="007C1B4F" w:rsidP="007C1B4F">
      <w:pPr>
        <w:pStyle w:val="Paragrafi"/>
        <w:rPr>
          <w:rFonts w:eastAsia="Times New Roman" w:cs="Times New Roman"/>
          <w:spacing w:val="-4"/>
          <w:sz w:val="14"/>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7</w:t>
      </w:r>
    </w:p>
    <w:p w:rsidR="007C1B4F" w:rsidRPr="00C6252F" w:rsidRDefault="007C1B4F" w:rsidP="007C1B4F">
      <w:pPr>
        <w:pStyle w:val="NeniNr"/>
        <w:rPr>
          <w:rFonts w:eastAsia="Times New Roman" w:cs="Times New Roman"/>
          <w:spacing w:val="-4"/>
          <w:lang w:val="sq-AL"/>
        </w:rPr>
      </w:pPr>
      <w:r w:rsidRPr="00C6252F">
        <w:rPr>
          <w:b/>
          <w:spacing w:val="-4"/>
          <w:lang w:val="sq-AL"/>
        </w:rPr>
        <w:t>Financat</w:t>
      </w:r>
    </w:p>
    <w:p w:rsidR="007C1B4F" w:rsidRPr="00C6252F" w:rsidRDefault="007C1B4F" w:rsidP="007C1B4F">
      <w:pPr>
        <w:pStyle w:val="Hapesira7"/>
        <w:rPr>
          <w:spacing w:val="-4"/>
          <w:lang w:val="sq-AL"/>
        </w:rPr>
      </w:pPr>
    </w:p>
    <w:p w:rsidR="007C1B4F" w:rsidRPr="00C6252F" w:rsidRDefault="007C1B4F" w:rsidP="007C1B4F">
      <w:pPr>
        <w:pStyle w:val="Paragrafi"/>
        <w:rPr>
          <w:rFonts w:eastAsia="Times New Roman" w:cs="Times New Roman"/>
          <w:spacing w:val="-4"/>
          <w:lang w:val="sq-AL"/>
        </w:rPr>
      </w:pPr>
      <w:r w:rsidRPr="00C6252F">
        <w:rPr>
          <w:spacing w:val="-4"/>
          <w:lang w:val="sq-AL"/>
        </w:rPr>
        <w:t>1. a)</w:t>
      </w:r>
      <w:r w:rsidRPr="00C6252F">
        <w:rPr>
          <w:spacing w:val="-4"/>
          <w:lang w:val="sq-AL"/>
        </w:rPr>
        <w:tab/>
        <w:t>Unioni i Posaçëm ka një buxhet.</w:t>
      </w:r>
    </w:p>
    <w:p w:rsidR="007C1B4F" w:rsidRPr="00C6252F" w:rsidRDefault="007C1B4F" w:rsidP="007C1B4F">
      <w:pPr>
        <w:pStyle w:val="Paragrafi"/>
        <w:rPr>
          <w:rFonts w:eastAsia="Times New Roman" w:cs="Times New Roman"/>
          <w:spacing w:val="-4"/>
          <w:lang w:val="sq-AL"/>
        </w:rPr>
      </w:pPr>
      <w:r w:rsidRPr="00C6252F">
        <w:rPr>
          <w:spacing w:val="-4"/>
          <w:lang w:val="sq-AL"/>
        </w:rPr>
        <w:t>b) Buxheti i Unionit të Posaçëm përfshin të ardhurat dhe shpenzimet që i takojnë Unionit të Posaçëm, kontributin e tij në buxhetin e shpenzimeve të përbashkëta për sindikatat dhe sipas rastit, shumën e vënë në dispozicion të buxhetit të konferencës së Organizatës.</w:t>
      </w:r>
    </w:p>
    <w:p w:rsidR="007C1B4F" w:rsidRPr="00C6252F" w:rsidRDefault="007C1B4F" w:rsidP="007C1B4F">
      <w:pPr>
        <w:pStyle w:val="Paragrafi"/>
        <w:rPr>
          <w:rFonts w:eastAsia="Times New Roman" w:cs="Times New Roman"/>
          <w:spacing w:val="-4"/>
          <w:lang w:val="sq-AL"/>
        </w:rPr>
      </w:pPr>
      <w:r w:rsidRPr="00C6252F">
        <w:rPr>
          <w:spacing w:val="-4"/>
          <w:lang w:val="sq-AL"/>
        </w:rPr>
        <w:t>c) Shpenzimet që nuk i atribuohen ekskluzivisht Unionit të Posaçëm, por as ndonjë apo më shumë sindikatave të tjera të administruara nga Organizata, konsiderohen si shpenzime të përbashkëta për sindikatat. Pjesa e këtyre shpenzimeve të përbashkëta që i takon Unionit të Posaçëm është në raport me interesin e Unionit të Posaçëm në to.</w:t>
      </w:r>
    </w:p>
    <w:p w:rsidR="007C1B4F" w:rsidRPr="00C6252F" w:rsidRDefault="007C1B4F" w:rsidP="007C1B4F">
      <w:pPr>
        <w:pStyle w:val="Paragrafi"/>
        <w:rPr>
          <w:rFonts w:eastAsia="Times New Roman" w:cs="Times New Roman"/>
          <w:spacing w:val="-4"/>
          <w:lang w:val="sq-AL"/>
        </w:rPr>
      </w:pPr>
      <w:r w:rsidRPr="00C6252F">
        <w:rPr>
          <w:spacing w:val="-4"/>
          <w:lang w:val="sq-AL"/>
        </w:rPr>
        <w:lastRenderedPageBreak/>
        <w:t>2. Buxheti i Unionit të Posaçëm krijohet duke pasur parasysh kërkesat e koordinimit me buxhetet e sindikatave të tjera të administruara nga Organizata.</w:t>
      </w:r>
    </w:p>
    <w:p w:rsidR="007C1B4F" w:rsidRPr="00C6252F" w:rsidRDefault="007C1B4F" w:rsidP="007C1B4F">
      <w:pPr>
        <w:pStyle w:val="Paragrafi"/>
        <w:rPr>
          <w:rFonts w:eastAsia="Times New Roman" w:cs="Times New Roman"/>
          <w:spacing w:val="-4"/>
          <w:lang w:val="sq-AL"/>
        </w:rPr>
      </w:pPr>
      <w:r w:rsidRPr="00C6252F">
        <w:rPr>
          <w:spacing w:val="-4"/>
          <w:lang w:val="sq-AL"/>
        </w:rPr>
        <w:t>3. Buxheti i Unionit të Posaçëm financohet nga burimet e mëposhtme:</w:t>
      </w:r>
    </w:p>
    <w:p w:rsidR="007C1B4F" w:rsidRPr="00C6252F" w:rsidRDefault="007C1B4F" w:rsidP="007C1B4F">
      <w:pPr>
        <w:pStyle w:val="Paragrafi"/>
        <w:rPr>
          <w:rFonts w:eastAsia="Times New Roman" w:cs="Times New Roman"/>
          <w:spacing w:val="-4"/>
          <w:lang w:val="sq-AL"/>
        </w:rPr>
      </w:pPr>
      <w:r w:rsidRPr="00C6252F">
        <w:rPr>
          <w:spacing w:val="-4"/>
          <w:lang w:val="sq-AL"/>
        </w:rPr>
        <w:t>i. kontributet e vendeve të Unionit të Posaçëm;</w:t>
      </w:r>
    </w:p>
    <w:p w:rsidR="007C1B4F" w:rsidRPr="00C6252F" w:rsidRDefault="007C1B4F" w:rsidP="007C1B4F">
      <w:pPr>
        <w:pStyle w:val="Paragrafi"/>
        <w:rPr>
          <w:rFonts w:eastAsia="Times New Roman" w:cs="Times New Roman"/>
          <w:spacing w:val="-4"/>
          <w:lang w:val="sq-AL"/>
        </w:rPr>
      </w:pPr>
      <w:r w:rsidRPr="00C6252F">
        <w:rPr>
          <w:spacing w:val="-4"/>
          <w:lang w:val="sq-AL"/>
        </w:rPr>
        <w:t>ii. tarifat dhe detyrimet për shërbime të kryera nga Byroja Ndërkombëtare në lidhje me Unionin e Posaçëm;</w:t>
      </w:r>
    </w:p>
    <w:p w:rsidR="007C1B4F" w:rsidRPr="00C6252F" w:rsidRDefault="007C1B4F" w:rsidP="007C1B4F">
      <w:pPr>
        <w:pStyle w:val="Paragrafi"/>
        <w:rPr>
          <w:rFonts w:eastAsia="Times New Roman" w:cs="Times New Roman"/>
          <w:spacing w:val="-4"/>
          <w:lang w:val="sq-AL"/>
        </w:rPr>
      </w:pPr>
      <w:r w:rsidRPr="00C6252F">
        <w:rPr>
          <w:spacing w:val="-4"/>
          <w:lang w:val="sq-AL"/>
        </w:rPr>
        <w:t>iii. shitjen e/ose honorarët nga botimet e Byrosë Ndërkombëtare, në lidhje me Unionin e Posaçëm;</w:t>
      </w:r>
    </w:p>
    <w:p w:rsidR="007C1B4F" w:rsidRPr="00C6252F" w:rsidRDefault="007C1B4F" w:rsidP="007C1B4F">
      <w:pPr>
        <w:pStyle w:val="Paragrafi"/>
        <w:rPr>
          <w:rFonts w:eastAsia="Times New Roman" w:cs="Times New Roman"/>
          <w:spacing w:val="-4"/>
          <w:lang w:val="sq-AL"/>
        </w:rPr>
      </w:pPr>
      <w:r w:rsidRPr="00C6252F">
        <w:rPr>
          <w:spacing w:val="-4"/>
          <w:lang w:val="sq-AL"/>
        </w:rPr>
        <w:t>iv. dhuratat, trashëgimia dhe subvencionet;</w:t>
      </w:r>
    </w:p>
    <w:p w:rsidR="007C1B4F" w:rsidRPr="00C6252F" w:rsidRDefault="007C1B4F" w:rsidP="007C1B4F">
      <w:pPr>
        <w:pStyle w:val="Paragrafi"/>
        <w:rPr>
          <w:rFonts w:eastAsia="Times New Roman" w:cs="Times New Roman"/>
          <w:spacing w:val="-4"/>
          <w:lang w:val="sq-AL"/>
        </w:rPr>
      </w:pPr>
      <w:r w:rsidRPr="00C6252F">
        <w:rPr>
          <w:spacing w:val="-4"/>
          <w:lang w:val="sq-AL"/>
        </w:rPr>
        <w:t>v. qiratë, interesat dhe të ardhura të tjera të ndryshme.</w:t>
      </w:r>
    </w:p>
    <w:p w:rsidR="007C1B4F" w:rsidRPr="00C6252F" w:rsidRDefault="007C1B4F" w:rsidP="007C1B4F">
      <w:pPr>
        <w:pStyle w:val="Paragrafi"/>
        <w:rPr>
          <w:rFonts w:eastAsia="Times New Roman" w:cs="Times New Roman"/>
          <w:lang w:val="sq-AL"/>
        </w:rPr>
      </w:pPr>
      <w:r w:rsidRPr="00C6252F">
        <w:rPr>
          <w:lang w:val="sq-AL"/>
        </w:rPr>
        <w:t>4. a)</w:t>
      </w:r>
      <w:r w:rsidRPr="00C6252F">
        <w:rPr>
          <w:lang w:val="sq-AL"/>
        </w:rPr>
        <w:tab/>
        <w:t>Për qëllimin e përcaktimit të kontributit të përmendur në paragrafin 3, germa “i”, secili vend i Unionit të Posaçëm i përket së njëjtës klasë që i përket në Unionin e Parisit për Mbrojtjen e Pronësisë Industriale dhe paguan kontributet e tij vjetore në bazë të njësive të përcaktuara për atë klasë në atë Union.</w:t>
      </w:r>
    </w:p>
    <w:p w:rsidR="007C1B4F" w:rsidRPr="00C6252F" w:rsidRDefault="007C1B4F" w:rsidP="007C1B4F">
      <w:pPr>
        <w:pStyle w:val="Paragrafi"/>
        <w:rPr>
          <w:rFonts w:eastAsia="Times New Roman" w:cs="Times New Roman"/>
          <w:lang w:val="sq-AL"/>
        </w:rPr>
      </w:pPr>
      <w:r w:rsidRPr="00C6252F">
        <w:rPr>
          <w:lang w:val="sq-AL"/>
        </w:rPr>
        <w:t>b) Kontributi vjetor i secilit vend të Unionit të Posaçëm është shuma në raport me shumën totale që duhet të paguhet në buxhetin e Unionit të Posaçëm nga të gjitha vendet, sipas numrit të njësive në totalin e njësive të të gjitha vendeve kontribuese.</w:t>
      </w:r>
    </w:p>
    <w:p w:rsidR="007C1B4F" w:rsidRPr="00C6252F" w:rsidRDefault="007C1B4F" w:rsidP="007C1B4F">
      <w:pPr>
        <w:pStyle w:val="Paragrafi"/>
        <w:rPr>
          <w:rFonts w:eastAsia="Times New Roman" w:cs="Times New Roman"/>
          <w:lang w:val="sq-AL"/>
        </w:rPr>
      </w:pPr>
      <w:r w:rsidRPr="00C6252F">
        <w:rPr>
          <w:lang w:val="sq-AL"/>
        </w:rPr>
        <w:t>c) Kontributet duhet të paguhen në fillim të muajit janar të çdo viti.</w:t>
      </w:r>
    </w:p>
    <w:p w:rsidR="007C1B4F" w:rsidRPr="00C6252F" w:rsidRDefault="007C1B4F" w:rsidP="007C1B4F">
      <w:pPr>
        <w:pStyle w:val="Paragrafi"/>
        <w:rPr>
          <w:rFonts w:eastAsia="Times New Roman" w:cs="Times New Roman"/>
          <w:lang w:val="sq-AL"/>
        </w:rPr>
      </w:pPr>
      <w:r w:rsidRPr="00C6252F">
        <w:rPr>
          <w:lang w:val="sq-AL"/>
        </w:rPr>
        <w:t>d) Vendi që nuk paguan kontributin e tij nuk mund të ushtrojë të drejtën e tij të votës në asnjë organ të Unionit të Posaçëm, nëse shuma e detyrimit të tij është e barabartë ose më e madhe se shuma e kontributeve që i detyrohen atij për dy vitet e plota të mëparshme. Megjithatë, çdo organ i Unionit të Posaçëm mund të lejojë që ky vend të vazhdojë të ushtrojë të drejtën e tij të votës në atë organ, nëse dhe për sa kohë që bindet se vonesa e pagesës ka ndodhur për shkak të rrethanave të jashtëzakonshme dhe të pashmangshme.</w:t>
      </w:r>
    </w:p>
    <w:p w:rsidR="007C1B4F" w:rsidRPr="00C6252F" w:rsidRDefault="007C1B4F" w:rsidP="007C1B4F">
      <w:pPr>
        <w:pStyle w:val="Paragrafi"/>
        <w:rPr>
          <w:rFonts w:eastAsia="Times New Roman" w:cs="Times New Roman"/>
          <w:lang w:val="sq-AL"/>
        </w:rPr>
      </w:pPr>
      <w:r w:rsidRPr="00C6252F">
        <w:rPr>
          <w:lang w:val="sq-AL"/>
        </w:rPr>
        <w:t>e) Nëse buxheti nuk miratohet para fillimit të një periudhe të re financiare, ai duhet të jetë në të njëjtin nivel me buxhetin e vitit paraprak, siç parashikohet në rregulloret financiare.</w:t>
      </w:r>
    </w:p>
    <w:p w:rsidR="007C1B4F" w:rsidRPr="00C6252F" w:rsidRDefault="007C1B4F" w:rsidP="007C1B4F">
      <w:pPr>
        <w:pStyle w:val="Paragrafi"/>
        <w:rPr>
          <w:rFonts w:eastAsia="Times New Roman" w:cs="Times New Roman"/>
          <w:lang w:val="sq-AL"/>
        </w:rPr>
      </w:pPr>
      <w:r w:rsidRPr="00C6252F">
        <w:rPr>
          <w:lang w:val="sq-AL"/>
        </w:rPr>
        <w:t>5. Duhet të vendoset shuma e tarifave dhe e detyrimeve për shërbimet e kryera nga Byroja Ndërkombëtare, në lidhje me Unionin e Posaçëm dhe Drejtori i Përgjithshëm duhet t’i raportojë Asamblesë këtë shumë.</w:t>
      </w:r>
    </w:p>
    <w:p w:rsidR="007C1B4F" w:rsidRPr="00C6252F" w:rsidRDefault="007C1B4F" w:rsidP="007C1B4F">
      <w:pPr>
        <w:pStyle w:val="Paragrafi"/>
        <w:rPr>
          <w:rFonts w:eastAsia="Times New Roman" w:cs="Times New Roman"/>
          <w:lang w:val="sq-AL"/>
        </w:rPr>
      </w:pPr>
      <w:r w:rsidRPr="00C6252F">
        <w:rPr>
          <w:lang w:val="sq-AL"/>
        </w:rPr>
        <w:t>6. a)</w:t>
      </w:r>
      <w:r w:rsidRPr="00C6252F">
        <w:rPr>
          <w:lang w:val="sq-AL"/>
        </w:rPr>
        <w:tab/>
        <w:t>Unioni i Posaçëm ka një fond të kapitalit qarkullues, i cili përbëhet nga një pagesë e vetme e kryer nga çdo vend i Unionit të Posaçëm. Nëse ky fond bëhet i pamjaftueshëm, Asambleja vendos ta rrisë atë.</w:t>
      </w:r>
    </w:p>
    <w:p w:rsidR="007C1B4F" w:rsidRPr="00C6252F" w:rsidRDefault="007C1B4F" w:rsidP="007C1B4F">
      <w:pPr>
        <w:pStyle w:val="Paragrafi"/>
        <w:rPr>
          <w:rFonts w:eastAsia="Times New Roman" w:cs="Times New Roman"/>
          <w:lang w:val="sq-AL"/>
        </w:rPr>
      </w:pPr>
      <w:r w:rsidRPr="00C6252F">
        <w:rPr>
          <w:lang w:val="sq-AL"/>
        </w:rPr>
        <w:t>b) Shuma e pagesës fillestare të secilit vend në fondin në fjalë ose pjesëmarrja e tij në rritjen e këtij fondi është pjesë e kontributit të atij vendi për vitin kur është krijuar ky fond ose kur është marrë vendimi për rritjen e tij.</w:t>
      </w:r>
    </w:p>
    <w:p w:rsidR="007C1B4F" w:rsidRPr="00C6252F" w:rsidRDefault="007C1B4F" w:rsidP="007C1B4F">
      <w:pPr>
        <w:pStyle w:val="Paragrafi"/>
        <w:rPr>
          <w:rFonts w:eastAsia="Times New Roman" w:cs="Times New Roman"/>
          <w:spacing w:val="-4"/>
          <w:lang w:val="sq-AL"/>
        </w:rPr>
      </w:pPr>
      <w:r w:rsidRPr="00C6252F">
        <w:rPr>
          <w:lang w:val="sq-AL"/>
        </w:rPr>
        <w:t>c) Pjesa dhe kushtet e pagesës përcaktohen nga Asambleja me propozimin e Drejtorit të Përgjithshëm dhe pasi të ketë dëgjuar këshillat e</w:t>
      </w:r>
      <w:r w:rsidRPr="00C6252F">
        <w:rPr>
          <w:spacing w:val="-4"/>
          <w:lang w:val="sq-AL"/>
        </w:rPr>
        <w:t xml:space="preserve"> Komitetit Koordinues të Organizatës.</w:t>
      </w:r>
    </w:p>
    <w:p w:rsidR="007C1B4F" w:rsidRPr="00C6252F" w:rsidRDefault="007C1B4F" w:rsidP="007C1B4F">
      <w:pPr>
        <w:pStyle w:val="Paragrafi"/>
        <w:rPr>
          <w:rFonts w:eastAsia="Times New Roman" w:cs="Times New Roman"/>
          <w:lang w:val="sq-AL"/>
        </w:rPr>
      </w:pPr>
      <w:r w:rsidRPr="00C6252F">
        <w:rPr>
          <w:lang w:val="sq-AL"/>
        </w:rPr>
        <w:t>7. a)</w:t>
      </w:r>
      <w:r w:rsidRPr="00C6252F">
        <w:rPr>
          <w:lang w:val="sq-AL"/>
        </w:rPr>
        <w:tab/>
        <w:t>Në Marrëveshjen për selinë, të nënshkruar me vendin në territorin e të cilit Organizata ka selinë, duhet të parashikohet që sa herë që fondi i kapitalit qarkullues të jetë i pamjaftueshëm, ky vend duhet të paguajë pagesa paraprake. Shuma e këtyre pagesave paraprake dhe kushtet e pagesës u nënshtrohen marrëveshjeve të veçanta, në çdo rast, ndërmjet këtij vendi dhe Organizatës.</w:t>
      </w:r>
    </w:p>
    <w:p w:rsidR="007C1B4F" w:rsidRPr="00C6252F" w:rsidRDefault="007C1B4F" w:rsidP="007C1B4F">
      <w:pPr>
        <w:pStyle w:val="Paragrafi"/>
        <w:rPr>
          <w:lang w:val="sq-AL"/>
        </w:rPr>
      </w:pPr>
      <w:r w:rsidRPr="00C6252F">
        <w:rPr>
          <w:lang w:val="sq-AL"/>
        </w:rPr>
        <w:t>b)</w:t>
      </w:r>
      <w:r w:rsidRPr="00C6252F">
        <w:rPr>
          <w:lang w:val="sq-AL"/>
        </w:rPr>
        <w:tab/>
        <w:t>Vendi i përmendur në nënparagrafin “a” dhe Organizata kanë të drejtë të përfundojnë detyrimin për dhënien e pagesave paraprake, nëpërmjet një njoftimi me shkrim. Prishja e Marrëveshjes hyn në fuqi tre vjet pas përfundimit të vitit kur është njoftuar.</w:t>
      </w:r>
    </w:p>
    <w:p w:rsidR="007C1B4F" w:rsidRPr="00C6252F" w:rsidRDefault="007C1B4F" w:rsidP="007C1B4F">
      <w:pPr>
        <w:pStyle w:val="Paragrafi"/>
        <w:rPr>
          <w:rFonts w:eastAsia="Times New Roman" w:cs="Times New Roman"/>
          <w:lang w:val="sq-AL"/>
        </w:rPr>
      </w:pPr>
      <w:r w:rsidRPr="00C6252F">
        <w:rPr>
          <w:lang w:val="sq-AL"/>
        </w:rPr>
        <w:t>8. Auditimi i llogarive kryhet nga një ose më shumë vende të Unionit të Posaçëm ose nga auditues të jashtëm, siç parashikohet në rregulloret financiare. Ato përcaktohen nga Asambleja me miratimin e tyre.</w:t>
      </w:r>
    </w:p>
    <w:p w:rsidR="007C1B4F" w:rsidRPr="00C6252F" w:rsidRDefault="007C1B4F" w:rsidP="007C1B4F">
      <w:pPr>
        <w:pStyle w:val="Hapesira7"/>
        <w:rPr>
          <w:sz w:val="12"/>
          <w:lang w:val="sq-AL"/>
        </w:rPr>
      </w:pPr>
    </w:p>
    <w:p w:rsidR="007C1B4F" w:rsidRPr="00C6252F" w:rsidRDefault="007C1B4F" w:rsidP="007C1B4F">
      <w:pPr>
        <w:pStyle w:val="NeniNr"/>
        <w:rPr>
          <w:rFonts w:eastAsia="Times New Roman" w:cs="Times New Roman"/>
          <w:lang w:val="sq-AL"/>
        </w:rPr>
      </w:pPr>
      <w:r w:rsidRPr="00C6252F">
        <w:rPr>
          <w:lang w:val="sq-AL"/>
        </w:rPr>
        <w:lastRenderedPageBreak/>
        <w:t>Neni 8</w:t>
      </w:r>
    </w:p>
    <w:p w:rsidR="007C1B4F" w:rsidRPr="00C6252F" w:rsidRDefault="007C1B4F" w:rsidP="007C1B4F">
      <w:pPr>
        <w:pStyle w:val="NeniNr"/>
        <w:rPr>
          <w:rFonts w:eastAsia="Times New Roman" w:cs="Times New Roman"/>
          <w:b/>
          <w:lang w:val="sq-AL"/>
        </w:rPr>
      </w:pPr>
      <w:r w:rsidRPr="00C6252F">
        <w:rPr>
          <w:b/>
          <w:lang w:val="sq-AL"/>
        </w:rPr>
        <w:t>Ndryshimi i neneve 5 deri në 8</w:t>
      </w:r>
    </w:p>
    <w:p w:rsidR="007C1B4F" w:rsidRPr="00C6252F" w:rsidRDefault="007C1B4F" w:rsidP="007C1B4F">
      <w:pPr>
        <w:pStyle w:val="Hapesira7"/>
        <w:rPr>
          <w:lang w:val="sq-AL"/>
        </w:rPr>
      </w:pPr>
    </w:p>
    <w:p w:rsidR="007C1B4F" w:rsidRPr="00C6252F" w:rsidRDefault="007C1B4F" w:rsidP="007C1B4F">
      <w:pPr>
        <w:pStyle w:val="Paragrafi"/>
        <w:rPr>
          <w:rFonts w:eastAsia="Times New Roman" w:cs="Times New Roman"/>
          <w:lang w:val="sq-AL"/>
        </w:rPr>
      </w:pPr>
      <w:r w:rsidRPr="00C6252F">
        <w:rPr>
          <w:lang w:val="sq-AL"/>
        </w:rPr>
        <w:t>1. Propozimet për ndryshimin e neneve 5, 6, 7 dhe të këtij neni mund të iniciohen nga çdo vend i Unionit të Posaçëm ose nga Drejtori i Përgjithshëm. Drejtori i Përgjithshëm u komunikon këto propozime vendeve të Unionit të Posaçëm, të paktën gjashtë muaj para shqyrtimit të tyre nga Asambleja.</w:t>
      </w:r>
    </w:p>
    <w:p w:rsidR="007C1B4F" w:rsidRPr="00C6252F" w:rsidRDefault="007C1B4F" w:rsidP="007C1B4F">
      <w:pPr>
        <w:pStyle w:val="Paragrafi"/>
        <w:rPr>
          <w:rFonts w:eastAsia="Times New Roman" w:cs="Times New Roman"/>
          <w:lang w:val="sq-AL"/>
        </w:rPr>
      </w:pPr>
      <w:r w:rsidRPr="00C6252F">
        <w:rPr>
          <w:lang w:val="sq-AL"/>
        </w:rPr>
        <w:t>2. Ndryshimet në nenet e përmendura në paragrafin 1 miratohen nga Asambleja. Ky miratim kërkon tri të katërtat e votave të hedhura, me kusht që çdo ndryshim i nenit 5 dhe i këtij paragrafi të kërkojë katër të pestat e votave të hedhura.</w:t>
      </w:r>
    </w:p>
    <w:p w:rsidR="007C1B4F" w:rsidRPr="00C6252F" w:rsidRDefault="007C1B4F" w:rsidP="007C1B4F">
      <w:pPr>
        <w:pStyle w:val="Paragrafi"/>
        <w:rPr>
          <w:rFonts w:eastAsia="Times New Roman" w:cs="Times New Roman"/>
          <w:spacing w:val="-4"/>
          <w:lang w:val="sq-AL"/>
        </w:rPr>
      </w:pPr>
      <w:r w:rsidRPr="00C6252F">
        <w:rPr>
          <w:lang w:val="sq-AL"/>
        </w:rPr>
        <w:t>3. Çdo ndryshim i neneve të përmendura në paragrafin 1 hyn në fuqi një muaj pasi njoftimet me shkrim të pranimit, të miratuara në përputhje me proceset e tyre përkatëse kushtetuese, të jenë pranuar nga Drejtori i Përgjithshëm nga tri të katërtat e vendeve anëtare të Unionit të Posaçëm në momentin e miratimit të këtij ndryshimi. Çdo ndryshim i këtyre neneve të pranuara në këtë mënyrë i detyron të gjitha vendet anëtare të Unionit të Posaçëm në momentin e hyrjes në fuqi të ndryshimit ose vendet që anëtarësohen pas kësaj date, me kusht që çdo ndryshim që rrit detyrimet financiare të vendeve të Unionit të Posaçëm të jetë</w:t>
      </w:r>
      <w:r w:rsidRPr="00C6252F">
        <w:rPr>
          <w:spacing w:val="-4"/>
          <w:lang w:val="sq-AL"/>
        </w:rPr>
        <w:t xml:space="preserve"> detyrues vetëm për ato vende që kanë njoftuar pranimin e këtyre ndryshimeve.</w:t>
      </w:r>
    </w:p>
    <w:p w:rsidR="007C1B4F" w:rsidRPr="00C6252F" w:rsidRDefault="007C1B4F" w:rsidP="007C1B4F">
      <w:pPr>
        <w:pStyle w:val="NeniNr"/>
        <w:rPr>
          <w:spacing w:val="-4"/>
          <w:sz w:val="14"/>
          <w:szCs w:val="14"/>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9</w:t>
      </w:r>
    </w:p>
    <w:p w:rsidR="007C1B4F" w:rsidRPr="00C6252F" w:rsidRDefault="007C1B4F" w:rsidP="007C1B4F">
      <w:pPr>
        <w:pStyle w:val="NeniNr"/>
        <w:rPr>
          <w:rFonts w:eastAsia="Times New Roman" w:cs="Times New Roman"/>
          <w:b/>
          <w:spacing w:val="-4"/>
          <w:lang w:val="sq-AL"/>
        </w:rPr>
      </w:pPr>
      <w:r w:rsidRPr="00C6252F">
        <w:rPr>
          <w:b/>
          <w:spacing w:val="-4"/>
          <w:lang w:val="sq-AL"/>
        </w:rPr>
        <w:t>Ratifikimi dhe aderimi; hyrja në fuqi</w:t>
      </w:r>
    </w:p>
    <w:p w:rsidR="007C1B4F" w:rsidRPr="00C6252F" w:rsidRDefault="007C1B4F" w:rsidP="007C1B4F">
      <w:pPr>
        <w:pStyle w:val="Hapesira7"/>
        <w:rPr>
          <w:spacing w:val="-4"/>
          <w:sz w:val="10"/>
          <w:lang w:val="sq-AL"/>
        </w:rPr>
      </w:pPr>
    </w:p>
    <w:p w:rsidR="007C1B4F" w:rsidRPr="00C6252F" w:rsidRDefault="007C1B4F" w:rsidP="007C1B4F">
      <w:pPr>
        <w:pStyle w:val="Paragrafi"/>
        <w:rPr>
          <w:rFonts w:eastAsia="Times New Roman" w:cs="Times New Roman"/>
          <w:spacing w:val="-4"/>
          <w:lang w:val="sq-AL"/>
        </w:rPr>
      </w:pPr>
      <w:r w:rsidRPr="00C6252F">
        <w:rPr>
          <w:spacing w:val="-4"/>
          <w:lang w:val="sq-AL"/>
        </w:rPr>
        <w:t>1. Çdo shtet palë në Konventën e Parisit për Mbrojtjen e Pronësisë Industriale që ka nënshkruar këtë Marrëveshje mund ta ratifikojë atë dhe, nëse nuk e ka nënshkruar këtë Marrëveshje, mund të aderojë në të.</w:t>
      </w:r>
    </w:p>
    <w:p w:rsidR="007C1B4F" w:rsidRPr="00C6252F" w:rsidRDefault="007C1B4F" w:rsidP="007C1B4F">
      <w:pPr>
        <w:pStyle w:val="Paragrafi"/>
        <w:rPr>
          <w:rFonts w:eastAsia="Times New Roman" w:cs="Times New Roman"/>
          <w:spacing w:val="-4"/>
          <w:lang w:val="sq-AL"/>
        </w:rPr>
      </w:pPr>
      <w:r w:rsidRPr="00C6252F">
        <w:rPr>
          <w:spacing w:val="-4"/>
          <w:lang w:val="sq-AL"/>
        </w:rPr>
        <w:t>2. Instrumentet e ratifikimit dhe të aderimit depozitohen pranë Drejtorit të Përgjithshëm.</w:t>
      </w:r>
    </w:p>
    <w:p w:rsidR="007C1B4F" w:rsidRPr="00C6252F" w:rsidRDefault="007C1B4F" w:rsidP="007C1B4F">
      <w:pPr>
        <w:pStyle w:val="Paragrafi"/>
        <w:rPr>
          <w:rFonts w:eastAsia="Times New Roman" w:cs="Times New Roman"/>
          <w:spacing w:val="-4"/>
          <w:lang w:val="sq-AL"/>
        </w:rPr>
      </w:pPr>
      <w:r w:rsidRPr="00C6252F">
        <w:rPr>
          <w:spacing w:val="-4"/>
          <w:lang w:val="sq-AL"/>
        </w:rPr>
        <w:t>3. a)</w:t>
      </w:r>
      <w:r w:rsidRPr="00C6252F">
        <w:rPr>
          <w:spacing w:val="-4"/>
          <w:lang w:val="sq-AL"/>
        </w:rPr>
        <w:tab/>
        <w:t>Në lidhje me pesë vendet e para që kanë depozituar instrumentet e tyre të ratifikimit ose të aderimit, kjo Marrëveshje hyn në fuqi tre muaj pas depozitimit të instrumentit të pestë.</w:t>
      </w:r>
    </w:p>
    <w:p w:rsidR="007C1B4F" w:rsidRPr="00C6252F" w:rsidRDefault="007C1B4F" w:rsidP="007C1B4F">
      <w:pPr>
        <w:pStyle w:val="Paragrafi"/>
        <w:rPr>
          <w:spacing w:val="-4"/>
          <w:lang w:val="sq-AL"/>
        </w:rPr>
      </w:pPr>
      <w:r w:rsidRPr="00C6252F">
        <w:rPr>
          <w:spacing w:val="-4"/>
          <w:lang w:val="sq-AL"/>
        </w:rPr>
        <w:t>b)</w:t>
      </w:r>
      <w:r w:rsidRPr="00C6252F">
        <w:rPr>
          <w:spacing w:val="-4"/>
          <w:lang w:val="sq-AL"/>
        </w:rPr>
        <w:tab/>
        <w:t>Për sa i përket çdo vendi tjetër, kjo Marrëveshje hyn në fuqi tre muaj pas datës kur Drejtori i Përgjithshëm njofton për ratifikimin ose aderimin e saj, përveç nëse në instrumentin e ratifikimit ose të aderimit shënohet ndonjë datë e mëvonshme. Në rastin e fundit, kjo Marrëveshje hyn në fuqi vetëm për atë vend në datën e shënuar për këtë qëllim.</w:t>
      </w:r>
    </w:p>
    <w:p w:rsidR="007C1B4F" w:rsidRPr="00C6252F" w:rsidRDefault="007C1B4F" w:rsidP="007C1B4F">
      <w:pPr>
        <w:pStyle w:val="Paragrafi"/>
        <w:rPr>
          <w:rFonts w:eastAsia="Times New Roman" w:cs="Times New Roman"/>
          <w:spacing w:val="-4"/>
          <w:lang w:val="sq-AL"/>
        </w:rPr>
      </w:pPr>
      <w:r w:rsidRPr="00C6252F">
        <w:rPr>
          <w:spacing w:val="-4"/>
          <w:lang w:val="sq-AL"/>
        </w:rPr>
        <w:t xml:space="preserve">4. Ratifikimi ose aderimi sjell automatikisht pranimin e të gjitha klauzolave </w:t>
      </w:r>
      <w:r w:rsidRPr="00C6252F">
        <w:rPr>
          <w:rFonts w:ascii="Times New Roman" w:hAnsi="Times New Roman" w:cs="Times New Roman"/>
          <w:spacing w:val="-4"/>
          <w:lang w:val="sq-AL"/>
        </w:rPr>
        <w:t>​​</w:t>
      </w:r>
      <w:r w:rsidRPr="00C6252F">
        <w:rPr>
          <w:spacing w:val="-4"/>
          <w:lang w:val="sq-AL"/>
        </w:rPr>
        <w:t>dhe pranimin e t</w:t>
      </w:r>
      <w:r w:rsidRPr="00C6252F">
        <w:rPr>
          <w:rFonts w:cs="Garamond"/>
          <w:spacing w:val="-4"/>
          <w:lang w:val="sq-AL"/>
        </w:rPr>
        <w:t>ë</w:t>
      </w:r>
      <w:r w:rsidRPr="00C6252F">
        <w:rPr>
          <w:spacing w:val="-4"/>
          <w:lang w:val="sq-AL"/>
        </w:rPr>
        <w:t xml:space="preserve"> gjitha përparësive të kësaj Marrëveshjeje.</w:t>
      </w:r>
    </w:p>
    <w:p w:rsidR="007C1B4F" w:rsidRPr="007C1B4F" w:rsidRDefault="007C1B4F" w:rsidP="007C1B4F">
      <w:pPr>
        <w:pStyle w:val="Hapesira7"/>
        <w:rPr>
          <w:spacing w:val="-4"/>
          <w:lang w:val="sq-AL"/>
        </w:rPr>
      </w:pPr>
      <w:bookmarkStart w:id="0" w:name="_GoBack"/>
      <w:bookmarkEnd w:id="0"/>
    </w:p>
    <w:p w:rsidR="007C1B4F" w:rsidRPr="00C6252F" w:rsidRDefault="007C1B4F" w:rsidP="007C1B4F">
      <w:pPr>
        <w:pStyle w:val="NeniNr"/>
        <w:rPr>
          <w:rFonts w:eastAsia="Times New Roman" w:cs="Times New Roman"/>
          <w:spacing w:val="-4"/>
          <w:lang w:val="sq-AL"/>
        </w:rPr>
      </w:pPr>
      <w:r w:rsidRPr="00C6252F">
        <w:rPr>
          <w:spacing w:val="-4"/>
          <w:lang w:val="sq-AL"/>
        </w:rPr>
        <w:t>Neni 10</w:t>
      </w:r>
    </w:p>
    <w:p w:rsidR="007C1B4F" w:rsidRPr="00C6252F" w:rsidRDefault="007C1B4F" w:rsidP="007C1B4F">
      <w:pPr>
        <w:pStyle w:val="NeniNr"/>
        <w:rPr>
          <w:rFonts w:eastAsia="Times New Roman" w:cs="Times New Roman"/>
          <w:b/>
          <w:spacing w:val="-4"/>
          <w:lang w:val="sq-AL"/>
        </w:rPr>
      </w:pPr>
      <w:r w:rsidRPr="00C6252F">
        <w:rPr>
          <w:b/>
          <w:spacing w:val="-4"/>
          <w:lang w:val="sq-AL"/>
        </w:rPr>
        <w:t>Zbatimi dhe kohëzgjatja e Marrëveshjes</w:t>
      </w:r>
    </w:p>
    <w:p w:rsidR="007C1B4F" w:rsidRPr="00C6252F" w:rsidRDefault="007C1B4F" w:rsidP="007C1B4F">
      <w:pPr>
        <w:pStyle w:val="Hapesira7"/>
        <w:rPr>
          <w:spacing w:val="-4"/>
          <w:sz w:val="10"/>
          <w:lang w:val="sq-AL"/>
        </w:rPr>
      </w:pPr>
    </w:p>
    <w:p w:rsidR="007C1B4F" w:rsidRPr="00C6252F" w:rsidRDefault="007C1B4F" w:rsidP="007C1B4F">
      <w:pPr>
        <w:pStyle w:val="Paragrafi"/>
        <w:rPr>
          <w:spacing w:val="-4"/>
          <w:lang w:val="sq-AL"/>
        </w:rPr>
      </w:pPr>
      <w:r w:rsidRPr="00C6252F">
        <w:rPr>
          <w:spacing w:val="-4"/>
          <w:lang w:val="sq-AL"/>
        </w:rPr>
        <w:t>Kjo Marrëveshje ka të njëjtën fuqi dhe kohëzgjatje si Konventa e Parisit për Mbrojtjen e Pronësisë Industriale.</w:t>
      </w:r>
    </w:p>
    <w:p w:rsidR="007C1B4F" w:rsidRPr="00C6252F" w:rsidRDefault="007C1B4F" w:rsidP="007C1B4F">
      <w:pPr>
        <w:pStyle w:val="NeniNr"/>
        <w:rPr>
          <w:spacing w:val="-4"/>
          <w:sz w:val="12"/>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11</w:t>
      </w:r>
    </w:p>
    <w:p w:rsidR="007C1B4F" w:rsidRPr="00C6252F" w:rsidRDefault="007C1B4F" w:rsidP="007C1B4F">
      <w:pPr>
        <w:pStyle w:val="NeniNr"/>
        <w:rPr>
          <w:rFonts w:eastAsia="Times New Roman" w:cs="Times New Roman"/>
          <w:b/>
          <w:spacing w:val="-4"/>
          <w:lang w:val="sq-AL"/>
        </w:rPr>
      </w:pPr>
      <w:r w:rsidRPr="00C6252F">
        <w:rPr>
          <w:b/>
          <w:spacing w:val="-4"/>
          <w:lang w:val="sq-AL"/>
        </w:rPr>
        <w:t>Rishikimi i neneve 1 deri 4 dhe 9 deri 15</w:t>
      </w:r>
    </w:p>
    <w:p w:rsidR="007C1B4F" w:rsidRPr="00C6252F" w:rsidRDefault="007C1B4F" w:rsidP="007C1B4F">
      <w:pPr>
        <w:pStyle w:val="Hapesira7"/>
        <w:rPr>
          <w:spacing w:val="-4"/>
          <w:lang w:val="sq-AL"/>
        </w:rPr>
      </w:pPr>
    </w:p>
    <w:p w:rsidR="007C1B4F" w:rsidRPr="00C6252F" w:rsidRDefault="007C1B4F" w:rsidP="007C1B4F">
      <w:pPr>
        <w:pStyle w:val="Paragrafi"/>
        <w:rPr>
          <w:rFonts w:eastAsia="Times New Roman" w:cs="Times New Roman"/>
          <w:spacing w:val="-4"/>
          <w:lang w:val="sq-AL"/>
        </w:rPr>
      </w:pPr>
      <w:r w:rsidRPr="00C6252F">
        <w:rPr>
          <w:spacing w:val="-4"/>
          <w:lang w:val="sq-AL"/>
        </w:rPr>
        <w:t>1. Nenet 1 deri 4 dhe 9 deri 15 të kësaj Marrëveshjeje mund të dërgohen për rishikim, me synim paraqitjen e përmirësimeve të dëshiruara.</w:t>
      </w:r>
    </w:p>
    <w:p w:rsidR="007C1B4F" w:rsidRPr="00C6252F" w:rsidRDefault="007C1B4F" w:rsidP="007C1B4F">
      <w:pPr>
        <w:pStyle w:val="Paragrafi"/>
        <w:rPr>
          <w:rFonts w:eastAsia="Times New Roman" w:cs="Times New Roman"/>
          <w:spacing w:val="-4"/>
          <w:lang w:val="sq-AL"/>
        </w:rPr>
      </w:pPr>
      <w:r w:rsidRPr="00C6252F">
        <w:rPr>
          <w:spacing w:val="-4"/>
          <w:lang w:val="sq-AL"/>
        </w:rPr>
        <w:t>2. Çdo rishikim do të shqyrtohet në një konferencë që do të zhvillohet ndërmjet delegatëve të vendeve të Unionit të Posaçëm.</w:t>
      </w:r>
    </w:p>
    <w:p w:rsidR="007C1B4F" w:rsidRPr="00C6252F" w:rsidRDefault="007C1B4F" w:rsidP="007C1B4F">
      <w:pPr>
        <w:pStyle w:val="Hapesira7"/>
        <w:rPr>
          <w:spacing w:val="-4"/>
          <w:sz w:val="12"/>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12</w:t>
      </w:r>
    </w:p>
    <w:p w:rsidR="007C1B4F" w:rsidRPr="00C6252F" w:rsidRDefault="007C1B4F" w:rsidP="007C1B4F">
      <w:pPr>
        <w:pStyle w:val="NeniNr"/>
        <w:rPr>
          <w:rFonts w:eastAsia="Times New Roman" w:cs="Times New Roman"/>
          <w:b/>
          <w:spacing w:val="-4"/>
          <w:lang w:val="sq-AL"/>
        </w:rPr>
      </w:pPr>
      <w:r w:rsidRPr="00C6252F">
        <w:rPr>
          <w:b/>
          <w:spacing w:val="-4"/>
          <w:lang w:val="sq-AL"/>
        </w:rPr>
        <w:t>Prishja e Marrëveshjes</w:t>
      </w:r>
    </w:p>
    <w:p w:rsidR="007C1B4F" w:rsidRPr="00C6252F" w:rsidRDefault="007C1B4F" w:rsidP="007C1B4F">
      <w:pPr>
        <w:pStyle w:val="Hapesira7"/>
        <w:rPr>
          <w:spacing w:val="-4"/>
          <w:sz w:val="12"/>
          <w:lang w:val="sq-AL"/>
        </w:rPr>
      </w:pPr>
    </w:p>
    <w:p w:rsidR="007C1B4F" w:rsidRPr="00C6252F" w:rsidRDefault="007C1B4F" w:rsidP="007C1B4F">
      <w:pPr>
        <w:pStyle w:val="Paragrafi"/>
        <w:rPr>
          <w:rFonts w:eastAsia="Times New Roman" w:cs="Times New Roman"/>
          <w:spacing w:val="-4"/>
          <w:lang w:val="sq-AL"/>
        </w:rPr>
      </w:pPr>
      <w:r w:rsidRPr="00C6252F">
        <w:rPr>
          <w:spacing w:val="-4"/>
          <w:lang w:val="sq-AL"/>
        </w:rPr>
        <w:t xml:space="preserve">1. Çdo vend mund ta prishë këtë Marrëveshje me anë të një njoftimi drejtuar Drejtorit të Përgjithshëm. </w:t>
      </w:r>
      <w:r w:rsidRPr="00C6252F">
        <w:rPr>
          <w:spacing w:val="-4"/>
          <w:lang w:val="sq-AL"/>
        </w:rPr>
        <w:lastRenderedPageBreak/>
        <w:t>Prishja e kësaj Marrëveshjeje cenon vetëm vendin që prish Marrëveshjen, dhe Marrëveshja mbetet në fuqi dhe me efekt të plotë për vendet e tjera të Unionit të Posaçëm.</w:t>
      </w:r>
    </w:p>
    <w:p w:rsidR="007C1B4F" w:rsidRPr="00C6252F" w:rsidRDefault="007C1B4F" w:rsidP="007C1B4F">
      <w:pPr>
        <w:pStyle w:val="Paragrafi"/>
        <w:rPr>
          <w:rFonts w:eastAsia="Times New Roman" w:cs="Times New Roman"/>
          <w:spacing w:val="-4"/>
          <w:lang w:val="sq-AL"/>
        </w:rPr>
      </w:pPr>
      <w:r w:rsidRPr="00C6252F">
        <w:rPr>
          <w:spacing w:val="-4"/>
          <w:lang w:val="sq-AL"/>
        </w:rPr>
        <w:t>2. Prishja e Marrëveshjes hyn në fuqi një vit pas datës kur Drejtori i Përgjithshëm merr njoftimin.</w:t>
      </w:r>
    </w:p>
    <w:p w:rsidR="007C1B4F" w:rsidRPr="00C6252F" w:rsidRDefault="007C1B4F" w:rsidP="007C1B4F">
      <w:pPr>
        <w:pStyle w:val="Paragrafi"/>
        <w:rPr>
          <w:rFonts w:eastAsia="Times New Roman" w:cs="Times New Roman"/>
          <w:spacing w:val="-4"/>
          <w:lang w:val="sq-AL"/>
        </w:rPr>
      </w:pPr>
      <w:r w:rsidRPr="00C6252F">
        <w:rPr>
          <w:spacing w:val="-4"/>
          <w:lang w:val="sq-AL"/>
        </w:rPr>
        <w:t>3. E drejta e prishjes së Marrëveshjes e parashikuar në këtë nen nuk ushtrohet nga asnjë vend para përfundimit të afatit pesëvjeçar nga data kur ky vend bëhet anëtar i Unionit të Posaçëm.</w:t>
      </w:r>
    </w:p>
    <w:p w:rsidR="007C1B4F" w:rsidRPr="0027705D" w:rsidRDefault="007C1B4F" w:rsidP="007C1B4F">
      <w:pPr>
        <w:pStyle w:val="Hapesira7"/>
        <w:rPr>
          <w:spacing w:val="-4"/>
          <w:sz w:val="10"/>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13</w:t>
      </w:r>
    </w:p>
    <w:p w:rsidR="007C1B4F" w:rsidRPr="00C6252F" w:rsidRDefault="007C1B4F" w:rsidP="007C1B4F">
      <w:pPr>
        <w:pStyle w:val="NeniNr"/>
        <w:rPr>
          <w:rFonts w:eastAsia="Times New Roman" w:cs="Times New Roman"/>
          <w:b/>
          <w:spacing w:val="-4"/>
          <w:lang w:val="sq-AL"/>
        </w:rPr>
      </w:pPr>
      <w:r w:rsidRPr="00C6252F">
        <w:rPr>
          <w:b/>
          <w:spacing w:val="-4"/>
          <w:lang w:val="sq-AL"/>
        </w:rPr>
        <w:t>Territoret</w:t>
      </w:r>
    </w:p>
    <w:p w:rsidR="007C1B4F" w:rsidRPr="0027705D" w:rsidRDefault="007C1B4F" w:rsidP="007C1B4F">
      <w:pPr>
        <w:pStyle w:val="Hapesira7"/>
        <w:rPr>
          <w:spacing w:val="-4"/>
          <w:sz w:val="8"/>
          <w:lang w:val="sq-AL"/>
        </w:rPr>
      </w:pPr>
    </w:p>
    <w:p w:rsidR="007C1B4F" w:rsidRPr="00C6252F" w:rsidRDefault="007C1B4F" w:rsidP="007C1B4F">
      <w:pPr>
        <w:pStyle w:val="Paragrafi"/>
        <w:rPr>
          <w:spacing w:val="-4"/>
          <w:lang w:val="sq-AL"/>
        </w:rPr>
      </w:pPr>
      <w:r w:rsidRPr="00C6252F">
        <w:rPr>
          <w:spacing w:val="-4"/>
          <w:lang w:val="sq-AL"/>
        </w:rPr>
        <w:t>Dispozitat e nenit 24 të Konventës së Parisit për Mbrojtjen e Pronësisë Industriale zbatohen për këtë Marrëveshje.</w:t>
      </w:r>
    </w:p>
    <w:p w:rsidR="007C1B4F" w:rsidRPr="0027705D" w:rsidRDefault="007C1B4F" w:rsidP="007C1B4F">
      <w:pPr>
        <w:pStyle w:val="Hapesira7"/>
        <w:rPr>
          <w:spacing w:val="-4"/>
          <w:sz w:val="4"/>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14</w:t>
      </w:r>
    </w:p>
    <w:p w:rsidR="007C1B4F" w:rsidRPr="00C6252F" w:rsidRDefault="007C1B4F" w:rsidP="007C1B4F">
      <w:pPr>
        <w:pStyle w:val="NeniNr"/>
        <w:rPr>
          <w:rFonts w:eastAsia="Times New Roman" w:cs="Times New Roman"/>
          <w:b/>
          <w:spacing w:val="-4"/>
          <w:lang w:val="sq-AL"/>
        </w:rPr>
      </w:pPr>
      <w:r w:rsidRPr="00C6252F">
        <w:rPr>
          <w:b/>
          <w:spacing w:val="-4"/>
          <w:lang w:val="sq-AL"/>
        </w:rPr>
        <w:t>Nënshkrimi, gjuha, njoftimet</w:t>
      </w:r>
    </w:p>
    <w:p w:rsidR="007C1B4F" w:rsidRPr="0027705D" w:rsidRDefault="007C1B4F" w:rsidP="007C1B4F">
      <w:pPr>
        <w:pStyle w:val="Hapesira7"/>
        <w:rPr>
          <w:spacing w:val="-4"/>
          <w:sz w:val="10"/>
          <w:lang w:val="sq-AL"/>
        </w:rPr>
      </w:pPr>
    </w:p>
    <w:p w:rsidR="007C1B4F" w:rsidRPr="00C6252F" w:rsidRDefault="007C1B4F" w:rsidP="007C1B4F">
      <w:pPr>
        <w:pStyle w:val="Paragrafi"/>
        <w:rPr>
          <w:rFonts w:eastAsia="Times New Roman" w:cs="Times New Roman"/>
          <w:spacing w:val="-4"/>
          <w:lang w:val="sq-AL"/>
        </w:rPr>
      </w:pPr>
      <w:r w:rsidRPr="00C6252F">
        <w:rPr>
          <w:spacing w:val="-4"/>
          <w:lang w:val="sq-AL"/>
        </w:rPr>
        <w:t>1. a)</w:t>
      </w:r>
      <w:r w:rsidRPr="00C6252F">
        <w:rPr>
          <w:spacing w:val="-4"/>
          <w:lang w:val="sq-AL"/>
        </w:rPr>
        <w:tab/>
        <w:t>Kjo Marrëveshje nënshkruhet në një kopje të vetme në gjuhët angleze dhe frënge, ku tekstet në të dyja gjuhët janë njëlloj autentike dhe depozitohen në qeverinë e Zvicrës.</w:t>
      </w:r>
    </w:p>
    <w:p w:rsidR="007C1B4F" w:rsidRPr="00C6252F" w:rsidRDefault="007C1B4F" w:rsidP="007C1B4F">
      <w:pPr>
        <w:pStyle w:val="Paragrafi"/>
        <w:rPr>
          <w:spacing w:val="-4"/>
          <w:lang w:val="sq-AL"/>
        </w:rPr>
      </w:pPr>
      <w:r w:rsidRPr="00C6252F">
        <w:rPr>
          <w:spacing w:val="-4"/>
          <w:lang w:val="sq-AL"/>
        </w:rPr>
        <w:t>b)</w:t>
      </w:r>
      <w:r w:rsidRPr="00C6252F">
        <w:rPr>
          <w:spacing w:val="-4"/>
          <w:lang w:val="sq-AL"/>
        </w:rPr>
        <w:tab/>
        <w:t>Kjo Marrëveshje mbetet e hapur për nënshkrim në Bernë, deri më 30 qershor 1969.</w:t>
      </w:r>
    </w:p>
    <w:p w:rsidR="007C1B4F" w:rsidRPr="00C6252F" w:rsidRDefault="007C1B4F" w:rsidP="007C1B4F">
      <w:pPr>
        <w:pStyle w:val="Paragrafi"/>
        <w:rPr>
          <w:rFonts w:eastAsia="Times New Roman" w:cs="Times New Roman"/>
          <w:spacing w:val="-4"/>
          <w:lang w:val="sq-AL"/>
        </w:rPr>
      </w:pPr>
      <w:r w:rsidRPr="00C6252F">
        <w:rPr>
          <w:spacing w:val="-4"/>
          <w:lang w:val="sq-AL"/>
        </w:rPr>
        <w:t>2. Tekstet zyrtare përcaktohen nga Drejtori i Përgjithshëm, pas konsultimit me qeveritë e interesuara, në gjuhë të tjera, siç përcaktohen nga Asambleja.</w:t>
      </w:r>
    </w:p>
    <w:p w:rsidR="007C1B4F" w:rsidRPr="00C6252F" w:rsidRDefault="007C1B4F" w:rsidP="007C1B4F">
      <w:pPr>
        <w:pStyle w:val="Paragrafi"/>
        <w:rPr>
          <w:rFonts w:eastAsia="Times New Roman" w:cs="Times New Roman"/>
          <w:spacing w:val="-4"/>
          <w:lang w:val="sq-AL"/>
        </w:rPr>
      </w:pPr>
      <w:r w:rsidRPr="00C6252F">
        <w:rPr>
          <w:spacing w:val="-4"/>
          <w:lang w:val="sq-AL"/>
        </w:rPr>
        <w:t>3. Drejtori i Përgjithshëm përcjell dy kopje të tekstit të nënshkruar të kësaj Marrëveshjeje, të certifikuara nga qeveria e Zvicrës, qeverive të vendeve që e kanë nënshkruar atë dhe, me kërkesë të tyre, qeverisë së çdo vendi tjetër.</w:t>
      </w:r>
    </w:p>
    <w:p w:rsidR="007C1B4F" w:rsidRPr="00C6252F" w:rsidRDefault="007C1B4F" w:rsidP="007C1B4F">
      <w:pPr>
        <w:pStyle w:val="Paragrafi"/>
        <w:rPr>
          <w:rFonts w:eastAsia="Times New Roman" w:cs="Times New Roman"/>
          <w:spacing w:val="-4"/>
          <w:lang w:val="sq-AL"/>
        </w:rPr>
      </w:pPr>
      <w:r w:rsidRPr="00C6252F">
        <w:rPr>
          <w:spacing w:val="-4"/>
          <w:lang w:val="sq-AL"/>
        </w:rPr>
        <w:t>4. Drejtori i Përgjithshëm e regjistron këtë Marrëveshje në Sekretariatin e Kombeve të Bashkuara.</w:t>
      </w:r>
    </w:p>
    <w:p w:rsidR="007C1B4F" w:rsidRPr="00C6252F" w:rsidRDefault="007C1B4F" w:rsidP="007C1B4F">
      <w:pPr>
        <w:pStyle w:val="Paragrafi"/>
        <w:rPr>
          <w:rFonts w:eastAsia="Times New Roman" w:cs="Times New Roman"/>
          <w:spacing w:val="-4"/>
          <w:lang w:val="sq-AL"/>
        </w:rPr>
      </w:pPr>
      <w:r w:rsidRPr="00C6252F">
        <w:rPr>
          <w:spacing w:val="-4"/>
          <w:lang w:val="sq-AL"/>
        </w:rPr>
        <w:t>5. Drejtori i Përgjithshëm njofton qeveritë e të gjitha vendeve të Unionit të Posaçëm për datën e hyrjes në fuqi të Marrëveshjes, nënshkrimit, depozitimit të instrumenteve të ratifikimit ose të aderimit, pranimet e ndryshimeve të kësaj Marrëveshjeje dhe datat e hyrjes në fuqi të këtyre marrëveshjeve, dhe njoftimet e prishjes së marrëveshjeve.</w:t>
      </w:r>
    </w:p>
    <w:p w:rsidR="007C1B4F" w:rsidRPr="00C6252F" w:rsidRDefault="007C1B4F" w:rsidP="007C1B4F">
      <w:pPr>
        <w:pStyle w:val="Hapesira7"/>
        <w:rPr>
          <w:spacing w:val="-4"/>
          <w:lang w:val="sq-AL"/>
        </w:rPr>
      </w:pPr>
    </w:p>
    <w:p w:rsidR="007C1B4F" w:rsidRPr="00C6252F" w:rsidRDefault="007C1B4F" w:rsidP="007C1B4F">
      <w:pPr>
        <w:pStyle w:val="NeniNr"/>
        <w:rPr>
          <w:rFonts w:eastAsia="Times New Roman" w:cs="Times New Roman"/>
          <w:spacing w:val="-4"/>
          <w:lang w:val="sq-AL"/>
        </w:rPr>
      </w:pPr>
      <w:r w:rsidRPr="00C6252F">
        <w:rPr>
          <w:spacing w:val="-4"/>
          <w:lang w:val="sq-AL"/>
        </w:rPr>
        <w:t>Neni 15</w:t>
      </w:r>
    </w:p>
    <w:p w:rsidR="007C1B4F" w:rsidRPr="00C6252F" w:rsidRDefault="007C1B4F" w:rsidP="007C1B4F">
      <w:pPr>
        <w:pStyle w:val="NeniNr"/>
        <w:rPr>
          <w:rFonts w:eastAsia="Times New Roman" w:cs="Times New Roman"/>
          <w:b/>
          <w:spacing w:val="-4"/>
          <w:lang w:val="sq-AL"/>
        </w:rPr>
      </w:pPr>
      <w:r w:rsidRPr="00C6252F">
        <w:rPr>
          <w:b/>
          <w:spacing w:val="-4"/>
          <w:lang w:val="sq-AL"/>
        </w:rPr>
        <w:t>Dispozita kalimtare</w:t>
      </w:r>
    </w:p>
    <w:p w:rsidR="007C1B4F" w:rsidRPr="00C6252F" w:rsidRDefault="007C1B4F" w:rsidP="007C1B4F">
      <w:pPr>
        <w:pStyle w:val="Hapesira7"/>
        <w:rPr>
          <w:spacing w:val="-4"/>
          <w:lang w:val="sq-AL"/>
        </w:rPr>
      </w:pPr>
    </w:p>
    <w:p w:rsidR="007C1B4F" w:rsidRPr="00C6252F" w:rsidRDefault="007C1B4F" w:rsidP="007C1B4F">
      <w:pPr>
        <w:pStyle w:val="Paragrafi"/>
        <w:rPr>
          <w:spacing w:val="-4"/>
          <w:lang w:val="sq-AL"/>
        </w:rPr>
      </w:pPr>
      <w:r w:rsidRPr="00C6252F">
        <w:rPr>
          <w:spacing w:val="-4"/>
          <w:lang w:val="sq-AL"/>
        </w:rPr>
        <w:t>Derisa Drejtori i parë Përgjithshëm të marrë detyrën, referencat në këtë Marrëveshje për Byronë Ndërkombëtare të Organizatës ose për Drejtorin e Përgjithshëm konsiderohen përkatësisht si referenca për Byrotë e Bashkuara Ndërkombëtare për Mbrojtjen e Pronësisë Intelektuale (BIRPI) ose për drejtorin e kësaj zyre.</w:t>
      </w:r>
    </w:p>
    <w:p w:rsidR="007C1B4F" w:rsidRDefault="007C1B4F" w:rsidP="007C1B4F">
      <w:pPr>
        <w:pStyle w:val="NeniTitull"/>
      </w:pPr>
    </w:p>
    <w:p w:rsidR="00E45814" w:rsidRDefault="00E45814"/>
    <w:sectPr w:rsidR="00E45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B4F"/>
    <w:rsid w:val="007C1B4F"/>
    <w:rsid w:val="00E4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1F7243-F754-4433-9B09-0BF8E4B00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7C1B4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C1B4F"/>
    <w:rPr>
      <w:rFonts w:ascii="Garamond" w:eastAsia="MS Mincho" w:hAnsi="Garamond" w:cs="CG Times"/>
      <w:sz w:val="24"/>
    </w:rPr>
  </w:style>
  <w:style w:type="paragraph" w:customStyle="1" w:styleId="NeniNr">
    <w:name w:val="Neni_Nr"/>
    <w:next w:val="Normal"/>
    <w:link w:val="NeniNrChar"/>
    <w:rsid w:val="007C1B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C1B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C1B4F"/>
    <w:rPr>
      <w:rFonts w:ascii="Garamond" w:eastAsia="MS Mincho" w:hAnsi="Garamond" w:cs="CG Times"/>
      <w:sz w:val="24"/>
      <w:lang w:val="en-GB"/>
    </w:rPr>
  </w:style>
  <w:style w:type="paragraph" w:customStyle="1" w:styleId="Hapesira7">
    <w:name w:val="Hapesira 7"/>
    <w:basedOn w:val="Paragrafi"/>
    <w:qFormat/>
    <w:rsid w:val="007C1B4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3090</Words>
  <Characters>17615</Characters>
  <Application>Microsoft Office Word</Application>
  <DocSecurity>0</DocSecurity>
  <Lines>146</Lines>
  <Paragraphs>41</Paragraphs>
  <ScaleCrop>false</ScaleCrop>
  <Company/>
  <LinksUpToDate>false</LinksUpToDate>
  <CharactersWithSpaces>20664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2018-07-02T13:48:00Z</dcterms:created>
  <dcterms:modified xsi:type="dcterms:W3CDTF">2018-07-02T13:50:00Z</dcterms:modified>
</cp:coreProperties>
</file>