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00" w:rsidRPr="005A5799" w:rsidRDefault="00266000" w:rsidP="00266000">
      <w:pPr>
        <w:pStyle w:val="NeniTitull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LIGJ</w:t>
      </w:r>
    </w:p>
    <w:p w:rsidR="00266000" w:rsidRPr="005A5799" w:rsidRDefault="00266000" w:rsidP="00266000">
      <w:pPr>
        <w:pStyle w:val="NeniTitull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Nr. 65/2018</w:t>
      </w:r>
    </w:p>
    <w:p w:rsidR="00266000" w:rsidRPr="005A5799" w:rsidRDefault="00266000" w:rsidP="00266000">
      <w:pPr>
        <w:pStyle w:val="NeniTitull"/>
        <w:keepNext w:val="0"/>
        <w:rPr>
          <w:spacing w:val="-4"/>
          <w:sz w:val="14"/>
          <w:lang w:val="sq-AL"/>
        </w:rPr>
      </w:pPr>
    </w:p>
    <w:p w:rsidR="00266000" w:rsidRPr="005A5799" w:rsidRDefault="00266000" w:rsidP="00266000">
      <w:pPr>
        <w:pStyle w:val="NeniTitull"/>
        <w:keepNext w:val="0"/>
        <w:rPr>
          <w:spacing w:val="-4"/>
          <w:lang w:val="sq-AL"/>
        </w:rPr>
      </w:pPr>
      <w:r w:rsidRPr="005A5799">
        <w:rPr>
          <w:spacing w:val="-4"/>
          <w:lang w:val="sq-AL"/>
        </w:rPr>
        <w:t>PËR DISA NDRYSHIME DHE SHTESA NË LIGJIN NR. 8318, DATË 1.4.1998, “PËR DHËNIEN ME QIRA TË TOKËS BUJQËSORE E PYJORE, TË LIVADHEVE DHE KULLOTAVE QË JANË PASURI SHTETËRORE”, TË NDRYSHUAR</w:t>
      </w:r>
    </w:p>
    <w:p w:rsidR="00266000" w:rsidRPr="005A5799" w:rsidRDefault="00266000" w:rsidP="00266000">
      <w:pPr>
        <w:pStyle w:val="Paragrafi"/>
        <w:rPr>
          <w:spacing w:val="-4"/>
          <w:sz w:val="14"/>
          <w:u w:val="single"/>
          <w:lang w:val="sq-AL" w:eastAsia="sq-AL"/>
        </w:rPr>
      </w:pPr>
    </w:p>
    <w:p w:rsidR="00266000" w:rsidRPr="005A5799" w:rsidRDefault="00266000" w:rsidP="00266000">
      <w:pPr>
        <w:pStyle w:val="Paragrafi"/>
        <w:rPr>
          <w:spacing w:val="-4"/>
          <w:lang w:val="sq-AL" w:eastAsia="sq-AL"/>
        </w:rPr>
      </w:pPr>
      <w:r w:rsidRPr="005A5799">
        <w:rPr>
          <w:spacing w:val="-4"/>
          <w:lang w:val="sq-AL" w:eastAsia="sq-AL"/>
        </w:rPr>
        <w:tab/>
        <w:t xml:space="preserve">Në mbështetje të neneve 78 e 83, pika 1, të Kushtetutës, me propozimin e Këshillit të Ministrave, </w:t>
      </w:r>
    </w:p>
    <w:p w:rsidR="00266000" w:rsidRPr="005A5799" w:rsidRDefault="00266000" w:rsidP="00266000">
      <w:pPr>
        <w:pStyle w:val="NeniNr"/>
        <w:keepNext w:val="0"/>
        <w:rPr>
          <w:spacing w:val="-4"/>
          <w:sz w:val="14"/>
          <w:lang w:val="sq-AL" w:eastAsia="sq-AL"/>
        </w:rPr>
      </w:pPr>
    </w:p>
    <w:p w:rsidR="00266000" w:rsidRPr="005A5799" w:rsidRDefault="00266000" w:rsidP="00266000">
      <w:pPr>
        <w:pStyle w:val="NeniNr"/>
        <w:keepNext w:val="0"/>
        <w:rPr>
          <w:spacing w:val="-4"/>
          <w:lang w:val="sq-AL" w:eastAsia="sq-AL"/>
        </w:rPr>
      </w:pPr>
      <w:r w:rsidRPr="005A5799">
        <w:rPr>
          <w:spacing w:val="-4"/>
          <w:lang w:val="sq-AL" w:eastAsia="sq-AL"/>
        </w:rPr>
        <w:t>KUVENDI</w:t>
      </w:r>
    </w:p>
    <w:p w:rsidR="00266000" w:rsidRPr="005A5799" w:rsidRDefault="00266000" w:rsidP="00266000">
      <w:pPr>
        <w:pStyle w:val="NeniNr"/>
        <w:keepNext w:val="0"/>
        <w:rPr>
          <w:spacing w:val="-4"/>
          <w:lang w:val="sq-AL" w:eastAsia="sq-AL"/>
        </w:rPr>
      </w:pPr>
      <w:r w:rsidRPr="005A5799">
        <w:rPr>
          <w:spacing w:val="-4"/>
          <w:lang w:val="sq-AL" w:eastAsia="sq-AL"/>
        </w:rPr>
        <w:t>I REPUBLIKËS SË SHQIPËRISË</w:t>
      </w:r>
    </w:p>
    <w:p w:rsidR="00266000" w:rsidRPr="005A5799" w:rsidRDefault="00266000" w:rsidP="00266000">
      <w:pPr>
        <w:pStyle w:val="NeniNr"/>
        <w:keepNext w:val="0"/>
        <w:rPr>
          <w:spacing w:val="-4"/>
          <w:sz w:val="14"/>
          <w:lang w:val="sq-AL" w:eastAsia="sq-AL"/>
        </w:rPr>
      </w:pPr>
    </w:p>
    <w:p w:rsidR="00266000" w:rsidRPr="005A5799" w:rsidRDefault="00266000" w:rsidP="00266000">
      <w:pPr>
        <w:pStyle w:val="NeniNr"/>
        <w:keepNext w:val="0"/>
        <w:rPr>
          <w:spacing w:val="-4"/>
          <w:lang w:val="sq-AL" w:eastAsia="sq-AL"/>
        </w:rPr>
      </w:pPr>
      <w:r w:rsidRPr="005A5799">
        <w:rPr>
          <w:spacing w:val="-4"/>
          <w:lang w:val="sq-AL" w:eastAsia="sq-AL"/>
        </w:rPr>
        <w:t>VENDOSI:</w:t>
      </w:r>
    </w:p>
    <w:p w:rsidR="00266000" w:rsidRPr="005A5799" w:rsidRDefault="00266000" w:rsidP="00266000">
      <w:pPr>
        <w:pStyle w:val="Paragrafi"/>
        <w:rPr>
          <w:spacing w:val="-4"/>
          <w:sz w:val="10"/>
          <w:lang w:val="sq-AL" w:eastAsia="sq-AL"/>
        </w:rPr>
      </w:pPr>
    </w:p>
    <w:p w:rsidR="00266000" w:rsidRPr="005A5799" w:rsidRDefault="00266000" w:rsidP="00266000">
      <w:pPr>
        <w:pStyle w:val="Paragrafi"/>
        <w:rPr>
          <w:color w:val="000000"/>
          <w:lang w:val="sq-AL"/>
        </w:rPr>
      </w:pPr>
      <w:r w:rsidRPr="005A5799">
        <w:rPr>
          <w:spacing w:val="-4"/>
          <w:lang w:val="sq-AL"/>
        </w:rPr>
        <w:tab/>
        <w:t>Në ligjin nr. 8318, datë 1.4.1998, “Për</w:t>
      </w:r>
      <w:r w:rsidRPr="005A5799">
        <w:rPr>
          <w:lang w:val="sq-AL"/>
        </w:rPr>
        <w:t xml:space="preserve"> dhënien me qira të tokës bujqësore e pyjore, të livadheve dhe kullotave që janë pasuri shtetërore”, të ndryshuar</w:t>
      </w:r>
      <w:r w:rsidRPr="005A5799">
        <w:rPr>
          <w:color w:val="000000"/>
          <w:lang w:val="sq-AL"/>
        </w:rPr>
        <w:t xml:space="preserve">, bëhen ndryshimet dhe shtesat si më poshtë: </w:t>
      </w:r>
    </w:p>
    <w:p w:rsidR="00266000" w:rsidRPr="005A5799" w:rsidRDefault="00266000" w:rsidP="00266000">
      <w:pPr>
        <w:pStyle w:val="NeniNr"/>
        <w:keepNext w:val="0"/>
        <w:rPr>
          <w:lang w:val="sq-AL" w:eastAsia="sq-AL"/>
        </w:rPr>
      </w:pPr>
      <w:r w:rsidRPr="005A5799">
        <w:rPr>
          <w:lang w:val="sq-AL" w:eastAsia="sq-AL"/>
        </w:rPr>
        <w:t>Neni 1</w:t>
      </w:r>
    </w:p>
    <w:p w:rsidR="00266000" w:rsidRPr="005A5799" w:rsidRDefault="00266000" w:rsidP="00266000">
      <w:pPr>
        <w:pStyle w:val="Paragrafi"/>
        <w:rPr>
          <w:sz w:val="14"/>
          <w:lang w:val="sq-AL" w:eastAsia="sq-AL"/>
        </w:rPr>
      </w:pPr>
    </w:p>
    <w:p w:rsidR="00266000" w:rsidRPr="005A5799" w:rsidRDefault="00266000" w:rsidP="00266000">
      <w:pPr>
        <w:pStyle w:val="Paragrafi"/>
        <w:rPr>
          <w:lang w:val="sq-AL" w:eastAsia="sq-AL"/>
        </w:rPr>
      </w:pPr>
      <w:r w:rsidRPr="005A5799">
        <w:rPr>
          <w:lang w:val="sq-AL" w:eastAsia="sq-AL"/>
        </w:rPr>
        <w:tab/>
        <w:t>Në nenin 6, paragrafi i tretë shfuqizohet.</w:t>
      </w:r>
    </w:p>
    <w:p w:rsidR="00266000" w:rsidRPr="005A5799" w:rsidRDefault="00266000" w:rsidP="00266000">
      <w:pPr>
        <w:pStyle w:val="Paragrafi"/>
        <w:rPr>
          <w:sz w:val="14"/>
          <w:lang w:val="sq-AL" w:eastAsia="sq-AL"/>
        </w:rPr>
      </w:pPr>
    </w:p>
    <w:p w:rsidR="00266000" w:rsidRPr="005A5799" w:rsidRDefault="00266000" w:rsidP="00266000">
      <w:pPr>
        <w:pStyle w:val="NeniNr"/>
        <w:keepNext w:val="0"/>
        <w:rPr>
          <w:lang w:val="sq-AL" w:eastAsia="sq-AL"/>
        </w:rPr>
      </w:pPr>
      <w:r w:rsidRPr="005A5799">
        <w:rPr>
          <w:lang w:val="sq-AL" w:eastAsia="sq-AL"/>
        </w:rPr>
        <w:t>Neni 2</w:t>
      </w:r>
    </w:p>
    <w:p w:rsidR="00266000" w:rsidRPr="005A5799" w:rsidRDefault="00266000" w:rsidP="00266000">
      <w:pPr>
        <w:pStyle w:val="Paragrafi"/>
        <w:rPr>
          <w:color w:val="000000"/>
          <w:sz w:val="14"/>
          <w:lang w:val="sq-AL"/>
        </w:rPr>
      </w:pP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 xml:space="preserve">Pas nenit 16 shtohen nenet 16/1 dhe 16/2 me këtë përmbajtje: </w:t>
      </w:r>
    </w:p>
    <w:p w:rsidR="00266000" w:rsidRPr="005A5799" w:rsidRDefault="00266000" w:rsidP="00266000">
      <w:pPr>
        <w:pStyle w:val="Paragrafi"/>
        <w:rPr>
          <w:sz w:val="14"/>
          <w:lang w:val="sq-AL"/>
        </w:rPr>
      </w:pPr>
    </w:p>
    <w:p w:rsidR="00266000" w:rsidRPr="005A5799" w:rsidRDefault="00266000" w:rsidP="00266000">
      <w:pPr>
        <w:pStyle w:val="NeniNr"/>
        <w:keepNext w:val="0"/>
        <w:rPr>
          <w:lang w:val="sq-AL"/>
        </w:rPr>
      </w:pPr>
      <w:r w:rsidRPr="005A5799">
        <w:rPr>
          <w:lang w:val="sq-AL"/>
        </w:rPr>
        <w:t>“Neni 16/1</w:t>
      </w:r>
    </w:p>
    <w:p w:rsidR="00266000" w:rsidRPr="005A5799" w:rsidRDefault="00266000" w:rsidP="00266000">
      <w:pPr>
        <w:pStyle w:val="Paragrafi"/>
        <w:rPr>
          <w:sz w:val="14"/>
          <w:lang w:val="sq-AL"/>
        </w:rPr>
      </w:pPr>
    </w:p>
    <w:p w:rsidR="00266000" w:rsidRPr="00E7295C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</w:r>
      <w:r w:rsidRPr="00E7295C">
        <w:rPr>
          <w:lang w:val="sq-AL"/>
        </w:rPr>
        <w:t>1. Në rastet kur në tokat bujqësore në administrim të ministrisë përgjegjëse për bujqësinë, objekt i qiradhënies, qiramarrësi kërkon të ndërtojë objekte për prodhimin, ruajtjen dhe përpunimin e produkteve bujqësore e blegtorale apo objekte në funksion të agroturizmit, për të cilat kërkohet leje ndërtimi dhe kategoria e resursit ndryshon nga “tokë bujqësore” në “truall”, qiradhënësi mund të japë miratimin, nëse plotësohen kushtet e mëposhtme:</w:t>
      </w: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>a) Ndërtimi i objekteve të parashikuara në kërkesë të jetë në përputhje me legjislacionin dhe dokumentet e planifikimit të territorit;</w:t>
      </w: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>b) Sipërfaqja ndërtimore të shërbejë vetëm për objekte për prodhimin, ruajtjen dhe përpunimin e produkteve bujqësore e blegtorale, të tokës bujqësore, objekt i qiradhënies ose për ngritjen e objekteve ndërtimore në funksion të agroturizmit.</w:t>
      </w: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>Nuk lejohet në asnjë rast ndryshimi i destinacionit të objektit të ndërtuar sipas këtij ligji.</w:t>
      </w: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>2. Për sipërfaqen ndërtimore “truall”, të miratuar sipas pikës 1 të këtij neni, aplikohet i njëjti çmim i qiradhënies si për tokën bujqësore.</w:t>
      </w:r>
    </w:p>
    <w:p w:rsidR="00266000" w:rsidRPr="005A5799" w:rsidRDefault="00266000" w:rsidP="00266000">
      <w:pPr>
        <w:pStyle w:val="Paragrafi"/>
        <w:rPr>
          <w:sz w:val="14"/>
          <w:lang w:val="sq-AL"/>
        </w:rPr>
      </w:pPr>
    </w:p>
    <w:p w:rsidR="00266000" w:rsidRPr="005A5799" w:rsidRDefault="00266000" w:rsidP="00266000">
      <w:pPr>
        <w:pStyle w:val="NeniNr"/>
        <w:keepNext w:val="0"/>
        <w:rPr>
          <w:lang w:val="sq-AL"/>
        </w:rPr>
      </w:pPr>
      <w:r w:rsidRPr="005A5799">
        <w:rPr>
          <w:lang w:val="sq-AL"/>
        </w:rPr>
        <w:t>Neni 16/2</w:t>
      </w:r>
    </w:p>
    <w:p w:rsidR="00266000" w:rsidRPr="005A5799" w:rsidRDefault="00266000" w:rsidP="00266000">
      <w:pPr>
        <w:pStyle w:val="Paragrafi"/>
        <w:rPr>
          <w:sz w:val="14"/>
          <w:lang w:val="sq-AL"/>
        </w:rPr>
      </w:pP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 xml:space="preserve">1. Në rastet e zgjidhjes së njëanshme të kontratës, sipas kushteve të parashikuara në kontratë ose të mbarimit të afatit të qiradhënies, objekti ndërtimor, si dhe çdo investim tjetër i trupëzuar kalon në pronësi të qiradhënësit, pa shpërblim. </w:t>
      </w: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ab/>
        <w:t xml:space="preserve">2. Në rastin kur në sipërfaqen ndërtimore dhe/ose në sipërfaqet e mbjella me kultura bujqësore parashikohet realizimi i një projekti, investimi apo objekti për interes publik, kompensimi i qiramarrësit për shpenzimet e kryera për objektin ndërtimor, si dhe çdo investim tjetër të trupëzuar, bëhet sipas përcaktimeve të legjislacionit në fuqi për shpronësimet për interes publik. Masa e kompensimit mbulohet nga entiteti përgjegjës për zhvillimin e projektit, investimit apo objektit që paraqet interes publik.”. </w:t>
      </w:r>
    </w:p>
    <w:p w:rsidR="00266000" w:rsidRDefault="00266000" w:rsidP="00266000">
      <w:pPr>
        <w:pStyle w:val="Paragrafi"/>
        <w:rPr>
          <w:sz w:val="14"/>
          <w:lang w:val="sq-AL"/>
        </w:rPr>
      </w:pPr>
    </w:p>
    <w:p w:rsidR="00266000" w:rsidRDefault="00266000" w:rsidP="00266000">
      <w:pPr>
        <w:pStyle w:val="Paragrafi"/>
        <w:rPr>
          <w:sz w:val="14"/>
          <w:lang w:val="sq-AL"/>
        </w:rPr>
      </w:pPr>
    </w:p>
    <w:p w:rsidR="00266000" w:rsidRPr="005A5799" w:rsidRDefault="00266000" w:rsidP="00266000">
      <w:pPr>
        <w:pStyle w:val="Paragrafi"/>
        <w:rPr>
          <w:sz w:val="14"/>
          <w:lang w:val="sq-AL"/>
        </w:rPr>
      </w:pPr>
      <w:bookmarkStart w:id="0" w:name="_GoBack"/>
      <w:bookmarkEnd w:id="0"/>
    </w:p>
    <w:p w:rsidR="00266000" w:rsidRPr="005A5799" w:rsidRDefault="00266000" w:rsidP="00266000">
      <w:pPr>
        <w:pStyle w:val="NeniNr"/>
        <w:keepNext w:val="0"/>
        <w:rPr>
          <w:lang w:val="sq-AL" w:eastAsia="sq-AL"/>
        </w:rPr>
      </w:pPr>
      <w:r w:rsidRPr="005A5799">
        <w:rPr>
          <w:lang w:val="sq-AL" w:eastAsia="sq-AL"/>
        </w:rPr>
        <w:lastRenderedPageBreak/>
        <w:t>Neni 3</w:t>
      </w:r>
    </w:p>
    <w:p w:rsidR="00266000" w:rsidRPr="005A5799" w:rsidRDefault="00266000" w:rsidP="00266000">
      <w:pPr>
        <w:pStyle w:val="Paragrafi"/>
        <w:rPr>
          <w:sz w:val="14"/>
          <w:lang w:val="sq-AL" w:eastAsia="sq-AL"/>
        </w:rPr>
      </w:pPr>
    </w:p>
    <w:p w:rsidR="00266000" w:rsidRPr="005A5799" w:rsidRDefault="00266000" w:rsidP="00266000">
      <w:pPr>
        <w:pStyle w:val="Paragrafi"/>
        <w:rPr>
          <w:lang w:val="sq-AL" w:eastAsia="sq-AL"/>
        </w:rPr>
      </w:pPr>
      <w:r w:rsidRPr="005A5799">
        <w:rPr>
          <w:lang w:val="sq-AL" w:eastAsia="sq-AL"/>
        </w:rPr>
        <w:tab/>
        <w:t>Ky ligj hyn në fuqi 15 ditë pas botimit në Fletoren Zyrtare.</w:t>
      </w:r>
    </w:p>
    <w:p w:rsidR="00266000" w:rsidRPr="005A5799" w:rsidRDefault="00266000" w:rsidP="00266000">
      <w:pPr>
        <w:pStyle w:val="Paragrafi"/>
        <w:rPr>
          <w:sz w:val="14"/>
          <w:lang w:val="sq-AL"/>
        </w:rPr>
      </w:pPr>
    </w:p>
    <w:p w:rsidR="00266000" w:rsidRPr="005A5799" w:rsidRDefault="00266000" w:rsidP="00266000">
      <w:pPr>
        <w:pStyle w:val="Paragrafi"/>
        <w:rPr>
          <w:lang w:val="sq-AL"/>
        </w:rPr>
      </w:pPr>
      <w:r w:rsidRPr="005A5799">
        <w:rPr>
          <w:lang w:val="sq-AL"/>
        </w:rPr>
        <w:t>Miratuar në datën 24.9.2018</w:t>
      </w:r>
    </w:p>
    <w:p w:rsidR="00266000" w:rsidRPr="005A5799" w:rsidRDefault="00266000" w:rsidP="00266000">
      <w:pPr>
        <w:pStyle w:val="Paragrafi"/>
        <w:ind w:firstLine="0"/>
        <w:rPr>
          <w:b/>
          <w:sz w:val="14"/>
          <w:lang w:val="sq-AL"/>
        </w:rPr>
      </w:pPr>
    </w:p>
    <w:p w:rsidR="00266000" w:rsidRPr="005A5799" w:rsidRDefault="00266000" w:rsidP="00266000">
      <w:pPr>
        <w:pStyle w:val="Paragrafi"/>
        <w:ind w:firstLine="0"/>
        <w:rPr>
          <w:b/>
          <w:lang w:val="sq-AL"/>
        </w:rPr>
      </w:pPr>
      <w:r w:rsidRPr="005A5799">
        <w:rPr>
          <w:b/>
          <w:lang w:val="sq-AL"/>
        </w:rPr>
        <w:t>Shpallur me dekretin nr. 10897, datë 10.10.2018 të Presidentit të Republikës së Shqipërisë, Ilir Meta</w:t>
      </w:r>
    </w:p>
    <w:p w:rsidR="00055AC9" w:rsidRDefault="00055AC9"/>
    <w:sectPr w:rsidR="00055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00"/>
    <w:rsid w:val="00055AC9"/>
    <w:rsid w:val="0026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BC5316-C0A4-4AFE-8F01-A0E9D1B4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60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6600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660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60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6000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2018-10-15T11:25:00Z</dcterms:created>
  <dcterms:modified xsi:type="dcterms:W3CDTF">2018-10-15T11:25:00Z</dcterms:modified>
</cp:coreProperties>
</file>