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056" w:rsidRPr="00E51BA5" w:rsidRDefault="003B0056" w:rsidP="003B0056">
      <w:pPr>
        <w:pStyle w:val="NeniTitull"/>
        <w:keepNext w:val="0"/>
        <w:rPr>
          <w:spacing w:val="-4"/>
          <w:lang w:val="sq-AL"/>
        </w:rPr>
      </w:pPr>
      <w:r w:rsidRPr="00E51BA5">
        <w:rPr>
          <w:spacing w:val="-4"/>
          <w:lang w:val="sq-AL"/>
        </w:rPr>
        <w:t>LIGJ</w:t>
      </w:r>
    </w:p>
    <w:p w:rsidR="003B0056" w:rsidRPr="00E51BA5" w:rsidRDefault="003B0056" w:rsidP="003B0056">
      <w:pPr>
        <w:pStyle w:val="NeniTitull"/>
        <w:keepNext w:val="0"/>
        <w:rPr>
          <w:spacing w:val="-4"/>
          <w:lang w:val="sq-AL"/>
        </w:rPr>
      </w:pPr>
      <w:r w:rsidRPr="00E51BA5">
        <w:rPr>
          <w:spacing w:val="-4"/>
          <w:lang w:val="sq-AL"/>
        </w:rPr>
        <w:t xml:space="preserve">Nr. </w:t>
      </w:r>
      <w:bookmarkStart w:id="0" w:name="_GoBack"/>
      <w:r w:rsidRPr="00E51BA5">
        <w:rPr>
          <w:spacing w:val="-4"/>
          <w:lang w:val="sq-AL"/>
        </w:rPr>
        <w:t>75/2018</w:t>
      </w:r>
    </w:p>
    <w:bookmarkEnd w:id="0"/>
    <w:p w:rsidR="003B0056" w:rsidRPr="00E51BA5" w:rsidRDefault="003B0056" w:rsidP="003B0056">
      <w:pPr>
        <w:pStyle w:val="NeniTitull"/>
        <w:keepNext w:val="0"/>
        <w:rPr>
          <w:spacing w:val="-4"/>
          <w:sz w:val="14"/>
          <w:lang w:val="sq-AL"/>
        </w:rPr>
      </w:pPr>
    </w:p>
    <w:p w:rsidR="003B0056" w:rsidRPr="00E51BA5" w:rsidRDefault="003B0056" w:rsidP="003B0056">
      <w:pPr>
        <w:pStyle w:val="NeniTitull"/>
        <w:keepNext w:val="0"/>
        <w:rPr>
          <w:spacing w:val="-4"/>
          <w:lang w:val="sq-AL"/>
        </w:rPr>
      </w:pPr>
      <w:r w:rsidRPr="00E51BA5">
        <w:rPr>
          <w:spacing w:val="-4"/>
          <w:lang w:val="sq-AL"/>
        </w:rPr>
        <w:t>PËR DISA SHTESA DHE NDRYSHIME NË LIGJIN NR. 155/2015, “PËR LOJËRAT E FATIT NË REPUBLIKËN E SHQIPËRISË”, TË NDRYSHUAR</w:t>
      </w:r>
    </w:p>
    <w:p w:rsidR="003B0056" w:rsidRPr="00E51BA5" w:rsidRDefault="003B0056" w:rsidP="003B0056">
      <w:pPr>
        <w:pStyle w:val="Paragrafi"/>
        <w:rPr>
          <w:spacing w:val="-4"/>
          <w:sz w:val="14"/>
          <w:lang w:val="sq-AL"/>
        </w:rPr>
      </w:pPr>
    </w:p>
    <w:p w:rsidR="003B0056" w:rsidRPr="00E51BA5" w:rsidRDefault="003B0056" w:rsidP="003B0056">
      <w:pPr>
        <w:pStyle w:val="Paragrafi"/>
        <w:rPr>
          <w:spacing w:val="-4"/>
          <w:lang w:val="sq-AL"/>
        </w:rPr>
      </w:pPr>
      <w:r w:rsidRPr="00E51BA5">
        <w:rPr>
          <w:spacing w:val="-4"/>
          <w:lang w:val="sq-AL"/>
        </w:rPr>
        <w:tab/>
        <w:t xml:space="preserve">Në mbështetje të neneve 78 dhe 83, pikat 1 e 2, të Kushtetutës, me propozimin e Këshillit të Ministrave, </w:t>
      </w:r>
    </w:p>
    <w:p w:rsidR="003B0056" w:rsidRPr="00E51BA5" w:rsidRDefault="003B0056" w:rsidP="003B0056">
      <w:pPr>
        <w:pStyle w:val="NeniNr"/>
        <w:keepNext w:val="0"/>
        <w:rPr>
          <w:spacing w:val="-4"/>
          <w:lang w:val="sq-AL"/>
        </w:rPr>
      </w:pPr>
      <w:r w:rsidRPr="00E51BA5">
        <w:rPr>
          <w:spacing w:val="-4"/>
          <w:lang w:val="sq-AL"/>
        </w:rPr>
        <w:t>KUVENDI</w:t>
      </w:r>
    </w:p>
    <w:p w:rsidR="003B0056" w:rsidRPr="00E51BA5" w:rsidRDefault="003B0056" w:rsidP="003B0056">
      <w:pPr>
        <w:pStyle w:val="NeniNr"/>
        <w:keepNext w:val="0"/>
        <w:rPr>
          <w:spacing w:val="-4"/>
          <w:lang w:val="sq-AL"/>
        </w:rPr>
      </w:pPr>
      <w:r w:rsidRPr="00E51BA5">
        <w:rPr>
          <w:spacing w:val="-4"/>
          <w:lang w:val="sq-AL"/>
        </w:rPr>
        <w:t>I REPUBLIKËS SË SHQIPËRISË</w:t>
      </w:r>
    </w:p>
    <w:p w:rsidR="003B0056" w:rsidRPr="00E51BA5" w:rsidRDefault="003B0056" w:rsidP="003B0056">
      <w:pPr>
        <w:pStyle w:val="NeniNr"/>
        <w:keepNext w:val="0"/>
        <w:rPr>
          <w:spacing w:val="-4"/>
          <w:sz w:val="14"/>
          <w:lang w:val="sq-AL"/>
        </w:rPr>
      </w:pPr>
    </w:p>
    <w:p w:rsidR="003B0056" w:rsidRPr="00E51BA5" w:rsidRDefault="003B0056" w:rsidP="003B0056">
      <w:pPr>
        <w:pStyle w:val="NeniNr"/>
        <w:keepNext w:val="0"/>
        <w:rPr>
          <w:spacing w:val="-4"/>
          <w:lang w:val="sq-AL"/>
        </w:rPr>
      </w:pPr>
      <w:r w:rsidRPr="00E51BA5">
        <w:rPr>
          <w:spacing w:val="-4"/>
          <w:lang w:val="sq-AL"/>
        </w:rPr>
        <w:t>VENDOSI:</w:t>
      </w:r>
    </w:p>
    <w:p w:rsidR="003B0056" w:rsidRPr="00E51BA5" w:rsidRDefault="003B0056" w:rsidP="003B0056">
      <w:pPr>
        <w:pStyle w:val="Paragrafi"/>
        <w:rPr>
          <w:spacing w:val="-4"/>
          <w:sz w:val="14"/>
          <w:lang w:val="sq-AL"/>
        </w:rPr>
      </w:pPr>
    </w:p>
    <w:p w:rsidR="003B0056" w:rsidRPr="00E51BA5" w:rsidRDefault="003B0056" w:rsidP="003B0056">
      <w:pPr>
        <w:pStyle w:val="Paragrafi"/>
        <w:rPr>
          <w:spacing w:val="-4"/>
          <w:lang w:val="sq-AL"/>
        </w:rPr>
      </w:pPr>
      <w:r w:rsidRPr="00E51BA5">
        <w:rPr>
          <w:spacing w:val="-4"/>
          <w:lang w:val="sq-AL"/>
        </w:rPr>
        <w:tab/>
        <w:t>Në ligjin nr. 155/2015, “Për lojërat e fatit në Republikën e Shqipërisë”, të ndryshuar, bëhen shtesat dhe ndryshimet si më poshtë:</w:t>
      </w:r>
    </w:p>
    <w:p w:rsidR="003B0056" w:rsidRPr="00E51BA5" w:rsidRDefault="003B0056" w:rsidP="003B0056">
      <w:pPr>
        <w:pStyle w:val="Paragrafi"/>
        <w:rPr>
          <w:spacing w:val="-4"/>
          <w:sz w:val="14"/>
          <w:lang w:val="sq-AL"/>
        </w:rPr>
      </w:pPr>
    </w:p>
    <w:p w:rsidR="003B0056" w:rsidRPr="00E51BA5" w:rsidRDefault="003B0056" w:rsidP="003B0056">
      <w:pPr>
        <w:pStyle w:val="NeniNr"/>
        <w:keepNext w:val="0"/>
        <w:rPr>
          <w:spacing w:val="-6"/>
          <w:lang w:val="sq-AL"/>
        </w:rPr>
      </w:pPr>
      <w:r w:rsidRPr="00E51BA5">
        <w:rPr>
          <w:spacing w:val="-6"/>
          <w:lang w:val="sq-AL"/>
        </w:rPr>
        <w:t>Neni 1</w:t>
      </w:r>
    </w:p>
    <w:p w:rsidR="003B0056" w:rsidRPr="00E51BA5" w:rsidRDefault="003B0056" w:rsidP="003B0056">
      <w:pPr>
        <w:pStyle w:val="Paragrafi"/>
        <w:rPr>
          <w:spacing w:val="-6"/>
          <w:sz w:val="14"/>
          <w:lang w:val="sq-AL"/>
        </w:rPr>
      </w:pPr>
    </w:p>
    <w:p w:rsidR="003B0056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Përpara nenit 1 shtohet një nen i ri me këtë përmbajtje:</w:t>
      </w:r>
    </w:p>
    <w:p w:rsidR="003B0056" w:rsidRPr="003B0056" w:rsidRDefault="003B0056" w:rsidP="003B0056">
      <w:pPr>
        <w:pStyle w:val="Paragrafi"/>
        <w:rPr>
          <w:spacing w:val="-6"/>
          <w:sz w:val="14"/>
          <w:lang w:val="sq-AL"/>
        </w:rPr>
      </w:pPr>
    </w:p>
    <w:p w:rsidR="003B0056" w:rsidRPr="00E51BA5" w:rsidRDefault="003B0056" w:rsidP="003B0056">
      <w:pPr>
        <w:pStyle w:val="NeniNr"/>
        <w:keepNext w:val="0"/>
        <w:rPr>
          <w:spacing w:val="-6"/>
          <w:lang w:val="sq-AL"/>
        </w:rPr>
      </w:pPr>
      <w:r w:rsidRPr="00E51BA5">
        <w:rPr>
          <w:spacing w:val="-6"/>
          <w:lang w:val="sq-AL"/>
        </w:rPr>
        <w:t>“Neni 1</w:t>
      </w:r>
    </w:p>
    <w:p w:rsidR="003B0056" w:rsidRPr="00E51BA5" w:rsidRDefault="003B0056" w:rsidP="003B0056">
      <w:pPr>
        <w:pStyle w:val="NeniTitull"/>
        <w:keepNext w:val="0"/>
        <w:rPr>
          <w:spacing w:val="-6"/>
          <w:lang w:val="sq-AL"/>
        </w:rPr>
      </w:pPr>
      <w:r w:rsidRPr="00E51BA5">
        <w:rPr>
          <w:spacing w:val="-6"/>
          <w:lang w:val="sq-AL"/>
        </w:rPr>
        <w:t>Përgjegjësia e shtetit</w:t>
      </w:r>
    </w:p>
    <w:p w:rsidR="003B0056" w:rsidRPr="00E51BA5" w:rsidRDefault="003B0056" w:rsidP="003B0056">
      <w:pPr>
        <w:pStyle w:val="Paragrafi"/>
        <w:rPr>
          <w:spacing w:val="-6"/>
          <w:sz w:val="14"/>
          <w:lang w:val="sq-AL"/>
        </w:rPr>
      </w:pP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 xml:space="preserve">“Organizimi, zhvillimi dhe ndërmjetësimi i lojërave të fatit, basteve sportive dhe lotarisë është përgjegjësi e shtetit.”. </w:t>
      </w:r>
    </w:p>
    <w:p w:rsidR="003B0056" w:rsidRPr="003B0056" w:rsidRDefault="003B0056" w:rsidP="003B0056">
      <w:pPr>
        <w:pStyle w:val="Paragrafi"/>
        <w:rPr>
          <w:spacing w:val="-6"/>
          <w:sz w:val="14"/>
          <w:lang w:val="sq-AL"/>
        </w:rPr>
      </w:pPr>
    </w:p>
    <w:p w:rsidR="003B0056" w:rsidRPr="00E51BA5" w:rsidRDefault="003B0056" w:rsidP="003B0056">
      <w:pPr>
        <w:pStyle w:val="NeniNr"/>
        <w:rPr>
          <w:spacing w:val="-6"/>
          <w:lang w:val="sq-AL"/>
        </w:rPr>
      </w:pPr>
      <w:r w:rsidRPr="00E51BA5">
        <w:rPr>
          <w:spacing w:val="-6"/>
          <w:lang w:val="sq-AL"/>
        </w:rPr>
        <w:t>Neni 2</w:t>
      </w:r>
    </w:p>
    <w:p w:rsidR="003B0056" w:rsidRPr="00E51BA5" w:rsidRDefault="003B0056" w:rsidP="003B0056">
      <w:pPr>
        <w:pStyle w:val="Paragrafi"/>
        <w:rPr>
          <w:spacing w:val="-6"/>
          <w:sz w:val="18"/>
          <w:lang w:val="sq-AL"/>
        </w:rPr>
      </w:pPr>
      <w:r w:rsidRPr="00E51BA5">
        <w:rPr>
          <w:spacing w:val="-6"/>
          <w:lang w:val="sq-AL"/>
        </w:rPr>
        <w:tab/>
      </w: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>Neni 1 numërtohet neni 1/1.</w:t>
      </w:r>
    </w:p>
    <w:p w:rsidR="003B0056" w:rsidRPr="00E51BA5" w:rsidRDefault="003B0056" w:rsidP="003B0056">
      <w:pPr>
        <w:pStyle w:val="Paragrafi"/>
        <w:rPr>
          <w:spacing w:val="-6"/>
          <w:sz w:val="10"/>
          <w:lang w:val="sq-AL"/>
        </w:rPr>
      </w:pPr>
    </w:p>
    <w:p w:rsidR="003B0056" w:rsidRPr="00E51BA5" w:rsidRDefault="003B0056" w:rsidP="003B0056">
      <w:pPr>
        <w:pStyle w:val="NeniNr"/>
        <w:keepNext w:val="0"/>
        <w:rPr>
          <w:spacing w:val="-6"/>
          <w:lang w:val="sq-AL"/>
        </w:rPr>
      </w:pPr>
      <w:r w:rsidRPr="00E51BA5">
        <w:rPr>
          <w:spacing w:val="-6"/>
          <w:lang w:val="sq-AL"/>
        </w:rPr>
        <w:t>Neni 3</w:t>
      </w:r>
    </w:p>
    <w:p w:rsidR="003B0056" w:rsidRPr="00E51BA5" w:rsidRDefault="003B0056" w:rsidP="003B0056">
      <w:pPr>
        <w:pStyle w:val="Paragrafi"/>
        <w:rPr>
          <w:spacing w:val="-6"/>
          <w:sz w:val="14"/>
          <w:lang w:val="sq-AL"/>
        </w:rPr>
      </w:pP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Pas nenit 2 shtohet neni 2/1 me këtë përmbajtje:</w:t>
      </w:r>
    </w:p>
    <w:p w:rsidR="003B0056" w:rsidRPr="00E51BA5" w:rsidRDefault="003B0056" w:rsidP="003B0056">
      <w:pPr>
        <w:pStyle w:val="NeniNr"/>
        <w:keepNext w:val="0"/>
        <w:rPr>
          <w:spacing w:val="-6"/>
          <w:sz w:val="12"/>
          <w:lang w:val="sq-AL"/>
        </w:rPr>
      </w:pPr>
      <w:r w:rsidRPr="00E51BA5">
        <w:rPr>
          <w:spacing w:val="-6"/>
          <w:sz w:val="12"/>
          <w:lang w:val="sq-AL"/>
        </w:rPr>
        <w:t xml:space="preserve"> </w:t>
      </w:r>
    </w:p>
    <w:p w:rsidR="003B0056" w:rsidRPr="00E51BA5" w:rsidRDefault="003B0056" w:rsidP="003B0056">
      <w:pPr>
        <w:pStyle w:val="NeniNr"/>
        <w:keepNext w:val="0"/>
        <w:rPr>
          <w:spacing w:val="-6"/>
          <w:lang w:val="sq-AL"/>
        </w:rPr>
      </w:pPr>
      <w:r w:rsidRPr="00E51BA5">
        <w:rPr>
          <w:spacing w:val="-6"/>
          <w:lang w:val="sq-AL"/>
        </w:rPr>
        <w:t>“Neni 2/1</w:t>
      </w:r>
    </w:p>
    <w:p w:rsidR="003B0056" w:rsidRPr="00E51BA5" w:rsidRDefault="003B0056" w:rsidP="003B0056">
      <w:pPr>
        <w:pStyle w:val="NeniTitull"/>
        <w:keepNext w:val="0"/>
        <w:rPr>
          <w:spacing w:val="-6"/>
          <w:lang w:val="sq-AL"/>
        </w:rPr>
      </w:pPr>
      <w:r w:rsidRPr="00E51BA5">
        <w:rPr>
          <w:spacing w:val="-6"/>
          <w:lang w:val="sq-AL"/>
        </w:rPr>
        <w:t>Objektivat e ligjit</w:t>
      </w:r>
    </w:p>
    <w:p w:rsidR="003B0056" w:rsidRPr="00E51BA5" w:rsidRDefault="003B0056" w:rsidP="003B0056">
      <w:pPr>
        <w:pStyle w:val="Paragrafi"/>
        <w:rPr>
          <w:spacing w:val="-6"/>
          <w:sz w:val="14"/>
          <w:lang w:val="sq-AL"/>
        </w:rPr>
      </w:pP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Ky ligj ka dhe këta objektiva:</w:t>
      </w: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1. Parandalimin e varësisë ndaj lojërave të fatit, basteve dhe krijimin e kushteve të përshtatshme për një luftë efektive kundër kësaj varësie.</w:t>
      </w: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2. Kontrollin e kësaj varësie në kanale të kufizuara, mbrojtura dhe supervizuara të lojërave të fatit, për të mos lejuar zhvillimin dhe përhapjen e tyre në mënyrë të paligjshme në tregun e zi.</w:t>
      </w: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3. Kundërveprimin për të siguruar të rinjtë dhe lojtarët.</w:t>
      </w: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4. Sigurimin që lojërat e fatit të kryhen në përputhje me dispozitat e këtij ligji dhe lojtarët të jenë të mbrojtur ndaj praktikave mashtruese të cilat lidhen me krimin.</w:t>
      </w: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5. Të parandalojë kërcёnimet për integritetin e konkurrencës sportive nëpërmjet  verifikimit të veprimtarisë së fiksimit të rezultateve sportive.</w:t>
      </w: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Për të arritur këto qëllime, janë vënë në dispozicion masa të ndryshme kufizuese ndaj aktivitetit të lojërave tё fatit, varësisë, mashtrimit, manipulimit, kriminalitetit.”.</w:t>
      </w:r>
    </w:p>
    <w:p w:rsidR="003B0056" w:rsidRPr="003B0056" w:rsidRDefault="003B0056" w:rsidP="003B0056">
      <w:pPr>
        <w:pStyle w:val="Paragrafi"/>
        <w:rPr>
          <w:spacing w:val="-6"/>
          <w:sz w:val="14"/>
          <w:lang w:val="sq-AL"/>
        </w:rPr>
      </w:pPr>
    </w:p>
    <w:p w:rsidR="003B0056" w:rsidRPr="00E51BA5" w:rsidRDefault="003B0056" w:rsidP="003B0056">
      <w:pPr>
        <w:pStyle w:val="NeniNr"/>
        <w:keepNext w:val="0"/>
        <w:rPr>
          <w:spacing w:val="-6"/>
          <w:lang w:val="sq-AL"/>
        </w:rPr>
      </w:pPr>
      <w:r w:rsidRPr="00E51BA5">
        <w:rPr>
          <w:spacing w:val="-6"/>
          <w:lang w:val="sq-AL"/>
        </w:rPr>
        <w:t>Neni 4</w:t>
      </w:r>
    </w:p>
    <w:p w:rsidR="003B0056" w:rsidRPr="00E51BA5" w:rsidRDefault="003B0056" w:rsidP="003B0056">
      <w:pPr>
        <w:pStyle w:val="Paragrafi"/>
        <w:rPr>
          <w:spacing w:val="-6"/>
          <w:sz w:val="14"/>
          <w:lang w:val="sq-AL"/>
        </w:rPr>
      </w:pP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Në nenin 4, pika 13 riformulohet si më poshtё:</w:t>
      </w: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 xml:space="preserve">“13. “Hotele me 5 yje” janë hotelet, të cilat kanë marrë certifikatën e akreditimit për këtë klasifikim </w:t>
      </w:r>
      <w:r w:rsidRPr="00E51BA5">
        <w:rPr>
          <w:spacing w:val="-6"/>
          <w:lang w:val="sq-AL"/>
        </w:rPr>
        <w:lastRenderedPageBreak/>
        <w:t>nga institucionet ndërkombëtare akredituese dhe që janë mbajtëse të një marke tregtare të regjistruar, të certifikuar dhe tё njohur ndërkombëtarisht “</w:t>
      </w:r>
      <w:r w:rsidRPr="00E51BA5">
        <w:rPr>
          <w:i/>
          <w:spacing w:val="-6"/>
          <w:lang w:val="sq-AL"/>
        </w:rPr>
        <w:t>brand name</w:t>
      </w:r>
      <w:r w:rsidRPr="00E51BA5">
        <w:rPr>
          <w:spacing w:val="-6"/>
          <w:lang w:val="sq-AL"/>
        </w:rPr>
        <w:t>””.</w:t>
      </w:r>
    </w:p>
    <w:p w:rsidR="003B0056" w:rsidRPr="003B0056" w:rsidRDefault="003B0056" w:rsidP="003B0056">
      <w:pPr>
        <w:pStyle w:val="NeniNr"/>
        <w:keepNext w:val="0"/>
        <w:rPr>
          <w:spacing w:val="-6"/>
          <w:sz w:val="14"/>
          <w:lang w:val="sq-AL"/>
        </w:rPr>
      </w:pPr>
    </w:p>
    <w:p w:rsidR="003B0056" w:rsidRPr="00E51BA5" w:rsidRDefault="003B0056" w:rsidP="003B0056">
      <w:pPr>
        <w:pStyle w:val="NeniNr"/>
        <w:keepNext w:val="0"/>
        <w:rPr>
          <w:spacing w:val="-6"/>
          <w:lang w:val="sq-AL"/>
        </w:rPr>
      </w:pPr>
      <w:r w:rsidRPr="00E51BA5">
        <w:rPr>
          <w:spacing w:val="-6"/>
          <w:lang w:val="sq-AL"/>
        </w:rPr>
        <w:t>Neni 5</w:t>
      </w: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Në nenin 9, pikat 6 dhe 7 ndryshohen si më poshtё:</w:t>
      </w: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“6. Ndalohen reklamat audiovizive për bastet sportive gjatë transmetimit të aktiviteteve sportive kombëtare dhe ndërkombëtare.</w:t>
      </w: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7. Ndalohet publiciteti në mediat e shkruara, në shtypin sportiv dhe në faqet sportive të mediave të tjera. Buletinet informative të organizatorëve nuk përbëjnë publicitet.”.</w:t>
      </w:r>
    </w:p>
    <w:p w:rsidR="003B0056" w:rsidRPr="003B0056" w:rsidRDefault="003B0056" w:rsidP="003B0056">
      <w:pPr>
        <w:pStyle w:val="Paragrafi"/>
        <w:rPr>
          <w:spacing w:val="-6"/>
          <w:sz w:val="14"/>
          <w:lang w:val="sq-AL"/>
        </w:rPr>
      </w:pPr>
    </w:p>
    <w:p w:rsidR="003B0056" w:rsidRPr="00E51BA5" w:rsidRDefault="003B0056" w:rsidP="003B0056">
      <w:pPr>
        <w:pStyle w:val="NeniNr"/>
        <w:keepNext w:val="0"/>
        <w:rPr>
          <w:spacing w:val="-6"/>
          <w:lang w:val="sq-AL"/>
        </w:rPr>
      </w:pPr>
      <w:r w:rsidRPr="00E51BA5">
        <w:rPr>
          <w:spacing w:val="-6"/>
          <w:lang w:val="sq-AL"/>
        </w:rPr>
        <w:t>Neni 6</w:t>
      </w:r>
    </w:p>
    <w:p w:rsidR="003B0056" w:rsidRPr="00E51BA5" w:rsidRDefault="003B0056" w:rsidP="003B0056">
      <w:pPr>
        <w:pStyle w:val="Paragrafi"/>
        <w:rPr>
          <w:spacing w:val="-6"/>
          <w:sz w:val="6"/>
          <w:lang w:val="sq-AL"/>
        </w:rPr>
      </w:pP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Në nenin 57 bëhet shtesa dhe ndryshimi si më poshtë:</w:t>
      </w:r>
    </w:p>
    <w:p w:rsidR="003B0056" w:rsidRPr="00E51BA5" w:rsidRDefault="003B0056" w:rsidP="003B0056">
      <w:pPr>
        <w:pStyle w:val="Paragrafi"/>
        <w:rPr>
          <w:rFonts w:eastAsiaTheme="minorHAnsi"/>
          <w:spacing w:val="-6"/>
          <w:lang w:val="sq-AL"/>
        </w:rPr>
      </w:pPr>
      <w:r w:rsidRPr="00E51BA5">
        <w:rPr>
          <w:rFonts w:eastAsiaTheme="minorHAnsi"/>
          <w:spacing w:val="-6"/>
          <w:lang w:val="sq-AL"/>
        </w:rPr>
        <w:tab/>
        <w:t>1. Titulli i nenit bëhet “Bashkëpunimi me strukturat e tjera shtetërore”.</w:t>
      </w:r>
    </w:p>
    <w:p w:rsidR="003B0056" w:rsidRPr="00E51BA5" w:rsidRDefault="003B0056" w:rsidP="003B0056">
      <w:pPr>
        <w:pStyle w:val="Paragrafi"/>
        <w:rPr>
          <w:rFonts w:eastAsiaTheme="minorHAnsi"/>
          <w:spacing w:val="-6"/>
          <w:lang w:val="sq-AL"/>
        </w:rPr>
      </w:pPr>
      <w:r w:rsidRPr="00E51BA5">
        <w:rPr>
          <w:rFonts w:eastAsiaTheme="minorHAnsi"/>
          <w:spacing w:val="-6"/>
          <w:lang w:val="sq-AL"/>
        </w:rPr>
        <w:tab/>
        <w:t>2. Pas pikës 5 shtohet pika 6 me këtë përmbajtje:</w:t>
      </w:r>
    </w:p>
    <w:p w:rsidR="003B0056" w:rsidRPr="00E51BA5" w:rsidRDefault="003B0056" w:rsidP="003B0056">
      <w:pPr>
        <w:pStyle w:val="Paragrafi"/>
        <w:rPr>
          <w:rFonts w:eastAsiaTheme="minorHAnsi"/>
          <w:spacing w:val="-6"/>
          <w:lang w:val="sq-AL"/>
        </w:rPr>
      </w:pPr>
      <w:r w:rsidRPr="00E51BA5">
        <w:rPr>
          <w:rFonts w:eastAsiaTheme="minorHAnsi"/>
          <w:spacing w:val="-6"/>
          <w:lang w:val="sq-AL"/>
        </w:rPr>
        <w:tab/>
        <w:t>“6. Në rastet e konstatimit të shkeljeve, sipas dispozitave ndaluese të këtij ligji, me kërkesë të ministrisë përgjegjëse për financat, institucionet shtetërore përkatëse marrin masat e nevojshme për zbatimin e dispozitave të tij.”.</w:t>
      </w:r>
    </w:p>
    <w:p w:rsidR="003B0056" w:rsidRPr="003B0056" w:rsidRDefault="003B0056" w:rsidP="003B0056">
      <w:pPr>
        <w:pStyle w:val="Paragrafi"/>
        <w:rPr>
          <w:spacing w:val="-6"/>
          <w:sz w:val="14"/>
          <w:lang w:val="sq-AL"/>
        </w:rPr>
      </w:pPr>
    </w:p>
    <w:p w:rsidR="003B0056" w:rsidRPr="00E51BA5" w:rsidRDefault="003B0056" w:rsidP="003B0056">
      <w:pPr>
        <w:pStyle w:val="NeniNr"/>
        <w:keepNext w:val="0"/>
        <w:rPr>
          <w:spacing w:val="-6"/>
          <w:lang w:val="sq-AL"/>
        </w:rPr>
      </w:pPr>
      <w:r w:rsidRPr="00E51BA5">
        <w:rPr>
          <w:spacing w:val="-6"/>
          <w:lang w:val="sq-AL"/>
        </w:rPr>
        <w:t>Neni 7</w:t>
      </w:r>
    </w:p>
    <w:p w:rsidR="003B0056" w:rsidRPr="00E51BA5" w:rsidRDefault="003B0056" w:rsidP="003B0056">
      <w:pPr>
        <w:pStyle w:val="Paragrafi"/>
        <w:rPr>
          <w:spacing w:val="-6"/>
          <w:sz w:val="6"/>
          <w:lang w:val="sq-AL"/>
        </w:rPr>
      </w:pP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Në nenin 71 bëhen shtesat dhe ndryshimet si më poshtë:</w:t>
      </w: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1. Pas pikës 2 shtohen pikat 2/1 dhe 2/2 me këtë përmbajtje:</w:t>
      </w: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“2/1. Organizatorët e kategorive “baste sportive”, “baste për garat në pistë” dhe “lojërat elektronike në distancë” nga shoqëri vendase apo të huaja do të ushtrojnë aktivitetin e tyre deri në datën 31 dhjetor 2018.</w:t>
      </w: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Ndalohen të gjitha aplikimet për pajisjen me licencë për kategoritë e sipërcituara. Të gjitha aplikimet në proces shqyrtimi, ndërpriten.</w:t>
      </w: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2/2. Pas datës 31 dhjetor 2018, asnjë shoqëri nuk mund të vendosë apo të ofrojë lojëra fati, sipas konceptit/funksionimit të VLT-së, përveç kategorive “kazino” dhe “resort kazino””.</w:t>
      </w:r>
    </w:p>
    <w:p w:rsidR="003B0056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2. Në pikën 3, fjalёt “të kategorive” zëvendësohen me fjalёt “të kategorisë”, ndërsa fjalёt “basteve sportive” dhe “baste për garat në pistë” hiqen.</w:t>
      </w:r>
    </w:p>
    <w:p w:rsidR="003B0056" w:rsidRPr="003B0056" w:rsidRDefault="003B0056" w:rsidP="003B0056">
      <w:pPr>
        <w:pStyle w:val="Paragrafi"/>
        <w:rPr>
          <w:spacing w:val="-6"/>
          <w:sz w:val="14"/>
          <w:lang w:val="sq-AL"/>
        </w:rPr>
      </w:pPr>
    </w:p>
    <w:p w:rsidR="003B0056" w:rsidRPr="00E51BA5" w:rsidRDefault="003B0056" w:rsidP="003B0056">
      <w:pPr>
        <w:pStyle w:val="NeniNr"/>
        <w:keepNext w:val="0"/>
        <w:rPr>
          <w:spacing w:val="-6"/>
          <w:lang w:val="sq-AL"/>
        </w:rPr>
      </w:pPr>
      <w:r w:rsidRPr="00E51BA5">
        <w:rPr>
          <w:spacing w:val="-6"/>
          <w:lang w:val="sq-AL"/>
        </w:rPr>
        <w:t>Neni 8</w:t>
      </w:r>
    </w:p>
    <w:p w:rsidR="003B0056" w:rsidRPr="00E51BA5" w:rsidRDefault="003B0056" w:rsidP="003B0056">
      <w:pPr>
        <w:pStyle w:val="Paragrafi"/>
        <w:rPr>
          <w:spacing w:val="-6"/>
          <w:sz w:val="8"/>
          <w:lang w:val="sq-AL"/>
        </w:rPr>
      </w:pP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ab/>
        <w:t>Ky ligj hyn në fuqi 15 ditë  pas botimit në Fletoren Zyrtare.</w:t>
      </w:r>
    </w:p>
    <w:p w:rsidR="003B0056" w:rsidRPr="00E51BA5" w:rsidRDefault="003B0056" w:rsidP="003B0056">
      <w:pPr>
        <w:pStyle w:val="Paragrafi"/>
        <w:rPr>
          <w:spacing w:val="-6"/>
          <w:sz w:val="8"/>
          <w:lang w:val="sq-AL"/>
        </w:rPr>
      </w:pPr>
    </w:p>
    <w:p w:rsidR="003B0056" w:rsidRPr="00E51BA5" w:rsidRDefault="003B0056" w:rsidP="003B0056">
      <w:pPr>
        <w:pStyle w:val="Paragrafi"/>
        <w:rPr>
          <w:spacing w:val="-6"/>
          <w:lang w:val="sq-AL"/>
        </w:rPr>
      </w:pPr>
      <w:r w:rsidRPr="00E51BA5">
        <w:rPr>
          <w:spacing w:val="-6"/>
          <w:lang w:val="sq-AL"/>
        </w:rPr>
        <w:t>Miratuar nё datёn 25.10.2018</w:t>
      </w:r>
    </w:p>
    <w:p w:rsidR="003B0056" w:rsidRPr="00E51BA5" w:rsidRDefault="003B0056" w:rsidP="003B0056">
      <w:pPr>
        <w:widowControl w:val="0"/>
        <w:tabs>
          <w:tab w:val="num" w:pos="1080"/>
        </w:tabs>
        <w:spacing w:after="0" w:line="240" w:lineRule="auto"/>
        <w:ind w:firstLine="0"/>
        <w:rPr>
          <w:rFonts w:ascii="Garamond" w:hAnsi="Garamond"/>
          <w:b/>
          <w:spacing w:val="-4"/>
          <w:sz w:val="8"/>
          <w:szCs w:val="24"/>
          <w:lang w:val="sq-AL"/>
        </w:rPr>
      </w:pPr>
    </w:p>
    <w:p w:rsidR="003B0056" w:rsidRPr="00E51BA5" w:rsidRDefault="003B0056" w:rsidP="003B0056">
      <w:pPr>
        <w:widowControl w:val="0"/>
        <w:tabs>
          <w:tab w:val="num" w:pos="1080"/>
        </w:tabs>
        <w:spacing w:after="0" w:line="240" w:lineRule="auto"/>
        <w:ind w:firstLine="0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E51BA5">
        <w:rPr>
          <w:rFonts w:ascii="Garamond" w:hAnsi="Garamond"/>
          <w:b/>
          <w:spacing w:val="-4"/>
          <w:sz w:val="24"/>
          <w:szCs w:val="24"/>
          <w:lang w:val="sq-AL"/>
        </w:rPr>
        <w:t>Shpallur me dekretin nr. 10945, datë 9.11.2018, të  Presidentit  të  Republikës së  Shqipërisë, Ilir Meta</w:t>
      </w:r>
    </w:p>
    <w:p w:rsidR="00BE1161" w:rsidRDefault="00BE1161"/>
    <w:sectPr w:rsidR="00BE11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056"/>
    <w:rsid w:val="003B0056"/>
    <w:rsid w:val="00BE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33CAC5-7FC8-4CB0-903F-6FB75C9F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056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B005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B0056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B005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B005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B0056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2018-11-16T11:41:00Z</dcterms:created>
  <dcterms:modified xsi:type="dcterms:W3CDTF">2018-11-16T11:42:00Z</dcterms:modified>
</cp:coreProperties>
</file>