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96C" w:rsidRDefault="0073096C" w:rsidP="0073096C">
      <w:pPr>
        <w:pStyle w:val="NeniTitull"/>
      </w:pPr>
      <w:r>
        <w:t>LIGJ</w:t>
      </w:r>
    </w:p>
    <w:p w:rsidR="0073096C" w:rsidRDefault="0073096C" w:rsidP="0073096C">
      <w:pPr>
        <w:pStyle w:val="NeniTitull"/>
      </w:pPr>
      <w:r>
        <w:t>Nr. 94/2018</w:t>
      </w:r>
    </w:p>
    <w:p w:rsidR="0073096C" w:rsidRDefault="0073096C" w:rsidP="0073096C">
      <w:pPr>
        <w:pStyle w:val="NeniTitull"/>
        <w:rPr>
          <w:sz w:val="14"/>
        </w:rPr>
      </w:pPr>
    </w:p>
    <w:p w:rsidR="0073096C" w:rsidRDefault="0073096C" w:rsidP="0073096C">
      <w:pPr>
        <w:pStyle w:val="NeniTitull"/>
      </w:pPr>
      <w:r>
        <w:t>PËR DISA NDRYSHIME DHE SHTESA NË LIGJIN NR. 8438, DATË 28.12.1998, “PËR TATIMIN MBI TË ARDHURAT”, TË NDRYSHUAR</w:t>
      </w:r>
    </w:p>
    <w:p w:rsidR="0073096C" w:rsidRDefault="0073096C" w:rsidP="0073096C">
      <w:pPr>
        <w:pStyle w:val="Paragrafi"/>
        <w:rPr>
          <w:rFonts w:cs="Times New Roman"/>
          <w:sz w:val="14"/>
          <w:lang w:val="sq-AL"/>
        </w:rPr>
      </w:pPr>
    </w:p>
    <w:p w:rsidR="0073096C" w:rsidRDefault="0073096C" w:rsidP="0073096C">
      <w:pPr>
        <w:pStyle w:val="Paragrafi"/>
        <w:rPr>
          <w:rFonts w:cs="Times New Roman"/>
          <w:lang w:val="sq-AL"/>
        </w:rPr>
      </w:pPr>
      <w:r>
        <w:rPr>
          <w:rFonts w:cs="Times New Roman"/>
          <w:lang w:val="sq-AL"/>
        </w:rPr>
        <w:tab/>
        <w:t xml:space="preserve">Në mbështetje të neneve 78, 83, pika 1, dhe 155 të Kushtetutës, me propozimin e Këshillit të Ministrave, </w:t>
      </w:r>
    </w:p>
    <w:p w:rsidR="0073096C" w:rsidRDefault="0073096C" w:rsidP="0073096C">
      <w:pPr>
        <w:pStyle w:val="Paragrafi"/>
        <w:rPr>
          <w:rFonts w:cs="Times New Roman"/>
          <w:sz w:val="14"/>
          <w:lang w:val="sq-AL"/>
        </w:rPr>
      </w:pPr>
    </w:p>
    <w:p w:rsidR="0073096C" w:rsidRDefault="0073096C" w:rsidP="0073096C">
      <w:pPr>
        <w:pStyle w:val="NeniNr"/>
      </w:pPr>
      <w:r>
        <w:t>KUVENDI</w:t>
      </w:r>
    </w:p>
    <w:p w:rsidR="0073096C" w:rsidRDefault="0073096C" w:rsidP="0073096C">
      <w:pPr>
        <w:pStyle w:val="NeniNr"/>
      </w:pPr>
      <w:r>
        <w:t>I REPUBLIKËS SË SHQIPËRISË</w:t>
      </w:r>
    </w:p>
    <w:p w:rsidR="0073096C" w:rsidRDefault="0073096C" w:rsidP="0073096C">
      <w:pPr>
        <w:pStyle w:val="NeniNr"/>
        <w:rPr>
          <w:sz w:val="14"/>
        </w:rPr>
      </w:pPr>
    </w:p>
    <w:p w:rsidR="0073096C" w:rsidRDefault="0073096C" w:rsidP="0073096C">
      <w:pPr>
        <w:pStyle w:val="NeniNr"/>
      </w:pPr>
      <w:r>
        <w:t xml:space="preserve">VENDOSI: </w:t>
      </w:r>
    </w:p>
    <w:p w:rsidR="0073096C" w:rsidRDefault="0073096C" w:rsidP="0073096C">
      <w:pPr>
        <w:pStyle w:val="Paragrafi"/>
        <w:rPr>
          <w:rFonts w:cs="Times New Roman"/>
          <w:sz w:val="14"/>
          <w:lang w:val="sq-AL"/>
        </w:rPr>
      </w:pPr>
    </w:p>
    <w:p w:rsidR="0073096C" w:rsidRDefault="0073096C" w:rsidP="0073096C">
      <w:pPr>
        <w:pStyle w:val="Paragrafi"/>
        <w:rPr>
          <w:rFonts w:cs="Times New Roman"/>
          <w:lang w:val="sq-AL"/>
        </w:rPr>
      </w:pPr>
      <w:r>
        <w:rPr>
          <w:rFonts w:cs="Times New Roman"/>
          <w:lang w:val="sq-AL"/>
        </w:rPr>
        <w:tab/>
        <w:t>Në ligjin nr. 8438, datë 28.12.1998, “Për tatimin mbi të ardhurat”, të ndryshuar, bëhen këto ndryshime dhe shtesa:</w:t>
      </w:r>
    </w:p>
    <w:p w:rsidR="0073096C" w:rsidRDefault="0073096C" w:rsidP="0073096C">
      <w:pPr>
        <w:pStyle w:val="Paragrafi"/>
        <w:rPr>
          <w:rFonts w:cs="Times New Roman"/>
          <w:sz w:val="14"/>
          <w:lang w:val="sq-AL"/>
        </w:rPr>
      </w:pPr>
    </w:p>
    <w:p w:rsidR="0073096C" w:rsidRDefault="0073096C" w:rsidP="0073096C">
      <w:pPr>
        <w:pStyle w:val="NeniNr"/>
      </w:pPr>
      <w:proofErr w:type="spellStart"/>
      <w:r>
        <w:t>Neni</w:t>
      </w:r>
      <w:proofErr w:type="spellEnd"/>
      <w:r>
        <w:t xml:space="preserve"> 1</w:t>
      </w:r>
    </w:p>
    <w:p w:rsidR="0073096C" w:rsidRDefault="0073096C" w:rsidP="0073096C">
      <w:pPr>
        <w:pStyle w:val="Paragrafi"/>
        <w:rPr>
          <w:rFonts w:cs="Times New Roman"/>
          <w:sz w:val="14"/>
          <w:lang w:val="sq-AL"/>
        </w:rPr>
      </w:pPr>
    </w:p>
    <w:p w:rsidR="0073096C" w:rsidRDefault="0073096C" w:rsidP="0073096C">
      <w:pPr>
        <w:pStyle w:val="Paragrafi"/>
        <w:rPr>
          <w:rFonts w:cs="Times New Roman"/>
          <w:lang w:val="sq-AL"/>
        </w:rPr>
      </w:pPr>
      <w:r>
        <w:rPr>
          <w:rFonts w:cs="Times New Roman"/>
          <w:lang w:val="sq-AL"/>
        </w:rPr>
        <w:tab/>
        <w:t>Në nenin 4, “Burimi i të ardhurave”, bëhen ndryshimet e mëposhtme:</w:t>
      </w:r>
    </w:p>
    <w:p w:rsidR="0073096C" w:rsidRDefault="0073096C" w:rsidP="0073096C">
      <w:pPr>
        <w:pStyle w:val="Paragrafi"/>
        <w:rPr>
          <w:rFonts w:cs="Times New Roman"/>
          <w:lang w:val="sq-AL"/>
        </w:rPr>
      </w:pPr>
      <w:r>
        <w:rPr>
          <w:rFonts w:cs="Times New Roman"/>
          <w:lang w:val="sq-AL"/>
        </w:rPr>
        <w:tab/>
        <w:t>1. Shkronja “dh” ndryshohet si më poshtë:</w:t>
      </w:r>
    </w:p>
    <w:p w:rsidR="0073096C" w:rsidRDefault="0073096C" w:rsidP="0073096C">
      <w:pPr>
        <w:pStyle w:val="Paragrafi"/>
        <w:rPr>
          <w:rFonts w:cs="Times New Roman"/>
          <w:lang w:val="sq-AL"/>
        </w:rPr>
      </w:pPr>
      <w:r>
        <w:rPr>
          <w:rFonts w:cs="Times New Roman"/>
          <w:lang w:val="sq-AL"/>
        </w:rPr>
        <w:tab/>
        <w:t>“dh) të ardhurat nga:</w:t>
      </w:r>
    </w:p>
    <w:p w:rsidR="0073096C" w:rsidRDefault="0073096C" w:rsidP="0073096C">
      <w:pPr>
        <w:pStyle w:val="Paragrafi"/>
        <w:rPr>
          <w:lang w:val="sq-AL"/>
        </w:rPr>
      </w:pPr>
      <w:r>
        <w:rPr>
          <w:lang w:val="sq-AL"/>
        </w:rPr>
        <w:tab/>
        <w:t>i) pasuria e paluajtshme, aksesorët dhe frytet e tyre, si dhe të ardhurat që rrjedhin nga të drejtat mbi pasuritë e paluajtshme që ndodhen në Republikën e Shqipërisë;</w:t>
      </w:r>
    </w:p>
    <w:p w:rsidR="0073096C" w:rsidRDefault="0073096C" w:rsidP="0073096C">
      <w:pPr>
        <w:pStyle w:val="Paragrafi"/>
        <w:rPr>
          <w:lang w:val="sq-AL"/>
        </w:rPr>
      </w:pPr>
      <w:r>
        <w:rPr>
          <w:lang w:val="sq-AL"/>
        </w:rPr>
        <w:tab/>
        <w:t xml:space="preserve">ii) </w:t>
      </w:r>
      <w:r>
        <w:rPr>
          <w:lang w:val="sq-AL"/>
        </w:rPr>
        <w:t>të drejtat për shfrytëzimin e pasurive minerale, të drejtat për shfrytëzimin e pasurive hidrokarbure ose të drejta të tjera për shfrytëzimin e burimeve natyrore tokësore dhe ujore, përfshirë detin në Republikën e Shqipërisë, si dhe informacionit që u përket këtyre të drejtave;</w:t>
      </w:r>
    </w:p>
    <w:p w:rsidR="0073096C" w:rsidRDefault="0073096C" w:rsidP="0073096C">
      <w:pPr>
        <w:pStyle w:val="Paragrafi"/>
        <w:rPr>
          <w:lang w:val="sq-AL"/>
        </w:rPr>
      </w:pPr>
      <w:r>
        <w:rPr>
          <w:lang w:val="sq-AL"/>
        </w:rPr>
        <w:tab/>
        <w:t>Të drejtat dhe informacioni i përmendur në nënndarjet “i” dhe “ii”, më sipër, për qëllime të këtij ligji, trajtohen si pasuri e paluajtshme.”.</w:t>
      </w:r>
    </w:p>
    <w:p w:rsidR="0073096C" w:rsidRDefault="0073096C" w:rsidP="0073096C">
      <w:pPr>
        <w:pStyle w:val="Paragrafi"/>
        <w:rPr>
          <w:rFonts w:cs="Times New Roman"/>
          <w:lang w:val="sq-AL"/>
        </w:rPr>
      </w:pPr>
      <w:r>
        <w:rPr>
          <w:rFonts w:cs="Times New Roman"/>
          <w:lang w:val="sq-AL"/>
        </w:rPr>
        <w:tab/>
        <w:t>2. Shkronja “e” ndryshohet si më poshtë:</w:t>
      </w:r>
    </w:p>
    <w:p w:rsidR="0073096C" w:rsidRDefault="0073096C" w:rsidP="0073096C">
      <w:pPr>
        <w:pStyle w:val="Paragrafi"/>
        <w:rPr>
          <w:lang w:val="sq-AL"/>
        </w:rPr>
      </w:pPr>
      <w:r>
        <w:rPr>
          <w:lang w:val="sq-AL"/>
        </w:rPr>
        <w:tab/>
        <w:t>“e) të ardhurat nga tjetërsimi i:</w:t>
      </w:r>
    </w:p>
    <w:p w:rsidR="0073096C" w:rsidRDefault="0073096C" w:rsidP="0073096C">
      <w:pPr>
        <w:pStyle w:val="Paragrafi"/>
        <w:rPr>
          <w:lang w:val="sq-AL"/>
        </w:rPr>
      </w:pPr>
      <w:r>
        <w:rPr>
          <w:lang w:val="sq-AL"/>
        </w:rPr>
        <w:tab/>
        <w:t xml:space="preserve">i)  pasurisë, të drejtave dhe informacionit të përmendur në shkronjën “dh” të këtij neni; </w:t>
      </w:r>
    </w:p>
    <w:p w:rsidR="0073096C" w:rsidRDefault="0073096C" w:rsidP="0073096C">
      <w:pPr>
        <w:pStyle w:val="Paragrafi"/>
        <w:rPr>
          <w:i/>
          <w:lang w:val="sq-AL"/>
        </w:rPr>
      </w:pPr>
      <w:r>
        <w:rPr>
          <w:lang w:val="sq-AL"/>
        </w:rPr>
        <w:tab/>
        <w:t>ii) aksioneve ose interesave të ngjashёm, të tillё si interesat në ortakëri ose truste, sipas përkufizimeve në legjislacionet përkatëse, kudo që ndodhen, në qoftë se, në çdo kohë gjatë 365 ditëve para tjetërsimit, këtyre aksioneve ose interesave të ngjashёm u buron më shumë se 50 për qind e vlerës direkt ose indirekt nga pasuria e paluajtshme, të drejtat ose informacioni, të përmendura në shkronjën “dh” të këtij neni.”.</w:t>
      </w:r>
      <w:r>
        <w:rPr>
          <w:i/>
          <w:lang w:val="sq-AL"/>
        </w:rPr>
        <w:t xml:space="preserve"> </w:t>
      </w:r>
    </w:p>
    <w:p w:rsidR="0073096C" w:rsidRDefault="0073096C" w:rsidP="0073096C">
      <w:pPr>
        <w:pStyle w:val="Paragrafi"/>
        <w:rPr>
          <w:rFonts w:cs="Times New Roman"/>
          <w:lang w:val="sq-AL"/>
        </w:rPr>
      </w:pPr>
      <w:r>
        <w:rPr>
          <w:rFonts w:cs="Times New Roman"/>
          <w:lang w:val="sq-AL"/>
        </w:rPr>
        <w:tab/>
        <w:t>3. Shkronja “h” ndryshohet si më poshtë:</w:t>
      </w:r>
    </w:p>
    <w:p w:rsidR="0073096C" w:rsidRDefault="0073096C" w:rsidP="0073096C">
      <w:pPr>
        <w:pStyle w:val="Paragrafi"/>
        <w:rPr>
          <w:rFonts w:cs="Times New Roman"/>
          <w:lang w:val="sq-AL"/>
        </w:rPr>
      </w:pPr>
      <w:r>
        <w:rPr>
          <w:rFonts w:cs="Times New Roman"/>
          <w:lang w:val="sq-AL"/>
        </w:rPr>
        <w:tab/>
        <w:t>“h) të ardhurat e një personi joresident, të përftuara si rezultat i shërbimeve të kryera për një person resident.”.</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2</w:t>
      </w:r>
    </w:p>
    <w:p w:rsidR="0073096C" w:rsidRDefault="0073096C" w:rsidP="0073096C">
      <w:pPr>
        <w:pStyle w:val="Hapesira7"/>
        <w:rPr>
          <w:lang w:val="sq-AL"/>
        </w:rPr>
      </w:pPr>
    </w:p>
    <w:p w:rsidR="0073096C" w:rsidRDefault="0073096C" w:rsidP="0073096C">
      <w:pPr>
        <w:pStyle w:val="Paragrafi"/>
        <w:rPr>
          <w:rFonts w:cs="Times New Roman"/>
          <w:lang w:val="sq-AL"/>
        </w:rPr>
      </w:pPr>
      <w:r>
        <w:rPr>
          <w:rFonts w:cs="Times New Roman"/>
          <w:lang w:val="sq-AL"/>
        </w:rPr>
        <w:tab/>
        <w:t>Në nenin 9, “</w:t>
      </w:r>
      <w:r>
        <w:rPr>
          <w:rFonts w:cs="Times New Roman"/>
          <w:bCs/>
          <w:lang w:val="sq-AL"/>
        </w:rPr>
        <w:t xml:space="preserve">Tarifat tatimore”, </w:t>
      </w:r>
      <w:r>
        <w:rPr>
          <w:rFonts w:cs="Times New Roman"/>
          <w:lang w:val="sq-AL"/>
        </w:rPr>
        <w:t>bëhen ndryshimet si më poshtë:</w:t>
      </w:r>
    </w:p>
    <w:p w:rsidR="0073096C" w:rsidRDefault="0073096C" w:rsidP="0073096C">
      <w:pPr>
        <w:pStyle w:val="Paragrafi"/>
        <w:rPr>
          <w:rFonts w:eastAsia="Calibri"/>
          <w:color w:val="000000"/>
          <w:lang w:val="sq-AL"/>
        </w:rPr>
      </w:pPr>
      <w:r>
        <w:rPr>
          <w:rFonts w:eastAsia="Calibri"/>
          <w:color w:val="000000"/>
          <w:lang w:val="sq-AL"/>
        </w:rPr>
        <w:tab/>
        <w:t>1.</w:t>
      </w:r>
      <w:r>
        <w:rPr>
          <w:rFonts w:eastAsia="Calibri"/>
          <w:i/>
          <w:color w:val="000000"/>
          <w:lang w:val="sq-AL"/>
        </w:rPr>
        <w:t xml:space="preserve"> </w:t>
      </w:r>
      <w:r>
        <w:rPr>
          <w:rFonts w:eastAsia="Calibri"/>
          <w:color w:val="000000"/>
          <w:lang w:val="sq-AL"/>
        </w:rPr>
        <w:t>Në pikën 2, fjalët “Dividendët, të ardhurat që rrjedhin si fitim i ortakut, qoftë ky ortak i vetëm” hiqen.</w:t>
      </w:r>
    </w:p>
    <w:p w:rsidR="0073096C" w:rsidRDefault="0073096C" w:rsidP="0073096C">
      <w:pPr>
        <w:pStyle w:val="Paragrafi"/>
        <w:rPr>
          <w:rFonts w:eastAsia="Calibri"/>
          <w:color w:val="000000"/>
          <w:lang w:val="sq-AL"/>
        </w:rPr>
      </w:pPr>
      <w:r>
        <w:rPr>
          <w:rFonts w:eastAsia="Calibri"/>
          <w:color w:val="000000"/>
          <w:lang w:val="sq-AL"/>
        </w:rPr>
        <w:tab/>
        <w:t xml:space="preserve">2. </w:t>
      </w:r>
      <w:r>
        <w:rPr>
          <w:rFonts w:eastAsia="Calibri"/>
          <w:color w:val="000000"/>
          <w:lang w:val="sq-AL"/>
        </w:rPr>
        <w:t>Pas pikës 2 shtohet pika 3 me këtë përmbajtje:</w:t>
      </w:r>
    </w:p>
    <w:p w:rsidR="0073096C" w:rsidRDefault="0073096C" w:rsidP="0073096C">
      <w:pPr>
        <w:pStyle w:val="Paragrafi"/>
        <w:rPr>
          <w:rFonts w:eastAsia="Calibri"/>
          <w:color w:val="000000"/>
          <w:lang w:val="sq-AL"/>
        </w:rPr>
      </w:pPr>
      <w:r>
        <w:rPr>
          <w:rFonts w:eastAsia="Calibri"/>
          <w:color w:val="000000"/>
          <w:lang w:val="sq-AL"/>
        </w:rPr>
        <w:tab/>
        <w:t>“3. Dividendët, të ardhurat që rrjedhin si fitim i ortakut, qoftë ky ortak i vetëm, tatohen me 8 për qind.”.</w:t>
      </w:r>
    </w:p>
    <w:p w:rsidR="0073096C" w:rsidRDefault="0073096C" w:rsidP="0073096C">
      <w:pPr>
        <w:pStyle w:val="Hapesira7"/>
        <w:rPr>
          <w:lang w:val="sq-AL"/>
        </w:rPr>
      </w:pPr>
    </w:p>
    <w:p w:rsidR="0073096C" w:rsidRDefault="0073096C" w:rsidP="0073096C">
      <w:pPr>
        <w:pStyle w:val="Hapesira7"/>
        <w:rPr>
          <w:lang w:val="sq-AL"/>
        </w:rPr>
      </w:pPr>
    </w:p>
    <w:p w:rsidR="0073096C" w:rsidRDefault="0073096C" w:rsidP="0073096C">
      <w:pPr>
        <w:pStyle w:val="Hapesira7"/>
        <w:rPr>
          <w:lang w:val="sq-AL"/>
        </w:rPr>
      </w:pPr>
    </w:p>
    <w:p w:rsidR="0073096C" w:rsidRDefault="0073096C" w:rsidP="0073096C">
      <w:pPr>
        <w:pStyle w:val="NeniNr"/>
      </w:pPr>
      <w:proofErr w:type="spellStart"/>
      <w:r>
        <w:lastRenderedPageBreak/>
        <w:t>Neni</w:t>
      </w:r>
      <w:proofErr w:type="spellEnd"/>
      <w:r>
        <w:t xml:space="preserve"> 3</w:t>
      </w:r>
    </w:p>
    <w:p w:rsidR="0073096C" w:rsidRDefault="0073096C" w:rsidP="0073096C">
      <w:pPr>
        <w:pStyle w:val="Hapesira7"/>
        <w:rPr>
          <w:lang w:val="sq-AL"/>
        </w:rPr>
      </w:pPr>
    </w:p>
    <w:p w:rsidR="0073096C" w:rsidRDefault="0073096C" w:rsidP="0073096C">
      <w:pPr>
        <w:pStyle w:val="Paragrafi"/>
        <w:rPr>
          <w:lang w:val="sq-AL"/>
        </w:rPr>
      </w:pPr>
      <w:r>
        <w:rPr>
          <w:lang w:val="sq-AL"/>
        </w:rPr>
        <w:tab/>
        <w:t>Në nenin 16, pika 1, shtohet shkronja “ç” me këtë përmbajtje:</w:t>
      </w:r>
    </w:p>
    <w:p w:rsidR="0073096C" w:rsidRDefault="0073096C" w:rsidP="0073096C">
      <w:pPr>
        <w:pStyle w:val="Paragrafi"/>
        <w:rPr>
          <w:lang w:val="sq-AL"/>
        </w:rPr>
      </w:pPr>
      <w:r>
        <w:rPr>
          <w:lang w:val="sq-AL"/>
        </w:rPr>
        <w:tab/>
        <w:t>“ç) çdo person joresident që nuk parashikohet nga shkronjat “a”, “b” ose “c”, të kësaj pike, dhe që nuk i nënshtrohet tatimit mbi të ardhurat.”.</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4</w:t>
      </w:r>
    </w:p>
    <w:p w:rsidR="0073096C" w:rsidRDefault="0073096C" w:rsidP="0073096C">
      <w:pPr>
        <w:pStyle w:val="Hapesira7"/>
        <w:rPr>
          <w:lang w:val="sq-AL"/>
        </w:rPr>
      </w:pPr>
    </w:p>
    <w:p w:rsidR="0073096C" w:rsidRDefault="0073096C" w:rsidP="0073096C">
      <w:pPr>
        <w:pStyle w:val="Paragrafi"/>
        <w:rPr>
          <w:rFonts w:cs="Times New Roman"/>
          <w:lang w:val="sq-AL"/>
        </w:rPr>
      </w:pPr>
      <w:r>
        <w:rPr>
          <w:rFonts w:cs="Times New Roman"/>
          <w:lang w:val="sq-AL"/>
        </w:rPr>
        <w:tab/>
        <w:t>Në nenin 21, “Shpenzime të panjohura”, shtohet shkronja “o” me këtë përmbajtje:</w:t>
      </w:r>
    </w:p>
    <w:p w:rsidR="0073096C" w:rsidRDefault="0073096C" w:rsidP="0073096C">
      <w:pPr>
        <w:pStyle w:val="Paragrafi"/>
        <w:rPr>
          <w:rFonts w:cs="Times New Roman"/>
          <w:color w:val="000000" w:themeColor="text1"/>
          <w:lang w:val="sq-AL"/>
        </w:rPr>
      </w:pPr>
      <w:r>
        <w:rPr>
          <w:rFonts w:eastAsia="Arial" w:cs="Times New Roman"/>
          <w:color w:val="000000" w:themeColor="text1"/>
          <w:lang w:val="sq-AL"/>
        </w:rPr>
        <w:tab/>
        <w:t>“o) shpenzimet për dieta që tejkalojnë 50 për qind të fondit të pagës bruto vjetore.”.</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5</w:t>
      </w:r>
    </w:p>
    <w:p w:rsidR="0073096C" w:rsidRDefault="0073096C" w:rsidP="0073096C">
      <w:pPr>
        <w:pStyle w:val="Hapesira7"/>
        <w:rPr>
          <w:lang w:val="sq-AL"/>
        </w:rPr>
      </w:pPr>
    </w:p>
    <w:p w:rsidR="0073096C" w:rsidRDefault="0073096C" w:rsidP="0073096C">
      <w:pPr>
        <w:pStyle w:val="Paragrafi"/>
        <w:rPr>
          <w:rFonts w:cs="Times New Roman"/>
          <w:lang w:val="sq-AL"/>
        </w:rPr>
      </w:pPr>
      <w:r>
        <w:rPr>
          <w:rFonts w:cs="Times New Roman"/>
          <w:lang w:val="sq-AL"/>
        </w:rPr>
        <w:tab/>
        <w:t>Në fund të nenit 24, “Borxhet e këqia”, shtohet shkronja “c” me këtë përmbajtje:</w:t>
      </w:r>
    </w:p>
    <w:p w:rsidR="0073096C" w:rsidRDefault="0073096C" w:rsidP="0073096C">
      <w:pPr>
        <w:pStyle w:val="Paragrafi"/>
        <w:rPr>
          <w:rFonts w:cs="Times New Roman"/>
          <w:lang w:val="sq-AL"/>
        </w:rPr>
      </w:pPr>
      <w:r>
        <w:rPr>
          <w:rFonts w:cs="Times New Roman"/>
          <w:lang w:val="sq-AL"/>
        </w:rPr>
        <w:tab/>
        <w:t>“c) në rast se pasuria e luajtshme ose e paluajtshme që siguron kredinë, ekzekutohet para afateve të përcaktuara në shkronjat “a” dhe “b” më lart, provizionet e mëparshme bankare, të njohura si shpenzime të zbritshme, do të vazhdojnë të njihen si të tilla.”.</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6</w:t>
      </w:r>
    </w:p>
    <w:p w:rsidR="0073096C" w:rsidRDefault="0073096C" w:rsidP="0073096C">
      <w:pPr>
        <w:pStyle w:val="Hapesira7"/>
        <w:rPr>
          <w:lang w:val="sq-AL"/>
        </w:rPr>
      </w:pPr>
    </w:p>
    <w:p w:rsidR="0073096C" w:rsidRDefault="0073096C" w:rsidP="0073096C">
      <w:pPr>
        <w:pStyle w:val="Paragrafi"/>
        <w:rPr>
          <w:lang w:val="sq-AL"/>
        </w:rPr>
      </w:pPr>
      <w:r>
        <w:rPr>
          <w:lang w:val="sq-AL"/>
        </w:rPr>
        <w:tab/>
        <w:t>Pas nenit 27 shtohet neni 27/1 me këtë përmbajtje:</w:t>
      </w:r>
    </w:p>
    <w:p w:rsidR="0073096C" w:rsidRDefault="0073096C" w:rsidP="0073096C">
      <w:pPr>
        <w:pStyle w:val="Hapesira7"/>
        <w:rPr>
          <w:lang w:val="sq-AL"/>
        </w:rPr>
      </w:pPr>
    </w:p>
    <w:p w:rsidR="0073096C" w:rsidRDefault="0073096C" w:rsidP="0073096C">
      <w:pPr>
        <w:pStyle w:val="NeniNr"/>
      </w:pPr>
      <w:r>
        <w:t>“</w:t>
      </w:r>
      <w:proofErr w:type="spellStart"/>
      <w:r>
        <w:t>Neni</w:t>
      </w:r>
      <w:proofErr w:type="spellEnd"/>
      <w:r>
        <w:t xml:space="preserve"> 27/1</w:t>
      </w:r>
    </w:p>
    <w:p w:rsidR="0073096C" w:rsidRDefault="0073096C" w:rsidP="0073096C">
      <w:pPr>
        <w:pStyle w:val="NeniTitull"/>
      </w:pPr>
      <w:proofErr w:type="spellStart"/>
      <w:r>
        <w:t>Ndryshimi</w:t>
      </w:r>
      <w:proofErr w:type="spellEnd"/>
      <w:r>
        <w:t xml:space="preserve"> </w:t>
      </w:r>
      <w:proofErr w:type="spellStart"/>
      <w:r>
        <w:t>i</w:t>
      </w:r>
      <w:proofErr w:type="spellEnd"/>
      <w:r>
        <w:t xml:space="preserve"> </w:t>
      </w:r>
      <w:proofErr w:type="spellStart"/>
      <w:r>
        <w:t>pronësisë</w:t>
      </w:r>
      <w:proofErr w:type="spellEnd"/>
    </w:p>
    <w:p w:rsidR="0073096C" w:rsidRDefault="0073096C" w:rsidP="0073096C">
      <w:pPr>
        <w:pStyle w:val="Hapesira7"/>
        <w:rPr>
          <w:lang w:val="sq-AL"/>
        </w:rPr>
      </w:pPr>
    </w:p>
    <w:p w:rsidR="0073096C" w:rsidRDefault="0073096C" w:rsidP="0073096C">
      <w:pPr>
        <w:pStyle w:val="Paragrafi"/>
        <w:rPr>
          <w:lang w:val="sq-AL"/>
        </w:rPr>
      </w:pPr>
      <w:r>
        <w:rPr>
          <w:lang w:val="sq-AL"/>
        </w:rPr>
        <w:tab/>
        <w:t xml:space="preserve">1. </w:t>
      </w:r>
      <w:r>
        <w:rPr>
          <w:lang w:val="sq-AL"/>
        </w:rPr>
        <w:t>Nëse gjatë një periudhe tatimore pronësia direkte dhe/ose indirekte e kapitalit aksionar, kuotave, ose e të drejtave të votimit të një personi juridik ndryshon me më shumë se 20 % në vlerë ose numër aksionesh, kuotash, personi juridik trajtohet si të jetë duke shitur një pjesë proporcionale të të gjitha pasurive të tij menjëherë përpara ndryshimit. Personi juridik trajtohet si:</w:t>
      </w:r>
    </w:p>
    <w:p w:rsidR="0073096C" w:rsidRDefault="0073096C" w:rsidP="0073096C">
      <w:pPr>
        <w:pStyle w:val="Paragrafi"/>
        <w:rPr>
          <w:lang w:val="sq-AL"/>
        </w:rPr>
      </w:pPr>
      <w:r>
        <w:rPr>
          <w:lang w:val="sq-AL"/>
        </w:rPr>
        <w:tab/>
        <w:t xml:space="preserve">a) </w:t>
      </w:r>
      <w:r>
        <w:rPr>
          <w:lang w:val="sq-AL"/>
        </w:rPr>
        <w:t>përfitues i të ardhurave nga shitja, e barabartë kjo me pjesën proporcionale të vlerës së tregut të aktivit në atë kohë; dhe</w:t>
      </w:r>
    </w:p>
    <w:p w:rsidR="0073096C" w:rsidRDefault="0073096C" w:rsidP="0073096C">
      <w:pPr>
        <w:pStyle w:val="Paragrafi"/>
        <w:rPr>
          <w:lang w:val="sq-AL"/>
        </w:rPr>
      </w:pPr>
      <w:r>
        <w:rPr>
          <w:lang w:val="sq-AL"/>
        </w:rPr>
        <w:tab/>
        <w:t xml:space="preserve">b) </w:t>
      </w:r>
      <w:r>
        <w:rPr>
          <w:lang w:val="sq-AL"/>
        </w:rPr>
        <w:t>riblerës i aktivit për të njëjtën vlerë.</w:t>
      </w:r>
    </w:p>
    <w:p w:rsidR="0073096C" w:rsidRDefault="0073096C" w:rsidP="0073096C">
      <w:pPr>
        <w:pStyle w:val="Paragrafi"/>
        <w:rPr>
          <w:lang w:val="sq-AL"/>
        </w:rPr>
      </w:pPr>
      <w:r>
        <w:rPr>
          <w:lang w:val="sq-AL"/>
        </w:rPr>
        <w:tab/>
        <w:t>Pika 1 aplikohet në rastet kur personi juridik, për tre vitet paraardhëse, ka realizuar një mesatare qarkullimi prej 500 000 000 (pesëqind milionë) lekësh.</w:t>
      </w:r>
    </w:p>
    <w:p w:rsidR="0073096C" w:rsidRDefault="0073096C" w:rsidP="0073096C">
      <w:pPr>
        <w:pStyle w:val="Paragrafi"/>
        <w:rPr>
          <w:lang w:val="sq-AL"/>
        </w:rPr>
      </w:pPr>
      <w:r>
        <w:rPr>
          <w:lang w:val="sq-AL"/>
        </w:rPr>
        <w:tab/>
        <w:t xml:space="preserve">2. </w:t>
      </w:r>
      <w:r>
        <w:rPr>
          <w:lang w:val="sq-AL"/>
        </w:rPr>
        <w:t>Kur një person juridik paguan tatimin mbi fitimin, sipas këtij ligji, bazuar në pikën 1, të këtij neni, çdo ndryshim pronësie i aksioneve ose interesave të ngjashёm që shkaktojnë ndryshimin është i përjashtuar nga tatimi mbi fitimin.</w:t>
      </w:r>
    </w:p>
    <w:p w:rsidR="0073096C" w:rsidRDefault="0073096C" w:rsidP="0073096C">
      <w:pPr>
        <w:pStyle w:val="Paragrafi"/>
        <w:rPr>
          <w:lang w:val="sq-AL"/>
        </w:rPr>
      </w:pPr>
      <w:r>
        <w:rPr>
          <w:lang w:val="sq-AL"/>
        </w:rPr>
        <w:tab/>
        <w:t xml:space="preserve">3. </w:t>
      </w:r>
      <w:r>
        <w:rPr>
          <w:lang w:val="sq-AL"/>
        </w:rPr>
        <w:t>Një person juridik, i cili është subjekt i një ndryshimi të përmendur në pikën 1, të këtij neni, duhet të njoftojë autoritetet tatimore me detajet e ndryshimit brenda 45 ditëve nga koha kur ka ndodhur ndryshimi.</w:t>
      </w:r>
    </w:p>
    <w:p w:rsidR="0073096C" w:rsidRDefault="0073096C" w:rsidP="0073096C">
      <w:pPr>
        <w:pStyle w:val="Paragrafi"/>
        <w:rPr>
          <w:lang w:val="sq-AL"/>
        </w:rPr>
      </w:pPr>
      <w:r>
        <w:rPr>
          <w:lang w:val="sq-AL"/>
        </w:rPr>
        <w:tab/>
        <w:t>4. Personi juridik duhet të njoftojë administratën tatimore për një ndryshim pronësie të drejtpërdrejtë ose të tërthortë prej 10 % ose më shumë të kapitalit të saj ose të të drejtave të votës. Ndryshimi i pronësisë duhet të jetë objekt i nënndarjes “ii”, të shkronjës “e”, të nenit 4, të këtij ligji. Njoftimi duhet të kryhet brenda 45 ditëve nga ndryshimi i pronësisë. Kjo dispozitë nuk zbatohet në rastet kur zbatohet pika 3 e këtij neni.</w:t>
      </w:r>
    </w:p>
    <w:p w:rsidR="0073096C" w:rsidRDefault="0073096C" w:rsidP="0073096C">
      <w:pPr>
        <w:pStyle w:val="Paragrafi"/>
        <w:rPr>
          <w:spacing w:val="-4"/>
          <w:lang w:val="sq-AL"/>
        </w:rPr>
      </w:pPr>
      <w:r>
        <w:rPr>
          <w:lang w:val="sq-AL"/>
        </w:rPr>
        <w:tab/>
      </w:r>
      <w:r>
        <w:rPr>
          <w:spacing w:val="-4"/>
          <w:lang w:val="sq-AL"/>
        </w:rPr>
        <w:t xml:space="preserve">5. </w:t>
      </w:r>
      <w:r>
        <w:rPr>
          <w:spacing w:val="-4"/>
          <w:lang w:val="sq-AL"/>
        </w:rPr>
        <w:t>Në rast të mosnjoftimit të autoriteteve tatimore, personi juridik dënohet sipas penaliteteve të përcaktuara në ligjin “Për procedurat tatimore në Republikën e Shqipërisë.”.</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7</w:t>
      </w:r>
    </w:p>
    <w:p w:rsidR="0073096C" w:rsidRDefault="0073096C" w:rsidP="0073096C">
      <w:pPr>
        <w:pStyle w:val="Hapesira7"/>
        <w:rPr>
          <w:lang w:val="sq-AL"/>
        </w:rPr>
      </w:pPr>
    </w:p>
    <w:p w:rsidR="0073096C" w:rsidRDefault="0073096C" w:rsidP="0073096C">
      <w:pPr>
        <w:pStyle w:val="Paragrafi"/>
        <w:rPr>
          <w:lang w:val="sq-AL"/>
        </w:rPr>
      </w:pPr>
      <w:r>
        <w:rPr>
          <w:lang w:val="sq-AL"/>
        </w:rPr>
        <w:tab/>
        <w:t>Pas nenit 30 shtohet neni 30/1 me këtë përmbajtje:</w:t>
      </w:r>
    </w:p>
    <w:p w:rsidR="0073096C" w:rsidRDefault="0073096C" w:rsidP="0073096C">
      <w:pPr>
        <w:pStyle w:val="Hapesira7"/>
        <w:rPr>
          <w:lang w:val="sq-AL"/>
        </w:rPr>
      </w:pPr>
    </w:p>
    <w:p w:rsidR="0073096C" w:rsidRDefault="0073096C" w:rsidP="0073096C">
      <w:pPr>
        <w:pStyle w:val="NeniNr"/>
      </w:pPr>
      <w:r>
        <w:lastRenderedPageBreak/>
        <w:t>“</w:t>
      </w:r>
      <w:proofErr w:type="spellStart"/>
      <w:r>
        <w:t>Neni</w:t>
      </w:r>
      <w:proofErr w:type="spellEnd"/>
      <w:r>
        <w:t xml:space="preserve"> 30/1</w:t>
      </w:r>
    </w:p>
    <w:p w:rsidR="0073096C" w:rsidRDefault="0073096C" w:rsidP="0073096C">
      <w:pPr>
        <w:pStyle w:val="NeniNr"/>
        <w:rPr>
          <w:b/>
        </w:rPr>
      </w:pPr>
      <w:proofErr w:type="spellStart"/>
      <w:r>
        <w:rPr>
          <w:b/>
        </w:rPr>
        <w:t>Deklarimi</w:t>
      </w:r>
      <w:proofErr w:type="spellEnd"/>
      <w:r>
        <w:rPr>
          <w:b/>
        </w:rPr>
        <w:t xml:space="preserve"> </w:t>
      </w:r>
      <w:proofErr w:type="spellStart"/>
      <w:r>
        <w:rPr>
          <w:b/>
        </w:rPr>
        <w:t>dhe</w:t>
      </w:r>
      <w:proofErr w:type="spellEnd"/>
      <w:r>
        <w:rPr>
          <w:b/>
        </w:rPr>
        <w:t xml:space="preserve"> </w:t>
      </w:r>
      <w:proofErr w:type="spellStart"/>
      <w:r>
        <w:rPr>
          <w:b/>
        </w:rPr>
        <w:t>pagesa</w:t>
      </w:r>
      <w:proofErr w:type="spellEnd"/>
      <w:r>
        <w:rPr>
          <w:b/>
        </w:rPr>
        <w:t xml:space="preserve"> </w:t>
      </w:r>
      <w:proofErr w:type="spellStart"/>
      <w:r>
        <w:rPr>
          <w:b/>
        </w:rPr>
        <w:t>nga</w:t>
      </w:r>
      <w:proofErr w:type="spellEnd"/>
      <w:r>
        <w:rPr>
          <w:b/>
        </w:rPr>
        <w:t xml:space="preserve"> persona </w:t>
      </w:r>
      <w:proofErr w:type="spellStart"/>
      <w:r>
        <w:rPr>
          <w:b/>
        </w:rPr>
        <w:t>joresidentë</w:t>
      </w:r>
      <w:proofErr w:type="spellEnd"/>
      <w:r>
        <w:rPr>
          <w:b/>
        </w:rPr>
        <w:t xml:space="preserve"> </w:t>
      </w:r>
      <w:proofErr w:type="spellStart"/>
      <w:r>
        <w:rPr>
          <w:b/>
        </w:rPr>
        <w:t>specifikë</w:t>
      </w:r>
      <w:proofErr w:type="spellEnd"/>
    </w:p>
    <w:p w:rsidR="0073096C" w:rsidRDefault="0073096C" w:rsidP="0073096C">
      <w:pPr>
        <w:pStyle w:val="Hapesira7"/>
        <w:rPr>
          <w:lang w:val="sq-AL"/>
        </w:rPr>
      </w:pPr>
    </w:p>
    <w:p w:rsidR="0073096C" w:rsidRDefault="0073096C" w:rsidP="0073096C">
      <w:pPr>
        <w:pStyle w:val="Paragrafi"/>
        <w:rPr>
          <w:lang w:val="sq-AL"/>
        </w:rPr>
      </w:pPr>
      <w:r>
        <w:rPr>
          <w:lang w:val="sq-AL"/>
        </w:rPr>
        <w:tab/>
        <w:t xml:space="preserve">1. </w:t>
      </w:r>
      <w:r>
        <w:rPr>
          <w:lang w:val="sq-AL"/>
        </w:rPr>
        <w:t>Një personi joresident, të përcaktuar sipas shkronjës “ç”, të pikës 1, të  nenit 16, të këtij ligji, i kërkohet të përgatisë një deklaratë të të ardhurave të tatueshme, sipas udhëzimit të ministrit përgjegjës për financat. Deklarata duhet të dorëzohet sipas afatit të përcaktuar në nenin 29 të këtij ligji.</w:t>
      </w:r>
    </w:p>
    <w:p w:rsidR="0073096C" w:rsidRDefault="0073096C" w:rsidP="0073096C">
      <w:pPr>
        <w:pStyle w:val="Paragrafi"/>
        <w:rPr>
          <w:lang w:val="sq-AL"/>
        </w:rPr>
      </w:pPr>
      <w:r>
        <w:rPr>
          <w:lang w:val="sq-AL"/>
        </w:rPr>
        <w:tab/>
        <w:t xml:space="preserve">2. </w:t>
      </w:r>
      <w:r>
        <w:rPr>
          <w:lang w:val="sq-AL"/>
        </w:rPr>
        <w:t>Në kohën e paraqitjes së deklaratës, sipas pikës 1, të këtij neni, personi joresident duhet të paguajë shumën e tatimit të deklaruar. Nenet 30 dhe 37, të këtij ligji, nuk zbatohen për këto raste.”.</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8</w:t>
      </w:r>
    </w:p>
    <w:p w:rsidR="0073096C" w:rsidRDefault="0073096C" w:rsidP="0073096C">
      <w:pPr>
        <w:pStyle w:val="Hapesira7"/>
        <w:rPr>
          <w:lang w:val="sq-AL"/>
        </w:rPr>
      </w:pPr>
    </w:p>
    <w:p w:rsidR="0073096C" w:rsidRDefault="0073096C" w:rsidP="0073096C">
      <w:pPr>
        <w:pStyle w:val="Paragrafi"/>
        <w:rPr>
          <w:rFonts w:cs="Times New Roman"/>
          <w:lang w:val="sq-AL"/>
        </w:rPr>
      </w:pPr>
      <w:r>
        <w:rPr>
          <w:rFonts w:cs="Times New Roman"/>
          <w:lang w:val="sq-AL"/>
        </w:rPr>
        <w:tab/>
        <w:t>Në nenin 33, “</w:t>
      </w:r>
      <w:r>
        <w:rPr>
          <w:rFonts w:cs="Times New Roman"/>
          <w:bCs/>
          <w:lang w:val="sq-AL"/>
        </w:rPr>
        <w:t xml:space="preserve">Mbajtja në burim e tatimit mbi të ardhurat”, pika 1 ndryshohet </w:t>
      </w:r>
      <w:r>
        <w:rPr>
          <w:rFonts w:cs="Times New Roman"/>
          <w:lang w:val="sq-AL"/>
        </w:rPr>
        <w:t>si më poshtë:</w:t>
      </w:r>
    </w:p>
    <w:p w:rsidR="0073096C" w:rsidRDefault="0073096C" w:rsidP="0073096C">
      <w:pPr>
        <w:pStyle w:val="Paragrafi"/>
        <w:rPr>
          <w:rFonts w:eastAsia="Arial"/>
          <w:lang w:val="sq-AL"/>
        </w:rPr>
      </w:pPr>
      <w:r>
        <w:rPr>
          <w:rFonts w:eastAsia="Arial"/>
          <w:lang w:val="sq-AL"/>
        </w:rPr>
        <w:tab/>
        <w:t>“1. Të gjithë personat residentë në Republikën e Shqipërisë, organet e qeverisjes qendrore e vendore, organizatat jofitimprurëse dhe çdo subjekt tjetër, i njohur nga legjislacioni në fuqi, janë të detyruar të mbajnë tatimin në burim nga shuma bruto e pagesave të mëposhtme, që lindin nga një burim në Republikën e Shqipërisë, sipas shkallëve të mëposhtme:</w:t>
      </w:r>
    </w:p>
    <w:p w:rsidR="0073096C" w:rsidRDefault="0073096C" w:rsidP="0073096C">
      <w:pPr>
        <w:pStyle w:val="Paragrafi"/>
        <w:rPr>
          <w:rFonts w:eastAsia="Arial"/>
          <w:lang w:val="sq-AL"/>
        </w:rPr>
      </w:pPr>
      <w:r>
        <w:rPr>
          <w:rFonts w:eastAsia="Arial"/>
          <w:lang w:val="sq-AL"/>
        </w:rPr>
        <w:tab/>
        <w:t xml:space="preserve">1.1. 15 për qind për: </w:t>
      </w:r>
    </w:p>
    <w:p w:rsidR="0073096C" w:rsidRDefault="0073096C" w:rsidP="0073096C">
      <w:pPr>
        <w:pStyle w:val="Paragrafi"/>
        <w:rPr>
          <w:rFonts w:eastAsia="Arial"/>
          <w:lang w:val="sq-AL"/>
        </w:rPr>
      </w:pPr>
      <w:r>
        <w:rPr>
          <w:rFonts w:eastAsia="Arial"/>
          <w:lang w:val="sq-AL"/>
        </w:rPr>
        <w:tab/>
        <w:t xml:space="preserve">a) </w:t>
      </w:r>
      <w:r>
        <w:rPr>
          <w:rFonts w:eastAsia="Arial"/>
          <w:lang w:val="sq-AL"/>
        </w:rPr>
        <w:t>interesat dhe pagesat e ngjashme me to;</w:t>
      </w:r>
    </w:p>
    <w:p w:rsidR="0073096C" w:rsidRDefault="0073096C" w:rsidP="0073096C">
      <w:pPr>
        <w:pStyle w:val="Paragrafi"/>
        <w:rPr>
          <w:rFonts w:eastAsia="Arial"/>
          <w:lang w:val="sq-AL"/>
        </w:rPr>
      </w:pPr>
      <w:r>
        <w:rPr>
          <w:rFonts w:eastAsia="Arial"/>
          <w:lang w:val="sq-AL"/>
        </w:rPr>
        <w:tab/>
        <w:t xml:space="preserve">b) </w:t>
      </w:r>
      <w:r>
        <w:rPr>
          <w:rFonts w:eastAsia="Arial"/>
          <w:lang w:val="sq-AL"/>
        </w:rPr>
        <w:t>pagesat për të drejtat e autorit dhe për pronësinë intelektuale;</w:t>
      </w:r>
    </w:p>
    <w:p w:rsidR="0073096C" w:rsidRDefault="0073096C" w:rsidP="0073096C">
      <w:pPr>
        <w:pStyle w:val="Paragrafi"/>
        <w:rPr>
          <w:rFonts w:eastAsia="Arial"/>
          <w:lang w:val="sq-AL"/>
        </w:rPr>
      </w:pPr>
      <w:r>
        <w:rPr>
          <w:rFonts w:eastAsia="Arial"/>
          <w:lang w:val="sq-AL"/>
        </w:rPr>
        <w:tab/>
        <w:t xml:space="preserve">c) </w:t>
      </w:r>
      <w:r>
        <w:rPr>
          <w:rFonts w:eastAsia="Arial"/>
          <w:lang w:val="sq-AL"/>
        </w:rPr>
        <w:t xml:space="preserve">pagesat për shërbimet teknike, shërbimet e menaxhimit, shërbimet e konsulencës, shërbimet financiare dhe ato të sigurimit; </w:t>
      </w:r>
    </w:p>
    <w:p w:rsidR="0073096C" w:rsidRDefault="0073096C" w:rsidP="0073096C">
      <w:pPr>
        <w:pStyle w:val="Paragrafi"/>
        <w:rPr>
          <w:rFonts w:eastAsia="Arial"/>
          <w:lang w:val="sq-AL"/>
        </w:rPr>
      </w:pPr>
      <w:r>
        <w:rPr>
          <w:rFonts w:eastAsia="Arial"/>
          <w:lang w:val="sq-AL"/>
        </w:rPr>
        <w:tab/>
        <w:t>ç) pagesat për menaxhimin dhe pjesëmarrjen në këshillat drejtues;</w:t>
      </w:r>
    </w:p>
    <w:p w:rsidR="0073096C" w:rsidRDefault="0073096C" w:rsidP="0073096C">
      <w:pPr>
        <w:pStyle w:val="Paragrafi"/>
        <w:rPr>
          <w:rFonts w:eastAsia="Arial"/>
          <w:lang w:val="sq-AL"/>
        </w:rPr>
      </w:pPr>
      <w:r>
        <w:rPr>
          <w:rFonts w:eastAsia="Arial"/>
          <w:lang w:val="sq-AL"/>
        </w:rPr>
        <w:tab/>
        <w:t xml:space="preserve">d) </w:t>
      </w:r>
      <w:r>
        <w:rPr>
          <w:rFonts w:eastAsia="Arial"/>
          <w:lang w:val="sq-AL"/>
        </w:rPr>
        <w:t xml:space="preserve">pagesat për ndërtimin, instalimin, montimin ose për punë mbikëqyrëse që lidhen me to; </w:t>
      </w:r>
    </w:p>
    <w:p w:rsidR="0073096C" w:rsidRDefault="0073096C" w:rsidP="0073096C">
      <w:pPr>
        <w:pStyle w:val="Paragrafi"/>
        <w:rPr>
          <w:rFonts w:eastAsia="Arial"/>
          <w:lang w:val="sq-AL"/>
        </w:rPr>
      </w:pPr>
      <w:r>
        <w:rPr>
          <w:rFonts w:eastAsia="Arial"/>
          <w:lang w:val="sq-AL"/>
        </w:rPr>
        <w:tab/>
        <w:t>dh) pagesat për qiratë;</w:t>
      </w:r>
    </w:p>
    <w:p w:rsidR="0073096C" w:rsidRDefault="0073096C" w:rsidP="0073096C">
      <w:pPr>
        <w:pStyle w:val="Paragrafi"/>
        <w:rPr>
          <w:rFonts w:eastAsia="Arial"/>
          <w:lang w:val="sq-AL"/>
        </w:rPr>
      </w:pPr>
      <w:r>
        <w:rPr>
          <w:rFonts w:eastAsia="Arial"/>
          <w:lang w:val="sq-AL"/>
        </w:rPr>
        <w:tab/>
        <w:t xml:space="preserve">e) </w:t>
      </w:r>
      <w:r>
        <w:rPr>
          <w:rFonts w:eastAsia="Arial"/>
          <w:lang w:val="sq-AL"/>
        </w:rPr>
        <w:t>pagesat për shfaqjet e aktorëve, të muzikantëve ose sportistëve, përfshirë pagesa të tilla që u bëhen personave, të cilët punësojnë artistë ose sportistë apo ndërmjetësojnë për shfaqjet e tyre;</w:t>
      </w:r>
    </w:p>
    <w:p w:rsidR="0073096C" w:rsidRDefault="0073096C" w:rsidP="0073096C">
      <w:pPr>
        <w:pStyle w:val="Paragrafi"/>
        <w:rPr>
          <w:rFonts w:eastAsia="Arial"/>
          <w:lang w:val="sq-AL"/>
        </w:rPr>
      </w:pPr>
      <w:r>
        <w:rPr>
          <w:rFonts w:eastAsia="Arial"/>
          <w:lang w:val="sq-AL"/>
        </w:rPr>
        <w:tab/>
        <w:t xml:space="preserve">ë) </w:t>
      </w:r>
      <w:r>
        <w:rPr>
          <w:rFonts w:eastAsia="Arial"/>
          <w:lang w:val="sq-AL"/>
        </w:rPr>
        <w:t>të ardhurat e individëve nga lojërat e fatit dhe kazinotë.</w:t>
      </w:r>
    </w:p>
    <w:p w:rsidR="0073096C" w:rsidRDefault="0073096C" w:rsidP="0073096C">
      <w:pPr>
        <w:pStyle w:val="Paragrafi"/>
        <w:rPr>
          <w:lang w:val="sq-AL"/>
        </w:rPr>
      </w:pPr>
      <w:r>
        <w:rPr>
          <w:lang w:val="sq-AL"/>
        </w:rPr>
        <w:tab/>
        <w:t>1.2. 8 për qind për:</w:t>
      </w:r>
    </w:p>
    <w:p w:rsidR="0073096C" w:rsidRDefault="0073096C" w:rsidP="0073096C">
      <w:pPr>
        <w:pStyle w:val="Paragrafi"/>
        <w:rPr>
          <w:rFonts w:eastAsia="Arial"/>
          <w:lang w:val="sq-AL"/>
        </w:rPr>
      </w:pPr>
      <w:r>
        <w:rPr>
          <w:rFonts w:eastAsia="Arial"/>
          <w:lang w:val="sq-AL"/>
        </w:rPr>
        <w:tab/>
        <w:t xml:space="preserve">a) </w:t>
      </w:r>
      <w:r>
        <w:rPr>
          <w:rFonts w:eastAsia="Arial"/>
          <w:lang w:val="sq-AL"/>
        </w:rPr>
        <w:t>dividendët:</w:t>
      </w:r>
    </w:p>
    <w:p w:rsidR="0073096C" w:rsidRDefault="0073096C" w:rsidP="0073096C">
      <w:pPr>
        <w:pStyle w:val="Paragrafi"/>
        <w:rPr>
          <w:lang w:val="sq-AL"/>
        </w:rPr>
      </w:pPr>
      <w:r>
        <w:rPr>
          <w:rFonts w:eastAsia="Arial"/>
          <w:lang w:val="sq-AL"/>
        </w:rPr>
        <w:tab/>
        <w:t xml:space="preserve">b) </w:t>
      </w:r>
      <w:r>
        <w:rPr>
          <w:rFonts w:eastAsia="Arial"/>
          <w:lang w:val="sq-AL"/>
        </w:rPr>
        <w:t>ndarjet e fitimit.”.</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9</w:t>
      </w:r>
    </w:p>
    <w:p w:rsidR="0073096C" w:rsidRDefault="0073096C" w:rsidP="0073096C">
      <w:pPr>
        <w:pStyle w:val="Hapesira7"/>
        <w:rPr>
          <w:rStyle w:val="grame"/>
          <w:rFonts w:ascii="Garamond" w:hAnsi="Garamond"/>
        </w:rPr>
      </w:pPr>
    </w:p>
    <w:p w:rsidR="0073096C" w:rsidRDefault="0073096C" w:rsidP="0073096C">
      <w:pPr>
        <w:pStyle w:val="Paragrafi"/>
        <w:rPr>
          <w:lang w:val="sq-AL"/>
        </w:rPr>
      </w:pPr>
      <w:r>
        <w:rPr>
          <w:rFonts w:cs="Times New Roman"/>
          <w:lang w:val="sq-AL"/>
        </w:rPr>
        <w:tab/>
        <w:t>Në nenin 38, “Dispozita kalimtare”, shtohet pika 9 me këtë përmbajtje:</w:t>
      </w:r>
    </w:p>
    <w:p w:rsidR="0073096C" w:rsidRDefault="0073096C" w:rsidP="0073096C">
      <w:pPr>
        <w:pStyle w:val="Paragrafi"/>
        <w:rPr>
          <w:lang w:val="sq-AL"/>
        </w:rPr>
      </w:pPr>
      <w:r>
        <w:rPr>
          <w:i/>
          <w:lang w:val="sq-AL"/>
        </w:rPr>
        <w:tab/>
      </w:r>
      <w:r>
        <w:rPr>
          <w:lang w:val="sq-AL"/>
        </w:rPr>
        <w:t>“9. Norma e tatimit mbi dividendin në shkallën 8 % do të aplikohet edhe për fitimet e pashpërndara të realizuara në vitet 2018 e më parë, përfshirë rezervat dhe fitimet e kapitalizuara, me kusht që tatimi mbi dividendin, që i përket fitimeve të pashpërndara të viteve 2017 e më parë, të paguhet brenda datës 30 shtator 2019, ndërsa tatimi mbi dividendin për fitimin e vitit 2018 të paguhet brenda datës 20 gusht 2019.”.</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10</w:t>
      </w:r>
    </w:p>
    <w:p w:rsidR="0073096C" w:rsidRDefault="0073096C" w:rsidP="0073096C">
      <w:pPr>
        <w:pStyle w:val="Hapesira7"/>
        <w:rPr>
          <w:lang w:val="sq-AL"/>
        </w:rPr>
      </w:pPr>
    </w:p>
    <w:p w:rsidR="0073096C" w:rsidRDefault="0073096C" w:rsidP="0073096C">
      <w:pPr>
        <w:pStyle w:val="Paragrafi"/>
        <w:rPr>
          <w:rFonts w:eastAsia="Calibri"/>
          <w:bCs/>
          <w:color w:val="000000"/>
          <w:lang w:val="sq-AL"/>
        </w:rPr>
      </w:pPr>
      <w:r>
        <w:rPr>
          <w:rFonts w:eastAsia="Calibri"/>
          <w:bCs/>
          <w:color w:val="000000"/>
          <w:lang w:val="sq-AL"/>
        </w:rPr>
        <w:tab/>
        <w:t>Pasqyra nr. 1, “</w:t>
      </w:r>
      <w:r>
        <w:rPr>
          <w:lang w:val="sq-AL"/>
        </w:rPr>
        <w:t xml:space="preserve">Tabela për tatimin mbi të ardhurat personale nga punësimi”, bashkëlidhur ligjit, </w:t>
      </w:r>
      <w:r>
        <w:rPr>
          <w:rFonts w:eastAsia="Calibri"/>
          <w:bCs/>
          <w:color w:val="000000"/>
          <w:lang w:val="sq-AL"/>
        </w:rPr>
        <w:t xml:space="preserve">zëvendësohet me pasqyrën nr.1, që i bashkëlidhet këtij ligji. </w:t>
      </w:r>
    </w:p>
    <w:p w:rsidR="0073096C" w:rsidRDefault="0073096C" w:rsidP="0073096C">
      <w:pPr>
        <w:pStyle w:val="Hapesira7"/>
        <w:rPr>
          <w:lang w:val="sq-AL"/>
        </w:rPr>
      </w:pPr>
    </w:p>
    <w:p w:rsidR="0073096C" w:rsidRDefault="0073096C" w:rsidP="0073096C">
      <w:pPr>
        <w:pStyle w:val="NeniNr"/>
      </w:pPr>
      <w:proofErr w:type="spellStart"/>
      <w:r>
        <w:t>Neni</w:t>
      </w:r>
      <w:proofErr w:type="spellEnd"/>
      <w:r>
        <w:t xml:space="preserve"> 11</w:t>
      </w:r>
    </w:p>
    <w:p w:rsidR="0073096C" w:rsidRDefault="0073096C" w:rsidP="0073096C">
      <w:pPr>
        <w:pStyle w:val="Hapesira7"/>
        <w:rPr>
          <w:lang w:val="sq-AL"/>
        </w:rPr>
      </w:pPr>
    </w:p>
    <w:p w:rsidR="0073096C" w:rsidRDefault="0073096C" w:rsidP="0073096C">
      <w:pPr>
        <w:pStyle w:val="Paragrafi"/>
        <w:rPr>
          <w:rFonts w:cs="Times New Roman"/>
          <w:lang w:val="sq-AL"/>
        </w:rPr>
      </w:pPr>
      <w:r>
        <w:rPr>
          <w:rFonts w:cs="Times New Roman"/>
          <w:lang w:val="sq-AL"/>
        </w:rPr>
        <w:tab/>
        <w:t xml:space="preserve">Ky ligj botohet në Fletoren Zyrtare dhe hyn në fuqi më 1 janar 2019. </w:t>
      </w:r>
    </w:p>
    <w:p w:rsidR="0073096C" w:rsidRDefault="0073096C" w:rsidP="0073096C">
      <w:pPr>
        <w:pStyle w:val="Hapesira7"/>
        <w:rPr>
          <w:lang w:val="sq-AL"/>
        </w:rPr>
      </w:pPr>
    </w:p>
    <w:p w:rsidR="0073096C" w:rsidRDefault="0073096C" w:rsidP="0073096C">
      <w:pPr>
        <w:pStyle w:val="Paragrafi"/>
        <w:rPr>
          <w:rFonts w:cs="Times New Roman"/>
          <w:lang w:val="sq-AL"/>
        </w:rPr>
      </w:pPr>
      <w:r>
        <w:rPr>
          <w:rFonts w:cs="Times New Roman"/>
          <w:lang w:val="sq-AL"/>
        </w:rPr>
        <w:t>Miratuar nё datёn 3.12.2018</w:t>
      </w:r>
    </w:p>
    <w:p w:rsidR="0073096C" w:rsidRDefault="0073096C" w:rsidP="0073096C">
      <w:pPr>
        <w:pStyle w:val="Hapesira7"/>
      </w:pPr>
    </w:p>
    <w:p w:rsidR="0073096C" w:rsidRDefault="0073096C" w:rsidP="0073096C">
      <w:pPr>
        <w:pStyle w:val="Hapesira7"/>
      </w:pPr>
    </w:p>
    <w:p w:rsidR="0073096C" w:rsidRDefault="0073096C" w:rsidP="0073096C">
      <w:pPr>
        <w:pStyle w:val="Hapesira7"/>
      </w:pPr>
      <w:bookmarkStart w:id="0" w:name="_GoBack"/>
      <w:bookmarkEnd w:id="0"/>
    </w:p>
    <w:p w:rsidR="0073096C" w:rsidRDefault="0073096C" w:rsidP="0073096C">
      <w:pPr>
        <w:pStyle w:val="Paragrafi"/>
        <w:jc w:val="right"/>
      </w:pPr>
      <w:r>
        <w:lastRenderedPageBreak/>
        <w:t xml:space="preserve">KRYETARI </w:t>
      </w:r>
    </w:p>
    <w:p w:rsidR="0073096C" w:rsidRDefault="0073096C" w:rsidP="0073096C">
      <w:pPr>
        <w:pStyle w:val="Paragrafi"/>
        <w:jc w:val="right"/>
        <w:rPr>
          <w:b/>
        </w:rPr>
      </w:pPr>
      <w:proofErr w:type="spellStart"/>
      <w:r>
        <w:rPr>
          <w:b/>
        </w:rPr>
        <w:t>Gramoz</w:t>
      </w:r>
      <w:proofErr w:type="spellEnd"/>
      <w:r>
        <w:rPr>
          <w:b/>
        </w:rPr>
        <w:t xml:space="preserve"> </w:t>
      </w:r>
      <w:proofErr w:type="spellStart"/>
      <w:r>
        <w:rPr>
          <w:b/>
        </w:rPr>
        <w:t>Ruçi</w:t>
      </w:r>
      <w:proofErr w:type="spellEnd"/>
    </w:p>
    <w:p w:rsidR="0073096C" w:rsidRDefault="0073096C" w:rsidP="0073096C">
      <w:pPr>
        <w:pStyle w:val="Paragrafi"/>
        <w:rPr>
          <w:rFonts w:cs="Times New Roman"/>
          <w:lang w:val="sq-AL"/>
        </w:rPr>
      </w:pPr>
    </w:p>
    <w:p w:rsidR="0073096C" w:rsidRDefault="0073096C" w:rsidP="0073096C">
      <w:pPr>
        <w:pStyle w:val="Paragrafi"/>
        <w:rPr>
          <w:rFonts w:cs="Times New Roman"/>
          <w:lang w:val="sq-AL"/>
        </w:rPr>
      </w:pPr>
      <w:r>
        <w:rPr>
          <w:rFonts w:cs="Times New Roman"/>
          <w:lang w:val="sq-AL"/>
        </w:rPr>
        <w:t>Pasqyra  nr. 1</w:t>
      </w:r>
    </w:p>
    <w:p w:rsidR="0073096C" w:rsidRDefault="0073096C" w:rsidP="0073096C">
      <w:pPr>
        <w:pStyle w:val="Hapesira7"/>
        <w:rPr>
          <w:lang w:val="sq-AL"/>
        </w:rPr>
      </w:pPr>
    </w:p>
    <w:p w:rsidR="0073096C" w:rsidRDefault="0073096C" w:rsidP="0073096C">
      <w:pPr>
        <w:pStyle w:val="Paragrafi"/>
        <w:jc w:val="center"/>
        <w:rPr>
          <w:rFonts w:cs="Times New Roman"/>
          <w:lang w:val="sq-AL"/>
        </w:rPr>
      </w:pPr>
      <w:r>
        <w:rPr>
          <w:rFonts w:cs="Times New Roman"/>
          <w:lang w:val="sq-AL"/>
        </w:rPr>
        <w:t>Tabela për tatimin mbi të ardhurat personale nga punësimi</w:t>
      </w:r>
    </w:p>
    <w:p w:rsidR="0073096C" w:rsidRDefault="0073096C" w:rsidP="0073096C">
      <w:pPr>
        <w:pStyle w:val="Paragrafi"/>
        <w:rPr>
          <w:rFonts w:cs="Times New Roman"/>
          <w:lang w:val="sq-AL"/>
        </w:rPr>
      </w:pPr>
    </w:p>
    <w:tbl>
      <w:tblPr>
        <w:tblStyle w:val="TableGrid"/>
        <w:tblW w:w="5000" w:type="pct"/>
        <w:tblInd w:w="0" w:type="dxa"/>
        <w:tblLook w:val="04A0" w:firstRow="1" w:lastRow="0" w:firstColumn="1" w:lastColumn="0" w:noHBand="0" w:noVBand="1"/>
      </w:tblPr>
      <w:tblGrid>
        <w:gridCol w:w="2691"/>
        <w:gridCol w:w="3824"/>
        <w:gridCol w:w="2835"/>
      </w:tblGrid>
      <w:tr w:rsidR="0073096C" w:rsidTr="0073096C">
        <w:tc>
          <w:tcPr>
            <w:tcW w:w="1439"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jc w:val="left"/>
              <w:rPr>
                <w:rFonts w:cs="Times New Roman"/>
                <w:sz w:val="16"/>
                <w:szCs w:val="16"/>
                <w:lang w:val="sq-AL"/>
              </w:rPr>
            </w:pPr>
            <w:r>
              <w:rPr>
                <w:rFonts w:cs="Times New Roman"/>
                <w:sz w:val="16"/>
                <w:szCs w:val="16"/>
                <w:lang w:val="sq-AL"/>
              </w:rPr>
              <w:t>E ardhura e tetueshme në lekë/muaj</w:t>
            </w:r>
          </w:p>
        </w:tc>
        <w:tc>
          <w:tcPr>
            <w:tcW w:w="3561" w:type="pct"/>
            <w:gridSpan w:val="2"/>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jc w:val="right"/>
              <w:rPr>
                <w:rFonts w:cs="Times New Roman"/>
                <w:sz w:val="16"/>
                <w:szCs w:val="16"/>
                <w:lang w:val="sq-AL"/>
              </w:rPr>
            </w:pPr>
            <w:r>
              <w:rPr>
                <w:rFonts w:cs="Times New Roman"/>
                <w:sz w:val="16"/>
                <w:szCs w:val="16"/>
                <w:lang w:val="sq-AL"/>
              </w:rPr>
              <w:t>Përqindje</w:t>
            </w:r>
          </w:p>
        </w:tc>
      </w:tr>
      <w:tr w:rsidR="0073096C" w:rsidTr="0073096C">
        <w:tc>
          <w:tcPr>
            <w:tcW w:w="1439"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rPr>
                <w:rFonts w:cs="Times New Roman"/>
                <w:sz w:val="16"/>
                <w:szCs w:val="16"/>
                <w:lang w:val="sq-AL"/>
              </w:rPr>
            </w:pPr>
            <w:r>
              <w:rPr>
                <w:rFonts w:cs="Times New Roman"/>
                <w:sz w:val="16"/>
                <w:szCs w:val="16"/>
                <w:lang w:val="sq-AL"/>
              </w:rPr>
              <w:t>Nga</w:t>
            </w:r>
          </w:p>
        </w:tc>
        <w:tc>
          <w:tcPr>
            <w:tcW w:w="2045"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rPr>
                <w:rFonts w:cs="Times New Roman"/>
                <w:sz w:val="16"/>
                <w:szCs w:val="16"/>
                <w:lang w:val="sq-AL"/>
              </w:rPr>
            </w:pPr>
            <w:r>
              <w:rPr>
                <w:rFonts w:cs="Times New Roman"/>
                <w:sz w:val="16"/>
                <w:szCs w:val="16"/>
                <w:lang w:val="sq-AL"/>
              </w:rPr>
              <w:t>Deri në përfshirë</w:t>
            </w:r>
          </w:p>
        </w:tc>
        <w:tc>
          <w:tcPr>
            <w:tcW w:w="1516"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jc w:val="left"/>
              <w:rPr>
                <w:rFonts w:cs="Times New Roman"/>
                <w:sz w:val="16"/>
                <w:szCs w:val="16"/>
                <w:lang w:val="sq-AL"/>
              </w:rPr>
            </w:pPr>
            <w:r>
              <w:rPr>
                <w:rFonts w:cs="Times New Roman"/>
                <w:sz w:val="16"/>
                <w:szCs w:val="16"/>
                <w:lang w:val="sq-AL"/>
              </w:rPr>
              <w:t>Zero përqind</w:t>
            </w:r>
          </w:p>
        </w:tc>
      </w:tr>
      <w:tr w:rsidR="0073096C" w:rsidTr="0073096C">
        <w:tc>
          <w:tcPr>
            <w:tcW w:w="1439"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rPr>
                <w:rFonts w:cs="Times New Roman"/>
                <w:sz w:val="16"/>
                <w:szCs w:val="16"/>
                <w:lang w:val="sq-AL"/>
              </w:rPr>
            </w:pPr>
            <w:r>
              <w:rPr>
                <w:rFonts w:cs="Times New Roman"/>
                <w:sz w:val="16"/>
                <w:szCs w:val="16"/>
                <w:lang w:val="sq-AL"/>
              </w:rPr>
              <w:t>0</w:t>
            </w:r>
          </w:p>
        </w:tc>
        <w:tc>
          <w:tcPr>
            <w:tcW w:w="2045"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rPr>
                <w:rFonts w:cs="Times New Roman"/>
                <w:sz w:val="16"/>
                <w:szCs w:val="16"/>
                <w:lang w:val="sq-AL"/>
              </w:rPr>
            </w:pPr>
            <w:r>
              <w:rPr>
                <w:rFonts w:cs="Times New Roman"/>
                <w:sz w:val="16"/>
                <w:szCs w:val="16"/>
                <w:lang w:val="sq-AL"/>
              </w:rPr>
              <w:t>30 000</w:t>
            </w:r>
          </w:p>
        </w:tc>
        <w:tc>
          <w:tcPr>
            <w:tcW w:w="1516"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jc w:val="left"/>
              <w:rPr>
                <w:rFonts w:cs="Times New Roman"/>
                <w:sz w:val="16"/>
                <w:szCs w:val="16"/>
                <w:lang w:val="sq-AL"/>
              </w:rPr>
            </w:pPr>
            <w:r>
              <w:rPr>
                <w:rFonts w:cs="Times New Roman"/>
                <w:sz w:val="16"/>
                <w:szCs w:val="16"/>
                <w:lang w:val="sq-AL"/>
              </w:rPr>
              <w:t>+</w:t>
            </w:r>
          </w:p>
        </w:tc>
      </w:tr>
      <w:tr w:rsidR="0073096C" w:rsidTr="0073096C">
        <w:tc>
          <w:tcPr>
            <w:tcW w:w="1439"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rPr>
                <w:rFonts w:cs="Times New Roman"/>
                <w:sz w:val="16"/>
                <w:szCs w:val="16"/>
                <w:lang w:val="sq-AL"/>
              </w:rPr>
            </w:pPr>
            <w:r>
              <w:rPr>
                <w:rFonts w:cs="Times New Roman"/>
                <w:sz w:val="16"/>
                <w:szCs w:val="16"/>
                <w:lang w:val="sq-AL"/>
              </w:rPr>
              <w:t>30 001</w:t>
            </w:r>
          </w:p>
        </w:tc>
        <w:tc>
          <w:tcPr>
            <w:tcW w:w="2045"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rPr>
                <w:rFonts w:cs="Times New Roman"/>
                <w:sz w:val="16"/>
                <w:szCs w:val="16"/>
                <w:lang w:val="sq-AL"/>
              </w:rPr>
            </w:pPr>
            <w:r>
              <w:rPr>
                <w:rFonts w:cs="Times New Roman"/>
                <w:sz w:val="16"/>
                <w:szCs w:val="16"/>
                <w:lang w:val="sq-AL"/>
              </w:rPr>
              <w:t>150 000</w:t>
            </w:r>
          </w:p>
        </w:tc>
        <w:tc>
          <w:tcPr>
            <w:tcW w:w="1516"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jc w:val="left"/>
              <w:rPr>
                <w:rFonts w:cs="Times New Roman"/>
                <w:sz w:val="16"/>
                <w:szCs w:val="16"/>
                <w:lang w:val="sq-AL"/>
              </w:rPr>
            </w:pPr>
            <w:r>
              <w:rPr>
                <w:rFonts w:cs="Times New Roman"/>
                <w:sz w:val="16"/>
                <w:szCs w:val="16"/>
                <w:lang w:val="sq-AL"/>
              </w:rPr>
              <w:t>13 përqind të shumës mbi 30 000</w:t>
            </w:r>
          </w:p>
        </w:tc>
      </w:tr>
      <w:tr w:rsidR="0073096C" w:rsidTr="0073096C">
        <w:tc>
          <w:tcPr>
            <w:tcW w:w="1439" w:type="pct"/>
            <w:tcBorders>
              <w:top w:val="single" w:sz="4" w:space="0" w:color="auto"/>
              <w:left w:val="single" w:sz="4" w:space="0" w:color="auto"/>
              <w:bottom w:val="single" w:sz="4" w:space="0" w:color="auto"/>
              <w:right w:val="single" w:sz="4" w:space="0" w:color="auto"/>
            </w:tcBorders>
          </w:tcPr>
          <w:p w:rsidR="0073096C" w:rsidRDefault="0073096C">
            <w:pPr>
              <w:pStyle w:val="Paragrafi"/>
              <w:ind w:firstLine="0"/>
              <w:rPr>
                <w:rFonts w:cs="Times New Roman"/>
                <w:sz w:val="16"/>
                <w:szCs w:val="16"/>
                <w:lang w:val="sq-AL"/>
              </w:rPr>
            </w:pPr>
          </w:p>
        </w:tc>
        <w:tc>
          <w:tcPr>
            <w:tcW w:w="2045"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rPr>
                <w:rFonts w:cs="Times New Roman"/>
                <w:sz w:val="16"/>
                <w:szCs w:val="16"/>
                <w:lang w:val="sq-AL"/>
              </w:rPr>
            </w:pPr>
            <w:r>
              <w:rPr>
                <w:rFonts w:cs="Times New Roman"/>
                <w:sz w:val="16"/>
                <w:szCs w:val="16"/>
                <w:lang w:val="sq-AL"/>
              </w:rPr>
              <w:t>Më tepër</w:t>
            </w:r>
          </w:p>
        </w:tc>
        <w:tc>
          <w:tcPr>
            <w:tcW w:w="1516" w:type="pct"/>
            <w:tcBorders>
              <w:top w:val="single" w:sz="4" w:space="0" w:color="auto"/>
              <w:left w:val="single" w:sz="4" w:space="0" w:color="auto"/>
              <w:bottom w:val="single" w:sz="4" w:space="0" w:color="auto"/>
              <w:right w:val="single" w:sz="4" w:space="0" w:color="auto"/>
            </w:tcBorders>
            <w:hideMark/>
          </w:tcPr>
          <w:p w:rsidR="0073096C" w:rsidRDefault="0073096C">
            <w:pPr>
              <w:pStyle w:val="Paragrafi"/>
              <w:ind w:firstLine="0"/>
              <w:jc w:val="left"/>
              <w:rPr>
                <w:rFonts w:cs="Times New Roman"/>
                <w:sz w:val="16"/>
                <w:szCs w:val="16"/>
                <w:lang w:val="sq-AL"/>
              </w:rPr>
            </w:pPr>
            <w:r>
              <w:rPr>
                <w:rFonts w:cs="Times New Roman"/>
                <w:sz w:val="16"/>
                <w:szCs w:val="16"/>
                <w:lang w:val="sq-AL"/>
              </w:rPr>
              <w:t>15 600 lekë+ 23 përqind të shumës mbi 150 000 lekë</w:t>
            </w:r>
          </w:p>
        </w:tc>
      </w:tr>
    </w:tbl>
    <w:p w:rsidR="00BF1404" w:rsidRDefault="00BF1404"/>
    <w:sectPr w:rsidR="00BF1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96C"/>
    <w:rsid w:val="0073096C"/>
    <w:rsid w:val="00BF1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A4630-929E-4067-AD87-DA7D4011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96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73096C"/>
    <w:rPr>
      <w:rFonts w:ascii="Garamond" w:eastAsia="MS Mincho" w:hAnsi="Garamond" w:cs="CG Times"/>
      <w:sz w:val="24"/>
    </w:rPr>
  </w:style>
  <w:style w:type="paragraph" w:customStyle="1" w:styleId="Paragrafi">
    <w:name w:val="Paragrafi"/>
    <w:link w:val="ParagrafiChar"/>
    <w:qFormat/>
    <w:rsid w:val="0073096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73096C"/>
    <w:rPr>
      <w:rFonts w:ascii="Garamond" w:eastAsia="MS Mincho" w:hAnsi="Garamond" w:cs="CG Times"/>
      <w:sz w:val="24"/>
      <w:lang w:val="en-GB"/>
    </w:rPr>
  </w:style>
  <w:style w:type="paragraph" w:customStyle="1" w:styleId="NeniNr">
    <w:name w:val="Neni_Nr"/>
    <w:next w:val="Normal"/>
    <w:link w:val="NeniNrChar"/>
    <w:rsid w:val="0073096C"/>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73096C"/>
    <w:rPr>
      <w:rFonts w:ascii="Garamond" w:eastAsia="MS Mincho" w:hAnsi="Garamond" w:cs="CG Times"/>
      <w:b/>
      <w:bCs/>
      <w:sz w:val="24"/>
      <w:lang w:val="en-GB"/>
    </w:rPr>
  </w:style>
  <w:style w:type="paragraph" w:customStyle="1" w:styleId="NeniTitull">
    <w:name w:val="Neni_Titull"/>
    <w:next w:val="Normal"/>
    <w:link w:val="NeniTitullChar"/>
    <w:rsid w:val="0073096C"/>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73096C"/>
    <w:rPr>
      <w:sz w:val="14"/>
      <w:szCs w:val="24"/>
    </w:rPr>
  </w:style>
  <w:style w:type="character" w:customStyle="1" w:styleId="grame">
    <w:name w:val="grame"/>
    <w:rsid w:val="0073096C"/>
    <w:rPr>
      <w:rFonts w:ascii="Times New Roman" w:hAnsi="Times New Roman" w:cs="Times New Roman" w:hint="default"/>
    </w:rPr>
  </w:style>
  <w:style w:type="table" w:styleId="TableGrid">
    <w:name w:val="Table Grid"/>
    <w:basedOn w:val="TableNormal"/>
    <w:uiPriority w:val="59"/>
    <w:rsid w:val="0073096C"/>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13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1169</Words>
  <Characters>6665</Characters>
  <Application>Microsoft Office Word</Application>
  <DocSecurity>0</DocSecurity>
  <Lines>55</Lines>
  <Paragraphs>15</Paragraphs>
  <ScaleCrop>false</ScaleCrop>
  <Company/>
  <LinksUpToDate>false</LinksUpToDate>
  <CharactersWithSpaces>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2018-12-24T11:45:00Z</dcterms:created>
  <dcterms:modified xsi:type="dcterms:W3CDTF">2018-12-24T11:47:00Z</dcterms:modified>
</cp:coreProperties>
</file>