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318" w:rsidRDefault="00F60318" w:rsidP="00F60318">
      <w:pPr>
        <w:pStyle w:val="NeniTitull"/>
        <w:rPr>
          <w:lang w:val="sq-AL"/>
        </w:rPr>
      </w:pPr>
      <w:r>
        <w:rPr>
          <w:lang w:val="sq-AL"/>
        </w:rPr>
        <w:t>LIGJ</w:t>
      </w:r>
    </w:p>
    <w:p w:rsidR="00F60318" w:rsidRDefault="00F60318" w:rsidP="00F60318">
      <w:pPr>
        <w:pStyle w:val="NeniTitull"/>
        <w:rPr>
          <w:lang w:val="sq-AL"/>
        </w:rPr>
      </w:pPr>
      <w:r>
        <w:rPr>
          <w:lang w:val="sq-AL"/>
        </w:rPr>
        <w:t xml:space="preserve">Nr. </w:t>
      </w:r>
      <w:bookmarkStart w:id="0" w:name="_GoBack"/>
      <w:r>
        <w:rPr>
          <w:lang w:val="sq-AL"/>
        </w:rPr>
        <w:t xml:space="preserve">95/2018 </w:t>
      </w:r>
      <w:bookmarkEnd w:id="0"/>
    </w:p>
    <w:p w:rsidR="00F60318" w:rsidRDefault="00F60318" w:rsidP="00F60318">
      <w:pPr>
        <w:pStyle w:val="NeniTitull"/>
        <w:rPr>
          <w:caps/>
          <w:sz w:val="14"/>
          <w:lang w:val="sq-AL"/>
        </w:rPr>
      </w:pPr>
    </w:p>
    <w:p w:rsidR="00F60318" w:rsidRDefault="00F60318" w:rsidP="00F60318">
      <w:pPr>
        <w:pStyle w:val="NeniTitull"/>
        <w:rPr>
          <w:caps/>
          <w:lang w:val="sq-AL"/>
        </w:rPr>
      </w:pPr>
      <w:r>
        <w:rPr>
          <w:caps/>
          <w:lang w:val="sq-AL"/>
        </w:rPr>
        <w:t xml:space="preserve">PËR </w:t>
      </w:r>
      <w:r>
        <w:rPr>
          <w:lang w:val="sq-AL"/>
        </w:rPr>
        <w:t>DISA NDRYSHIME DHE SHTESA NË LIGJIN NR. 9632, DATË 30.10.2006, “PËR SISTEMIN E TAKSAVE VENDORE”, TË NDRYSHUAR</w:t>
      </w:r>
    </w:p>
    <w:p w:rsidR="00F60318" w:rsidRDefault="00F60318" w:rsidP="00F60318">
      <w:pPr>
        <w:pStyle w:val="NeniTitull"/>
        <w:rPr>
          <w:rFonts w:cs="Times New Roman"/>
          <w:sz w:val="14"/>
          <w:szCs w:val="24"/>
          <w:lang w:val="sq-AL"/>
        </w:rPr>
      </w:pPr>
    </w:p>
    <w:p w:rsidR="00F60318" w:rsidRDefault="00F60318" w:rsidP="00F60318">
      <w:pPr>
        <w:pStyle w:val="Paragrafi"/>
        <w:rPr>
          <w:lang w:val="sq-AL"/>
        </w:rPr>
      </w:pPr>
      <w:r>
        <w:rPr>
          <w:lang w:val="sq-AL"/>
        </w:rPr>
        <w:t xml:space="preserve">Në mbështetje të neneve 78, 83, pika 1, 113, pika 1, shkronja “ç”, 155 e 157, pika 3, të Kushtetutës, me propozimin e Këshillit të Ministrave, </w:t>
      </w:r>
    </w:p>
    <w:p w:rsidR="00F60318" w:rsidRDefault="00F60318" w:rsidP="00F60318">
      <w:pPr>
        <w:pStyle w:val="Paragrafi"/>
        <w:rPr>
          <w:sz w:val="14"/>
          <w:lang w:val="sq-AL"/>
        </w:rPr>
      </w:pPr>
    </w:p>
    <w:p w:rsidR="00F60318" w:rsidRDefault="00F60318" w:rsidP="00F60318">
      <w:pPr>
        <w:pStyle w:val="NeniNr"/>
        <w:rPr>
          <w:rFonts w:cs="Times New Roman"/>
          <w:lang w:val="sq-AL"/>
        </w:rPr>
      </w:pPr>
      <w:r>
        <w:rPr>
          <w:lang w:val="sq-AL"/>
        </w:rPr>
        <w:t>KUVEND</w:t>
      </w:r>
      <w:r>
        <w:rPr>
          <w:rFonts w:cs="Times New Roman"/>
          <w:lang w:val="sq-AL"/>
        </w:rPr>
        <w:t>I</w:t>
      </w:r>
    </w:p>
    <w:p w:rsidR="00F60318" w:rsidRDefault="00F60318" w:rsidP="00F60318">
      <w:pPr>
        <w:pStyle w:val="NeniNr"/>
        <w:rPr>
          <w:rFonts w:cs="Times New Roman"/>
          <w:lang w:val="sq-AL"/>
        </w:rPr>
      </w:pPr>
      <w:r>
        <w:rPr>
          <w:rFonts w:cs="Times New Roman"/>
          <w:lang w:val="sq-AL"/>
        </w:rPr>
        <w:t>I</w:t>
      </w:r>
      <w:r>
        <w:rPr>
          <w:rFonts w:cs="Times New Roman"/>
          <w:b/>
          <w:lang w:val="sq-AL"/>
        </w:rPr>
        <w:t xml:space="preserve"> </w:t>
      </w:r>
      <w:r>
        <w:rPr>
          <w:rFonts w:cs="Times New Roman"/>
          <w:lang w:val="sq-AL"/>
        </w:rPr>
        <w:t>REPUBLIKËS SË SHQIPËRISË</w:t>
      </w:r>
    </w:p>
    <w:p w:rsidR="00F60318" w:rsidRDefault="00F60318" w:rsidP="00F60318">
      <w:pPr>
        <w:pStyle w:val="NeniNr"/>
        <w:rPr>
          <w:rFonts w:cs="Times New Roman"/>
          <w:b/>
          <w:sz w:val="14"/>
          <w:lang w:val="sq-AL"/>
        </w:rPr>
      </w:pPr>
    </w:p>
    <w:p w:rsidR="00F60318" w:rsidRDefault="00F60318" w:rsidP="00F60318">
      <w:pPr>
        <w:pStyle w:val="NeniNr"/>
        <w:rPr>
          <w:rFonts w:cs="Times New Roman"/>
          <w:lang w:val="sq-AL"/>
        </w:rPr>
      </w:pPr>
      <w:r>
        <w:rPr>
          <w:lang w:val="sq-AL"/>
        </w:rPr>
        <w:t>VENDOS</w:t>
      </w:r>
      <w:r>
        <w:rPr>
          <w:rFonts w:cs="Times New Roman"/>
          <w:lang w:val="sq-AL"/>
        </w:rPr>
        <w:t>I:</w:t>
      </w:r>
    </w:p>
    <w:p w:rsidR="00F60318" w:rsidRDefault="00F60318" w:rsidP="00F60318">
      <w:pPr>
        <w:pStyle w:val="Paragrafi"/>
        <w:rPr>
          <w:sz w:val="14"/>
          <w:lang w:val="sq-AL"/>
        </w:rPr>
      </w:pPr>
    </w:p>
    <w:p w:rsidR="00F60318" w:rsidRDefault="00F60318" w:rsidP="00F60318">
      <w:pPr>
        <w:pStyle w:val="Paragrafi"/>
        <w:rPr>
          <w:rFonts w:eastAsia="Batang"/>
          <w:lang w:val="sq-AL"/>
        </w:rPr>
      </w:pPr>
      <w:r>
        <w:rPr>
          <w:rFonts w:eastAsia="Batang"/>
          <w:lang w:val="sq-AL"/>
        </w:rPr>
        <w:t xml:space="preserve">Në </w:t>
      </w:r>
      <w:r>
        <w:rPr>
          <w:bCs/>
          <w:color w:val="000000"/>
          <w:lang w:val="sq-AL"/>
        </w:rPr>
        <w:t>ligjin nr. 9632, datë 30.10.2006, “Për sistemin e taksave vendore”,</w:t>
      </w:r>
      <w:r>
        <w:rPr>
          <w:color w:val="000000"/>
          <w:lang w:val="sq-AL"/>
        </w:rPr>
        <w:t xml:space="preserve"> të</w:t>
      </w:r>
      <w:r>
        <w:rPr>
          <w:bCs/>
          <w:color w:val="000000"/>
          <w:lang w:val="sq-AL"/>
        </w:rPr>
        <w:t xml:space="preserve"> ndryshuar,</w:t>
      </w:r>
      <w:r>
        <w:rPr>
          <w:rFonts w:eastAsia="Batang"/>
          <w:lang w:val="sq-AL"/>
        </w:rPr>
        <w:t xml:space="preserve"> bëhen këto ndryshime dhe shtesa:</w:t>
      </w:r>
    </w:p>
    <w:p w:rsidR="00F60318" w:rsidRDefault="00F60318" w:rsidP="00F60318">
      <w:pPr>
        <w:pStyle w:val="Paragrafi"/>
        <w:rPr>
          <w:b/>
          <w:sz w:val="14"/>
          <w:lang w:val="sq-AL"/>
        </w:rPr>
      </w:pPr>
    </w:p>
    <w:p w:rsidR="00F60318" w:rsidRDefault="00F60318" w:rsidP="00F60318">
      <w:pPr>
        <w:pStyle w:val="NeniNr"/>
        <w:rPr>
          <w:lang w:val="sq-AL"/>
        </w:rPr>
      </w:pPr>
      <w:r>
        <w:rPr>
          <w:lang w:val="sq-AL"/>
        </w:rPr>
        <w:t>Neni 1</w:t>
      </w:r>
    </w:p>
    <w:p w:rsidR="00F60318" w:rsidRDefault="00F60318" w:rsidP="00F60318">
      <w:pPr>
        <w:pStyle w:val="Paragrafi"/>
        <w:rPr>
          <w:lang w:val="sq-AL"/>
        </w:rPr>
      </w:pPr>
    </w:p>
    <w:p w:rsidR="00F60318" w:rsidRDefault="00F60318" w:rsidP="00F60318">
      <w:pPr>
        <w:pStyle w:val="Paragrafi"/>
        <w:rPr>
          <w:rFonts w:eastAsiaTheme="minorHAnsi"/>
          <w:bCs/>
          <w:lang w:val="sq-AL"/>
        </w:rPr>
      </w:pPr>
      <w:r>
        <w:rPr>
          <w:lang w:val="sq-AL"/>
        </w:rPr>
        <w:t xml:space="preserve">Në nenin 3, “Përkufizime”, pika 5 </w:t>
      </w:r>
      <w:r>
        <w:rPr>
          <w:rFonts w:eastAsiaTheme="minorHAnsi"/>
          <w:bCs/>
          <w:lang w:val="sq-AL"/>
        </w:rPr>
        <w:t>ndryshohet si më poshtë:</w:t>
      </w:r>
    </w:p>
    <w:p w:rsidR="00F60318" w:rsidRDefault="00F60318" w:rsidP="00F60318">
      <w:pPr>
        <w:pStyle w:val="Paragrafi"/>
        <w:rPr>
          <w:lang w:val="sq-AL"/>
        </w:rPr>
      </w:pPr>
      <w:r>
        <w:rPr>
          <w:lang w:val="sq-AL"/>
        </w:rPr>
        <w:t>“5. “Niveli tregues i taksës” janë nivelet e taksave të parashikuara sipas këtij ligji, si dhe në anekset bashkëlidhur ligjit.”.</w:t>
      </w:r>
    </w:p>
    <w:p w:rsidR="00F60318" w:rsidRDefault="00F60318" w:rsidP="00F60318">
      <w:pPr>
        <w:pStyle w:val="Paragrafi"/>
        <w:rPr>
          <w:sz w:val="14"/>
          <w:lang w:val="sq-AL"/>
        </w:rPr>
      </w:pPr>
    </w:p>
    <w:p w:rsidR="00F60318" w:rsidRDefault="00F60318" w:rsidP="00F60318">
      <w:pPr>
        <w:pStyle w:val="NeniNr"/>
        <w:rPr>
          <w:lang w:val="sq-AL"/>
        </w:rPr>
      </w:pPr>
      <w:r>
        <w:rPr>
          <w:lang w:val="sq-AL"/>
        </w:rPr>
        <w:t>Neni 2</w:t>
      </w:r>
    </w:p>
    <w:p w:rsidR="00F60318" w:rsidRDefault="00F60318" w:rsidP="00F60318">
      <w:pPr>
        <w:pStyle w:val="Paragrafi"/>
        <w:rPr>
          <w:sz w:val="14"/>
          <w:lang w:val="sq-AL"/>
        </w:rPr>
      </w:pPr>
    </w:p>
    <w:p w:rsidR="00F60318" w:rsidRDefault="00F60318" w:rsidP="00F60318">
      <w:pPr>
        <w:pStyle w:val="Paragrafi"/>
        <w:rPr>
          <w:lang w:val="sq-AL"/>
        </w:rPr>
      </w:pPr>
      <w:r>
        <w:rPr>
          <w:lang w:val="sq-AL"/>
        </w:rPr>
        <w:t>Në nenin 5, “Rregulla të përbashkëta për taksat vendore”, në fjalinë e parë, fjala “këshilli i bashkisë:” zëvendësohet me fjalët “bashkia, nëpërmjet këshillit bashkiak:”.</w:t>
      </w:r>
    </w:p>
    <w:p w:rsidR="00F60318" w:rsidRPr="00F60318" w:rsidRDefault="00F60318" w:rsidP="00F60318">
      <w:pPr>
        <w:pStyle w:val="Paragrafi"/>
        <w:rPr>
          <w:sz w:val="14"/>
          <w:lang w:val="sq-AL"/>
        </w:rPr>
      </w:pPr>
    </w:p>
    <w:p w:rsidR="00F60318" w:rsidRDefault="00F60318" w:rsidP="00F60318">
      <w:pPr>
        <w:pStyle w:val="NeniNr"/>
        <w:rPr>
          <w:lang w:val="sq-AL"/>
        </w:rPr>
      </w:pPr>
      <w:r>
        <w:rPr>
          <w:lang w:val="sq-AL"/>
        </w:rPr>
        <w:t>Neni 3</w:t>
      </w:r>
    </w:p>
    <w:p w:rsidR="00F60318" w:rsidRDefault="00F60318" w:rsidP="00F60318">
      <w:pPr>
        <w:pStyle w:val="Paragrafi"/>
        <w:rPr>
          <w:sz w:val="14"/>
          <w:lang w:val="sq-AL"/>
        </w:rPr>
      </w:pPr>
    </w:p>
    <w:p w:rsidR="00F60318" w:rsidRDefault="00F60318" w:rsidP="00F60318">
      <w:pPr>
        <w:pStyle w:val="Paragrafi"/>
        <w:rPr>
          <w:lang w:val="sq-AL"/>
        </w:rPr>
      </w:pPr>
      <w:r>
        <w:rPr>
          <w:lang w:val="sq-AL"/>
        </w:rPr>
        <w:t>Në nenin 21, “</w:t>
      </w:r>
      <w:r>
        <w:rPr>
          <w:rFonts w:eastAsia="Arial"/>
          <w:lang w:val="sq-AL"/>
        </w:rPr>
        <w:t>Rregulla të përbashkëta të taksës mbi pasurinë e paluajtshme”, bëhen këto ndryshime:</w:t>
      </w:r>
    </w:p>
    <w:p w:rsidR="00F60318" w:rsidRDefault="00F60318" w:rsidP="00F60318">
      <w:pPr>
        <w:pStyle w:val="Paragrafi"/>
        <w:rPr>
          <w:lang w:val="sq-AL"/>
        </w:rPr>
      </w:pPr>
      <w:r>
        <w:rPr>
          <w:lang w:val="sq-AL"/>
        </w:rPr>
        <w:t>1. Në pikën 2.1, fjalët “, në anekset 2 dhe 2.1,” zëvendësohen me fjalët “, në anekset 1 dhe 2,”.</w:t>
      </w:r>
    </w:p>
    <w:p w:rsidR="00F60318" w:rsidRDefault="00F60318" w:rsidP="00F60318">
      <w:pPr>
        <w:pStyle w:val="Paragrafi"/>
        <w:rPr>
          <w:lang w:val="sq-AL"/>
        </w:rPr>
      </w:pPr>
      <w:r>
        <w:rPr>
          <w:lang w:val="sq-AL"/>
        </w:rPr>
        <w:t>2. Në pikën 3, fjalët “të parashikuar në aneksin 2,” zëvendësohen me fjalёt “të parashikuar në aneksin 1,”.</w:t>
      </w:r>
    </w:p>
    <w:p w:rsidR="00F60318" w:rsidRDefault="00F60318" w:rsidP="00F60318">
      <w:pPr>
        <w:pStyle w:val="Paragrafi"/>
        <w:rPr>
          <w:sz w:val="14"/>
          <w:lang w:val="sq-AL"/>
        </w:rPr>
      </w:pPr>
    </w:p>
    <w:p w:rsidR="00F60318" w:rsidRDefault="00F60318" w:rsidP="00F60318">
      <w:pPr>
        <w:pStyle w:val="NeniNr"/>
        <w:rPr>
          <w:lang w:val="sq-AL"/>
        </w:rPr>
      </w:pPr>
      <w:r>
        <w:rPr>
          <w:lang w:val="sq-AL"/>
        </w:rPr>
        <w:t>Neni 4</w:t>
      </w:r>
    </w:p>
    <w:p w:rsidR="00F60318" w:rsidRDefault="00F60318" w:rsidP="00F60318">
      <w:pPr>
        <w:pStyle w:val="Paragrafi"/>
        <w:rPr>
          <w:sz w:val="14"/>
          <w:lang w:val="sq-AL"/>
        </w:rPr>
      </w:pPr>
    </w:p>
    <w:p w:rsidR="00F60318" w:rsidRDefault="00F60318" w:rsidP="00F60318">
      <w:pPr>
        <w:pStyle w:val="Paragrafi"/>
        <w:rPr>
          <w:lang w:val="sq-AL"/>
        </w:rPr>
      </w:pPr>
      <w:r>
        <w:rPr>
          <w:lang w:val="sq-AL"/>
        </w:rPr>
        <w:t>Në nenin 22, “Taksa mbi ndërtesat”, pika 6, bëhen këto ndryshime:</w:t>
      </w:r>
    </w:p>
    <w:p w:rsidR="00F60318" w:rsidRDefault="00F60318" w:rsidP="00F60318">
      <w:pPr>
        <w:pStyle w:val="Paragrafi"/>
        <w:rPr>
          <w:lang w:val="sq-AL"/>
        </w:rPr>
      </w:pPr>
      <w:r>
        <w:rPr>
          <w:lang w:val="sq-AL"/>
        </w:rPr>
        <w:t>1. Shkronja “ë” ndryshohet si më poshtë:</w:t>
      </w:r>
    </w:p>
    <w:p w:rsidR="00F60318" w:rsidRDefault="00F60318" w:rsidP="00F60318">
      <w:pPr>
        <w:pStyle w:val="Paragrafi"/>
        <w:rPr>
          <w:lang w:val="sq-AL"/>
        </w:rPr>
      </w:pPr>
      <w:r>
        <w:rPr>
          <w:lang w:val="sq-AL"/>
        </w:rPr>
        <w:t>“</w:t>
      </w:r>
      <w:r>
        <w:rPr>
          <w:rFonts w:eastAsia="Arial"/>
          <w:lang w:val="sq-AL"/>
        </w:rPr>
        <w:t xml:space="preserve">ë) </w:t>
      </w:r>
      <w:r>
        <w:rPr>
          <w:lang w:val="sq-AL"/>
        </w:rPr>
        <w:t>ndërtesat e banimit, të deklaruara si vendbanim nga kryefamiljarët që përfitojnë vetёm pension pleqërie/pension social, kur familja e tyre përbëhet vetёm nga pensionistë, ose dhe me persona në ngarkim të tyre, që janë të paaftë për punë;”.</w:t>
      </w:r>
    </w:p>
    <w:p w:rsidR="00F60318" w:rsidRDefault="00F60318" w:rsidP="00F60318">
      <w:pPr>
        <w:pStyle w:val="Paragrafi"/>
        <w:rPr>
          <w:lang w:val="sq-AL"/>
        </w:rPr>
      </w:pPr>
      <w:r>
        <w:rPr>
          <w:lang w:val="sq-AL"/>
        </w:rPr>
        <w:t xml:space="preserve">2. Në shkronjën “g”, në fund të fjalisë shtohen fjalët “, </w:t>
      </w:r>
      <w:r>
        <w:rPr>
          <w:rFonts w:eastAsia="Arial"/>
          <w:lang w:val="sq-AL"/>
        </w:rPr>
        <w:t>të cilat përdoren vetëm për qëllime jofitimprurëse</w:t>
      </w:r>
      <w:r>
        <w:rPr>
          <w:lang w:val="sq-AL"/>
        </w:rPr>
        <w:t>”.</w:t>
      </w:r>
    </w:p>
    <w:p w:rsidR="00F60318" w:rsidRDefault="00F60318" w:rsidP="00F60318">
      <w:pPr>
        <w:pStyle w:val="Paragrafi"/>
        <w:rPr>
          <w:sz w:val="14"/>
          <w:lang w:val="sq-AL"/>
        </w:rPr>
      </w:pPr>
    </w:p>
    <w:p w:rsidR="00F60318" w:rsidRDefault="00F60318" w:rsidP="00F60318">
      <w:pPr>
        <w:pStyle w:val="NeniNr"/>
        <w:rPr>
          <w:lang w:val="sq-AL"/>
        </w:rPr>
      </w:pPr>
      <w:r>
        <w:rPr>
          <w:lang w:val="sq-AL"/>
        </w:rPr>
        <w:t>Neni 5</w:t>
      </w:r>
    </w:p>
    <w:p w:rsidR="00F60318" w:rsidRDefault="00F60318" w:rsidP="00F60318">
      <w:pPr>
        <w:pStyle w:val="Paragrafi"/>
        <w:rPr>
          <w:sz w:val="14"/>
          <w:lang w:val="sq-AL"/>
        </w:rPr>
      </w:pPr>
    </w:p>
    <w:p w:rsidR="00F60318" w:rsidRDefault="00F60318" w:rsidP="00F60318">
      <w:pPr>
        <w:pStyle w:val="Paragrafi"/>
        <w:rPr>
          <w:lang w:val="sq-AL"/>
        </w:rPr>
      </w:pPr>
      <w:r>
        <w:rPr>
          <w:lang w:val="sq-AL"/>
        </w:rPr>
        <w:t>Nё nenin 22/4, “</w:t>
      </w:r>
      <w:r>
        <w:rPr>
          <w:bCs/>
          <w:lang w:val="sq-AL"/>
        </w:rPr>
        <w:t>Përgjegjësitë e Drejtorisë së Përgjithshme të Taksës së Pasurisë”,</w:t>
      </w:r>
      <w:r>
        <w:rPr>
          <w:lang w:val="sq-AL"/>
        </w:rPr>
        <w:t xml:space="preserve"> shkronja “c” ndryshohet si më poshtë:</w:t>
      </w:r>
    </w:p>
    <w:p w:rsidR="00F60318" w:rsidRDefault="00F60318" w:rsidP="00F60318">
      <w:pPr>
        <w:pStyle w:val="Paragrafi"/>
        <w:rPr>
          <w:lang w:val="sq-AL"/>
        </w:rPr>
      </w:pPr>
      <w:r>
        <w:rPr>
          <w:lang w:val="sq-AL"/>
        </w:rPr>
        <w:t>“c) v</w:t>
      </w:r>
      <w:r>
        <w:rPr>
          <w:rFonts w:eastAsia="Arial"/>
          <w:lang w:val="sq-AL"/>
        </w:rPr>
        <w:t>lerëson vlerën e pasurisë së paluajtshme për ndërtesat me metodat e përcaktuara me vendim të Këshillit të Ministrave, si dhe detyrimin për taksën e pasurisë ndërtesë.”.</w:t>
      </w:r>
    </w:p>
    <w:p w:rsidR="00F60318" w:rsidRDefault="00F60318" w:rsidP="00F60318">
      <w:pPr>
        <w:pStyle w:val="Paragrafi"/>
        <w:rPr>
          <w:lang w:val="sq-AL"/>
        </w:rPr>
      </w:pPr>
    </w:p>
    <w:p w:rsidR="00F60318" w:rsidRDefault="00F60318" w:rsidP="00F60318">
      <w:pPr>
        <w:pStyle w:val="NeniNr"/>
        <w:rPr>
          <w:lang w:val="sq-AL"/>
        </w:rPr>
      </w:pPr>
      <w:r>
        <w:rPr>
          <w:lang w:val="sq-AL"/>
        </w:rPr>
        <w:t>Neni 6</w:t>
      </w:r>
    </w:p>
    <w:p w:rsidR="00F60318" w:rsidRDefault="00F60318" w:rsidP="00F60318">
      <w:pPr>
        <w:pStyle w:val="Paragrafi"/>
        <w:rPr>
          <w:lang w:val="sq-AL"/>
        </w:rPr>
      </w:pPr>
    </w:p>
    <w:p w:rsidR="00F60318" w:rsidRDefault="00F60318" w:rsidP="00F60318">
      <w:pPr>
        <w:pStyle w:val="Paragrafi"/>
        <w:rPr>
          <w:lang w:val="sq-AL"/>
        </w:rPr>
      </w:pPr>
      <w:r>
        <w:rPr>
          <w:lang w:val="sq-AL"/>
        </w:rPr>
        <w:t>Në nenin 23, “Taksa mbi tokën bujqësore”, pikat 1 e 2, fjalët “në aneksin 2,” zëvendësohen me fjalët “në aneksin 1,”.</w:t>
      </w:r>
    </w:p>
    <w:p w:rsidR="00F60318" w:rsidRDefault="00F60318" w:rsidP="00F60318">
      <w:pPr>
        <w:pStyle w:val="Paragrafi"/>
        <w:rPr>
          <w:b/>
          <w:sz w:val="14"/>
          <w:lang w:val="sq-AL"/>
        </w:rPr>
      </w:pPr>
    </w:p>
    <w:p w:rsidR="00F60318" w:rsidRDefault="00F60318" w:rsidP="00F60318">
      <w:pPr>
        <w:pStyle w:val="NeniNr"/>
        <w:rPr>
          <w:lang w:val="sq-AL"/>
        </w:rPr>
      </w:pPr>
      <w:r>
        <w:rPr>
          <w:lang w:val="sq-AL"/>
        </w:rPr>
        <w:t>Neni 7</w:t>
      </w:r>
    </w:p>
    <w:p w:rsidR="00F60318" w:rsidRDefault="00F60318" w:rsidP="00F60318">
      <w:pPr>
        <w:pStyle w:val="Paragrafi"/>
        <w:rPr>
          <w:sz w:val="14"/>
          <w:lang w:val="sq-AL"/>
        </w:rPr>
      </w:pPr>
    </w:p>
    <w:p w:rsidR="00F60318" w:rsidRDefault="00F60318" w:rsidP="00F60318">
      <w:pPr>
        <w:pStyle w:val="Paragrafi"/>
        <w:rPr>
          <w:lang w:val="sq-AL"/>
        </w:rPr>
      </w:pPr>
      <w:r>
        <w:rPr>
          <w:lang w:val="sq-AL"/>
        </w:rPr>
        <w:t>Në nenin 23/1, “Taksa mbi truallin”, pikat 1 e 2, fjalët “në aneksin 2.1,” zëvendësohen me fjalët “në aneksin 2,”.</w:t>
      </w:r>
    </w:p>
    <w:p w:rsidR="00F60318" w:rsidRDefault="00F60318" w:rsidP="00F60318">
      <w:pPr>
        <w:pStyle w:val="Paragrafi"/>
        <w:rPr>
          <w:sz w:val="14"/>
          <w:lang w:val="sq-AL"/>
        </w:rPr>
      </w:pPr>
    </w:p>
    <w:p w:rsidR="00F60318" w:rsidRDefault="00F60318" w:rsidP="00F60318">
      <w:pPr>
        <w:pStyle w:val="Paragrafi"/>
        <w:rPr>
          <w:sz w:val="14"/>
          <w:lang w:val="sq-AL"/>
        </w:rPr>
      </w:pPr>
    </w:p>
    <w:p w:rsidR="00F60318" w:rsidRDefault="00F60318" w:rsidP="00F60318">
      <w:pPr>
        <w:pStyle w:val="NeniNr"/>
        <w:rPr>
          <w:lang w:val="sq-AL"/>
        </w:rPr>
      </w:pPr>
      <w:r>
        <w:rPr>
          <w:lang w:val="sq-AL"/>
        </w:rPr>
        <w:lastRenderedPageBreak/>
        <w:t>Neni 8</w:t>
      </w:r>
    </w:p>
    <w:p w:rsidR="00F60318" w:rsidRDefault="00F60318" w:rsidP="00F60318">
      <w:pPr>
        <w:pStyle w:val="Paragrafi"/>
        <w:rPr>
          <w:sz w:val="14"/>
          <w:lang w:val="sq-AL"/>
        </w:rPr>
      </w:pPr>
    </w:p>
    <w:p w:rsidR="00F60318" w:rsidRDefault="00F60318" w:rsidP="00F60318">
      <w:pPr>
        <w:pStyle w:val="Paragrafi"/>
        <w:rPr>
          <w:rFonts w:eastAsia="Arial"/>
          <w:bCs/>
          <w:lang w:val="sq-AL"/>
        </w:rPr>
      </w:pPr>
      <w:r>
        <w:rPr>
          <w:lang w:val="sq-AL"/>
        </w:rPr>
        <w:t>Në nenin 24, “</w:t>
      </w:r>
      <w:r>
        <w:rPr>
          <w:rFonts w:eastAsia="Arial"/>
          <w:bCs/>
          <w:lang w:val="sq-AL"/>
        </w:rPr>
        <w:t>Vërtetimi i pronësisë për efekt të detyrimit për pagimin e taksave”, në fjalinë e tretë, fjala “bashkitë” zëvendësohet me fjalët “bashkitë dhe Drejtorinë e Përgjithshme të Taksës së Pasurisë”.</w:t>
      </w:r>
    </w:p>
    <w:p w:rsidR="00F60318" w:rsidRDefault="00F60318" w:rsidP="00F60318">
      <w:pPr>
        <w:pStyle w:val="Paragrafi"/>
        <w:rPr>
          <w:sz w:val="14"/>
          <w:lang w:val="sq-AL"/>
        </w:rPr>
      </w:pPr>
    </w:p>
    <w:p w:rsidR="00F60318" w:rsidRDefault="00F60318" w:rsidP="00F60318">
      <w:pPr>
        <w:pStyle w:val="NeniNr"/>
        <w:rPr>
          <w:lang w:val="sq-AL"/>
        </w:rPr>
      </w:pPr>
      <w:r>
        <w:rPr>
          <w:lang w:val="sq-AL"/>
        </w:rPr>
        <w:t>Neni 9</w:t>
      </w:r>
    </w:p>
    <w:p w:rsidR="00F60318" w:rsidRDefault="00F60318" w:rsidP="00F60318">
      <w:pPr>
        <w:spacing w:after="0" w:line="240" w:lineRule="auto"/>
        <w:ind w:firstLine="0"/>
        <w:rPr>
          <w:rFonts w:ascii="Garamond" w:hAnsi="Garamond"/>
          <w:sz w:val="14"/>
          <w:szCs w:val="24"/>
          <w:lang w:val="sq-AL"/>
        </w:rPr>
      </w:pPr>
    </w:p>
    <w:p w:rsidR="00F60318" w:rsidRDefault="00F60318" w:rsidP="00F60318">
      <w:pPr>
        <w:pStyle w:val="Paragrafi"/>
        <w:rPr>
          <w:lang w:val="sq-AL"/>
        </w:rPr>
      </w:pPr>
      <w:r>
        <w:rPr>
          <w:lang w:val="sq-AL"/>
        </w:rPr>
        <w:t>Në nenin 27, “Taksa e ndikimit në infrastrukturë”, bëhen ndryshimet si më poshtë:</w:t>
      </w:r>
    </w:p>
    <w:p w:rsidR="00F60318" w:rsidRDefault="00F60318" w:rsidP="00F60318">
      <w:pPr>
        <w:pStyle w:val="Paragrafi"/>
        <w:rPr>
          <w:lang w:val="sq-AL"/>
        </w:rPr>
      </w:pPr>
      <w:r>
        <w:rPr>
          <w:lang w:val="sq-AL"/>
        </w:rPr>
        <w:t>1. Në pikёn 1, nё fjalinë e parë, pas fjalëve “e investimit të ri që kërkohet të kryhet” shtohen fjalët “, sipas preventivit,”.</w:t>
      </w:r>
    </w:p>
    <w:p w:rsidR="00F60318" w:rsidRDefault="00F60318" w:rsidP="00F60318">
      <w:pPr>
        <w:pStyle w:val="Paragrafi"/>
        <w:rPr>
          <w:rFonts w:eastAsiaTheme="minorHAnsi"/>
          <w:bCs/>
          <w:lang w:val="sq-AL"/>
        </w:rPr>
      </w:pPr>
      <w:r>
        <w:rPr>
          <w:lang w:val="sq-AL"/>
        </w:rPr>
        <w:t xml:space="preserve">2. Pika 2 ndryshohet si </w:t>
      </w:r>
      <w:r>
        <w:rPr>
          <w:rFonts w:eastAsiaTheme="minorHAnsi"/>
          <w:bCs/>
          <w:lang w:val="sq-AL"/>
        </w:rPr>
        <w:t>më poshtë:</w:t>
      </w:r>
    </w:p>
    <w:p w:rsidR="00F60318" w:rsidRDefault="00F60318" w:rsidP="00F60318">
      <w:pPr>
        <w:pStyle w:val="Paragrafi"/>
        <w:rPr>
          <w:lang w:val="sq-AL"/>
        </w:rPr>
      </w:pPr>
      <w:r>
        <w:rPr>
          <w:lang w:val="sq-AL"/>
        </w:rPr>
        <w:t xml:space="preserve">“2. Në rastin e ndërtimeve të destinuara për qëllime banimi apo për njësi tregtimi dhe shërbimi, të cilat kryhen nga shoqëri ndërtimi, shkalla e taksës së ndikimit në infrastrukturë është në masën 4 për qind deri në 8 për qind të çmimit të shitjes për metër katror. </w:t>
      </w:r>
    </w:p>
    <w:p w:rsidR="00F60318" w:rsidRDefault="00F60318" w:rsidP="00F60318">
      <w:pPr>
        <w:pStyle w:val="Paragrafi"/>
        <w:rPr>
          <w:lang w:val="sq-AL"/>
        </w:rPr>
      </w:pPr>
      <w:r>
        <w:rPr>
          <w:lang w:val="sq-AL"/>
        </w:rPr>
        <w:t>Në këtë kategori investimesh përfshihen edhe ndërtimet zëvendësuese për qëllime banimi, të kushtëzuara për t’u ndërtuar si shkak i zbatimit të një kontrate koncesionare, e cila prek banesat ekzistuese. Gjithashtu, në këtë kategori përfshihen edhe ndërtimet e destinuara për qendra tregtare apo të biznesit.</w:t>
      </w:r>
    </w:p>
    <w:p w:rsidR="00F60318" w:rsidRDefault="00F60318" w:rsidP="00F60318">
      <w:pPr>
        <w:pStyle w:val="Paragrafi"/>
        <w:rPr>
          <w:lang w:val="sq-AL"/>
        </w:rPr>
      </w:pPr>
      <w:r>
        <w:rPr>
          <w:lang w:val="sq-AL"/>
        </w:rPr>
        <w:t>Baza e taksës është vlera në lekë për metër katror e çmimit të shitjes së ndërtimeve për qëllime banimi apo të njësive të tregtimit dhe shërbimit. Çmimi i shitjes për metër katror bazohet në vlerën referuese të vlerës së tregut, sipas përcaktimeve të nxjerra me akt të Këshillit të Ministrave.”.</w:t>
      </w:r>
    </w:p>
    <w:p w:rsidR="00F60318" w:rsidRDefault="00F60318" w:rsidP="00F60318">
      <w:pPr>
        <w:pStyle w:val="Paragrafi"/>
        <w:rPr>
          <w:lang w:val="sq-AL"/>
        </w:rPr>
      </w:pPr>
      <w:r>
        <w:rPr>
          <w:lang w:val="sq-AL"/>
        </w:rPr>
        <w:t xml:space="preserve">3. Pika 3 ndryshohet si </w:t>
      </w:r>
      <w:r>
        <w:rPr>
          <w:rFonts w:eastAsiaTheme="minorHAnsi"/>
          <w:bCs/>
          <w:lang w:val="sq-AL"/>
        </w:rPr>
        <w:t>më poshtë</w:t>
      </w:r>
      <w:r>
        <w:rPr>
          <w:lang w:val="sq-AL"/>
        </w:rPr>
        <w:t>:</w:t>
      </w:r>
    </w:p>
    <w:p w:rsidR="00F60318" w:rsidRDefault="00F60318" w:rsidP="00F60318">
      <w:pPr>
        <w:pStyle w:val="Paragrafi"/>
        <w:rPr>
          <w:lang w:val="sq-AL"/>
        </w:rPr>
      </w:pPr>
      <w:r>
        <w:rPr>
          <w:lang w:val="sq-AL"/>
        </w:rPr>
        <w:t>“3. Në rastin e ndërtimeve, të ndryshme nga ato të përcaktuara në pikën 2, të këtij neni, niveli i taksës shprehet si përqindje e vlerës së investimit dhe:</w:t>
      </w:r>
    </w:p>
    <w:p w:rsidR="00F60318" w:rsidRDefault="00F60318" w:rsidP="00F60318">
      <w:pPr>
        <w:pStyle w:val="Paragrafi"/>
        <w:rPr>
          <w:lang w:val="sq-AL"/>
        </w:rPr>
      </w:pPr>
      <w:r>
        <w:rPr>
          <w:lang w:val="sq-AL"/>
        </w:rPr>
        <w:t>a) për ndërtime që destinohen për përdorim në sektorin e turizmit, të industrisë, të bujqësisë, të ndërtimeve individuale për qëllime të përdorimit vetjak nga individët, të ndërtuara nga vetë individi apo me sipërmarrës, si dhe të ndërtimeve për qëllime publike, taksa e ndikimit në infrastrukturë është 1 deri në 3 për qind e vlerës së investimit, ndërsa për Bashkinë e Tiranës është 2 deri në 4  për qind e saj;</w:t>
      </w:r>
    </w:p>
    <w:p w:rsidR="00F60318" w:rsidRDefault="00F60318" w:rsidP="00F60318">
      <w:pPr>
        <w:pStyle w:val="Paragrafi"/>
        <w:rPr>
          <w:lang w:val="sq-AL"/>
        </w:rPr>
      </w:pPr>
      <w:r>
        <w:rPr>
          <w:lang w:val="sq-AL"/>
        </w:rPr>
        <w:t>b) për projekte të infrastrukturës, për ndërtimin e rrugëve kombëtare, të porteve, të aeroporteve, të tuneleve, të digave, të ndërtimit të infrastrukturës në energji, përfshirë makineritë dhe pajisjet për këto projekte, taksa e ndikimit në infrastrukturë të ndërtimeve të reja është 0,1 për qind e vlerës së investimit, por jo më pak se kostoja e rehabilitimit të infrastrukturës së dëmtuar, kur kjo kosto nuk është përfshirë në preventivin e investimit;</w:t>
      </w:r>
    </w:p>
    <w:p w:rsidR="00F60318" w:rsidRDefault="00F60318" w:rsidP="00F60318">
      <w:pPr>
        <w:pStyle w:val="Paragrafi"/>
        <w:rPr>
          <w:lang w:val="sq-AL"/>
        </w:rPr>
      </w:pPr>
      <w:r>
        <w:rPr>
          <w:lang w:val="sq-AL"/>
        </w:rPr>
        <w:t>c) për ndërtesat, të cilat janë në proces legalizimi, taksa e ndikimit në infrastrukturë e ndërtimeve të reja është 0,5 për qind e vlerës së investimit. Leja e legalizimit lëshohet vetëm pasi të jetë vërtetuar pagesa e taksës nga taksapaguesi;</w:t>
      </w:r>
    </w:p>
    <w:p w:rsidR="00F60318" w:rsidRDefault="00F60318" w:rsidP="00F60318">
      <w:pPr>
        <w:pStyle w:val="Paragrafi"/>
        <w:rPr>
          <w:lang w:val="sq-AL"/>
        </w:rPr>
      </w:pPr>
      <w:r>
        <w:rPr>
          <w:lang w:val="sq-AL"/>
        </w:rPr>
        <w:t>d) pёr ndёrtesat, qё destinohen pёr qёllime banimi nё zonat malore, taksa e ndikimit nё infrastrukturё është 0 deri në 3 për qind e vlerës së investimit. Kёshilli bashkiak pёrcakton me vendim zonat malore pёr efekt tё zbatimit tё kёtij paragrafi.”.</w:t>
      </w:r>
    </w:p>
    <w:p w:rsidR="00F60318" w:rsidRDefault="00F60318" w:rsidP="00F60318">
      <w:pPr>
        <w:pStyle w:val="Paragrafi"/>
        <w:rPr>
          <w:sz w:val="14"/>
          <w:lang w:val="sq-AL"/>
        </w:rPr>
      </w:pPr>
    </w:p>
    <w:p w:rsidR="00F60318" w:rsidRDefault="00F60318" w:rsidP="00F60318">
      <w:pPr>
        <w:pStyle w:val="NeniNr"/>
        <w:rPr>
          <w:lang w:val="sq-AL"/>
        </w:rPr>
      </w:pPr>
      <w:r>
        <w:rPr>
          <w:lang w:val="sq-AL"/>
        </w:rPr>
        <w:t>Neni 10</w:t>
      </w:r>
    </w:p>
    <w:p w:rsidR="00F60318" w:rsidRDefault="00F60318" w:rsidP="00F60318">
      <w:pPr>
        <w:pStyle w:val="Paragrafi"/>
        <w:rPr>
          <w:sz w:val="14"/>
          <w:lang w:val="sq-AL"/>
        </w:rPr>
      </w:pPr>
    </w:p>
    <w:p w:rsidR="00F60318" w:rsidRDefault="00F60318" w:rsidP="00F60318">
      <w:pPr>
        <w:pStyle w:val="Paragrafi"/>
        <w:rPr>
          <w:lang w:val="sq-AL"/>
        </w:rPr>
      </w:pPr>
      <w:r>
        <w:rPr>
          <w:lang w:val="sq-AL"/>
        </w:rPr>
        <w:t xml:space="preserve">Neni 32, “Taksa të tjera”, </w:t>
      </w:r>
      <w:r>
        <w:rPr>
          <w:rFonts w:eastAsiaTheme="minorHAnsi"/>
          <w:bCs/>
          <w:lang w:val="sq-AL"/>
        </w:rPr>
        <w:t>ndryshohet në titull dhe në përmbajtje si më poshtë:</w:t>
      </w:r>
    </w:p>
    <w:p w:rsidR="00F60318" w:rsidRPr="00F60318" w:rsidRDefault="00F60318" w:rsidP="00F60318">
      <w:pPr>
        <w:spacing w:after="0" w:line="240" w:lineRule="auto"/>
        <w:ind w:firstLine="0"/>
        <w:rPr>
          <w:rFonts w:ascii="Garamond" w:hAnsi="Garamond"/>
          <w:sz w:val="14"/>
          <w:szCs w:val="24"/>
          <w:lang w:val="sq-AL"/>
        </w:rPr>
      </w:pPr>
    </w:p>
    <w:p w:rsidR="00F60318" w:rsidRDefault="00F60318" w:rsidP="00F60318">
      <w:pPr>
        <w:pStyle w:val="NeniNr"/>
        <w:rPr>
          <w:lang w:val="sq-AL"/>
        </w:rPr>
      </w:pPr>
      <w:r>
        <w:rPr>
          <w:lang w:val="sq-AL"/>
        </w:rPr>
        <w:t>“Neni 32</w:t>
      </w:r>
    </w:p>
    <w:p w:rsidR="00F60318" w:rsidRDefault="00F60318" w:rsidP="00F60318">
      <w:pPr>
        <w:pStyle w:val="NeniNr"/>
        <w:rPr>
          <w:b/>
          <w:lang w:val="sq-AL"/>
        </w:rPr>
      </w:pPr>
      <w:r>
        <w:rPr>
          <w:b/>
          <w:lang w:val="sq-AL"/>
        </w:rPr>
        <w:t>Taksa e tabelës</w:t>
      </w:r>
    </w:p>
    <w:p w:rsidR="00F60318" w:rsidRDefault="00F60318" w:rsidP="00F60318">
      <w:pPr>
        <w:spacing w:after="0" w:line="240" w:lineRule="auto"/>
        <w:ind w:firstLine="0"/>
        <w:rPr>
          <w:rFonts w:ascii="Garamond" w:hAnsi="Garamond"/>
          <w:sz w:val="14"/>
          <w:szCs w:val="24"/>
          <w:lang w:val="sq-AL"/>
        </w:rPr>
      </w:pPr>
    </w:p>
    <w:p w:rsidR="00F60318" w:rsidRDefault="00F60318" w:rsidP="00F60318">
      <w:pPr>
        <w:pStyle w:val="Paragrafi"/>
        <w:rPr>
          <w:lang w:val="sq-AL"/>
        </w:rPr>
      </w:pPr>
      <w:r>
        <w:rPr>
          <w:lang w:val="sq-AL"/>
        </w:rPr>
        <w:t xml:space="preserve">1. Taksa e tabelës zbatohet për të gjitha subjektet, të cilat vendosin tabela, të lëvizshme apo të palëvizshme, për të identifikuar veprimtarinë e tyre ose për qëllime reklamimi të veprimtarisë së tyre apo dhe për të tretë, që vendosen në pamjen ballore të vendndodhjes së veprimtarisë, ose brenda territorit të përbashkët në qendrat tregtare, ose në hapësira jashtë vendndodhjes së veprimtarisë, qofshin këto publike ose private. </w:t>
      </w:r>
    </w:p>
    <w:p w:rsidR="00F60318" w:rsidRDefault="00F60318" w:rsidP="00F60318">
      <w:pPr>
        <w:pStyle w:val="Paragrafi"/>
        <w:rPr>
          <w:lang w:val="sq-AL"/>
        </w:rPr>
      </w:pPr>
      <w:r>
        <w:rPr>
          <w:lang w:val="sq-AL"/>
        </w:rPr>
        <w:t>2. Për qëllime të zbatimit të këtij ligji, tabelat kategorizohen në:</w:t>
      </w:r>
    </w:p>
    <w:p w:rsidR="00F60318" w:rsidRDefault="00F60318" w:rsidP="00F60318">
      <w:pPr>
        <w:pStyle w:val="Paragrafi"/>
        <w:rPr>
          <w:lang w:val="sq-AL"/>
        </w:rPr>
      </w:pPr>
      <w:r>
        <w:rPr>
          <w:lang w:val="sq-AL"/>
        </w:rPr>
        <w:t>a) Tabelë për qëllime identifikimi të veprimtarisë së subjektit, e trupëzuar ose jo, brenda territorit ku zhvillohet veprimtaria dhe që nuk përdoret për të reklamuar veprimtaritë e të tretëve. Në të tilla tabela shënohet emri ose logoja dhe/ose veprimtaria e subjektit. Në rastin e përdorimit të më shumë se një tabele identifikuese, vetëm njëra do të konsiderohet e tillë.</w:t>
      </w:r>
    </w:p>
    <w:p w:rsidR="00F60318" w:rsidRDefault="00F60318" w:rsidP="00F60318">
      <w:pPr>
        <w:pStyle w:val="Paragrafi"/>
        <w:rPr>
          <w:lang w:val="sq-AL"/>
        </w:rPr>
      </w:pPr>
      <w:r>
        <w:rPr>
          <w:lang w:val="sq-AL"/>
        </w:rPr>
        <w:t xml:space="preserve">b) Tabelë për qëllime identifikimi jashtë territorit ku zhvillohet veprimtaria e subjektit në formën dhe përmasat e tabelave për orientim. Këto tabela shërbejnë vetëm si tabela orientuese dhe vendosen jashtë </w:t>
      </w:r>
      <w:r>
        <w:rPr>
          <w:lang w:val="sq-AL"/>
        </w:rPr>
        <w:lastRenderedPageBreak/>
        <w:t>territorit ku zhvillohet aktiviteti, për orientimin e klientelës apo të publikut drejt vendndodhjes së veprimtarisë së subjektit.</w:t>
      </w:r>
    </w:p>
    <w:p w:rsidR="00F60318" w:rsidRDefault="00F60318" w:rsidP="00F60318">
      <w:pPr>
        <w:pStyle w:val="Paragrafi"/>
        <w:rPr>
          <w:lang w:val="sq-AL"/>
        </w:rPr>
      </w:pPr>
      <w:r>
        <w:rPr>
          <w:lang w:val="sq-AL"/>
        </w:rPr>
        <w:t>c) Tabelë për qëllime reklamimi, e lëvizshme ose e palëvizshme, e vendosur në pamje ballore ose joballore në vendin ku zhvillohet veprimtaria e subjektit, ose në hapësira të përbashkëta në qendrat tregtare, ose në hapësira të tjera publike apo private, si: tarraca, lozha, ballkone, fasada, trotuare, shtylla, mbajtëse ajrore mbi pjesë të rrugëve qytetase apo kombëtare etj., që kanë përmbajtje reklamimi për vete apo të tretët dhe që shërben si reklamë për të njoftuar, për të tërhequr vëmendjen ose për të joshur blerësit.</w:t>
      </w:r>
    </w:p>
    <w:p w:rsidR="00F60318" w:rsidRDefault="00F60318" w:rsidP="00F60318">
      <w:pPr>
        <w:pStyle w:val="Paragrafi"/>
        <w:rPr>
          <w:lang w:val="sq-AL"/>
        </w:rPr>
      </w:pPr>
      <w:r>
        <w:rPr>
          <w:lang w:val="sq-AL"/>
        </w:rPr>
        <w:t xml:space="preserve">ç) Tabelë në funksion të ekspozimeve të ndryshme të hapura, panaire, spektakle, stenda reklamuese, banderola etj. </w:t>
      </w:r>
    </w:p>
    <w:p w:rsidR="00F60318" w:rsidRDefault="00F60318" w:rsidP="00F60318">
      <w:pPr>
        <w:pStyle w:val="Paragrafi"/>
        <w:rPr>
          <w:lang w:val="sq-AL"/>
        </w:rPr>
      </w:pPr>
      <w:r>
        <w:rPr>
          <w:lang w:val="sq-AL"/>
        </w:rPr>
        <w:t>3. Taksa e tabelës është taksë vjetore. Bën përjashtim rasti kur tabela vendoset në funksion të ekspozimeve të ndryshme të hapura, panaire, spektakle, stenda reklamuese, banderola etj., për të cilat taksa llogaritet dhe paguhet vetëm për periudhën kohore të lejes së dhënë nga njësia e vetëqeverisjes vendore.</w:t>
      </w:r>
    </w:p>
    <w:p w:rsidR="00F60318" w:rsidRDefault="00F60318" w:rsidP="00F60318">
      <w:pPr>
        <w:pStyle w:val="Paragrafi"/>
        <w:rPr>
          <w:lang w:val="sq-AL"/>
        </w:rPr>
      </w:pPr>
      <w:r>
        <w:rPr>
          <w:lang w:val="sq-AL"/>
        </w:rPr>
        <w:t>4. Tabela përmban shkronja, logo, simbole apo figura, që mundësojnë identifikimin e veprimtarisë së taksapaguesit apo që shërbejnë për qëllim orientimi, reklamimi ose ekspozimi. Si bazë vlerësimi për llogaritjen e taksës shërben sipërfaqja në metër katror që zë tabela në të gjithë shtrirjen e saj. Në rastin kur tabela përbëhet vetëm nga shkronja të veçuara, simbole, logo apo figura të vendosura, të gdhendura apo të pikturuara mbi një sipërfaqe ekzistuese, si: mur, fasadë e jashtme e çdo lloji, shtyllë, kolonë, apo të ngjashme me to, dhe jo nga një sipërfaqe e vetme e shtrirë e shkruar, e stampuar apo e pikturuar brenda saj, e cila vendoset mbi një sipërfaqe ekzistuese, si bazë vlerësimi për llogaritjen e taksës shërben sipërfaqja që zënë të gjitha shkronjat, figurat, logot dhe simbolet që formojnë tabelën.</w:t>
      </w:r>
    </w:p>
    <w:p w:rsidR="00F60318" w:rsidRDefault="00F60318" w:rsidP="00F60318">
      <w:pPr>
        <w:pStyle w:val="Paragrafi"/>
        <w:rPr>
          <w:lang w:val="sq-AL"/>
        </w:rPr>
      </w:pPr>
      <w:r>
        <w:rPr>
          <w:lang w:val="sq-AL"/>
        </w:rPr>
        <w:t>Kur në sipërfaqen e tabelës identifikuese përfshihen edhe shkronja, simbole dhe figura për qëllime reklamimi të një apo më shumë produkteve apo shërbimeve që furnizohen nga vetë njësia, ku është vendosur tabela, kjo tabelë vlerësohet si tabelë identifikuese dhe taksa llogaritet për këtë kategori tabele. Në rast të kundërt, tabela vlerësohet si tabelë reklamimi dhe taksa llogaritet për tabelën për qëllime reklamimi.</w:t>
      </w:r>
    </w:p>
    <w:p w:rsidR="00F60318" w:rsidRDefault="00F60318" w:rsidP="00F60318">
      <w:pPr>
        <w:pStyle w:val="Paragrafi"/>
        <w:rPr>
          <w:lang w:val="sq-AL"/>
        </w:rPr>
      </w:pPr>
      <w:r>
        <w:rPr>
          <w:lang w:val="sq-AL"/>
        </w:rPr>
        <w:t>Në rast të përdorimit nga taksapaguesi të më shumë se një tabele identifikuese, përveç atyre orientuese, vlerësohet si tabelë identifikuese vetëm ajo tabelë që është e trupëzuar ose jo në njësinë apo brenda territorit ku ushtrohet veprimtaria e taksapaguesit, ose që ndodhet më pranë njësisë, ose vetëm një nga tabelat, kur ka më shumë se një të tillë në njësinë apo territorin ku ushtrohet veprimtaria e tij. Çdo tabelë tjetër e tillë konsiderohet si tabelë për qëllime reklamimi dhe taksa llogaritet dhe paguhet për këtë kategori tabele.</w:t>
      </w:r>
    </w:p>
    <w:p w:rsidR="00F60318" w:rsidRDefault="00F60318" w:rsidP="00F60318">
      <w:pPr>
        <w:pStyle w:val="Paragrafi"/>
        <w:rPr>
          <w:lang w:val="sq-AL"/>
        </w:rPr>
      </w:pPr>
      <w:r>
        <w:rPr>
          <w:lang w:val="sq-AL"/>
        </w:rPr>
        <w:t>5. Nivelet e taksës së tabelës, sipas kategorizimeve të përcaktuara në pikën 2, të këtij neni, jepen në aneksin 7, që i bashkëlidhet këtij ligji.</w:t>
      </w:r>
    </w:p>
    <w:p w:rsidR="00F60318" w:rsidRDefault="00F60318" w:rsidP="00F60318">
      <w:pPr>
        <w:pStyle w:val="Paragrafi"/>
        <w:rPr>
          <w:lang w:val="sq-AL"/>
        </w:rPr>
      </w:pPr>
      <w:r>
        <w:rPr>
          <w:lang w:val="sq-AL"/>
        </w:rPr>
        <w:t>6. Këshilli bashkiak është autoriteti, i cili vendos nivelin e bazës së taksës për çdo kategori të tabelës të dhënë në aneksin 7, që i bashkëlidhet këtij ligji, dhe miraton procedurën e mbledhjes së kësaj takse.”.</w:t>
      </w:r>
    </w:p>
    <w:p w:rsidR="00F60318" w:rsidRDefault="00F60318" w:rsidP="00F60318">
      <w:pPr>
        <w:pStyle w:val="Paragrafi"/>
        <w:rPr>
          <w:sz w:val="14"/>
          <w:lang w:val="sq-AL"/>
        </w:rPr>
      </w:pPr>
    </w:p>
    <w:p w:rsidR="00F60318" w:rsidRDefault="00F60318" w:rsidP="00F60318">
      <w:pPr>
        <w:pStyle w:val="NeniNr"/>
        <w:rPr>
          <w:lang w:val="sq-AL"/>
        </w:rPr>
      </w:pPr>
      <w:r>
        <w:rPr>
          <w:lang w:val="sq-AL"/>
        </w:rPr>
        <w:t>Neni 11</w:t>
      </w:r>
    </w:p>
    <w:p w:rsidR="00F60318" w:rsidRDefault="00F60318" w:rsidP="00F60318">
      <w:pPr>
        <w:pStyle w:val="Paragrafi"/>
        <w:rPr>
          <w:sz w:val="14"/>
          <w:lang w:val="sq-AL"/>
        </w:rPr>
      </w:pPr>
    </w:p>
    <w:p w:rsidR="00F60318" w:rsidRDefault="00F60318" w:rsidP="00F60318">
      <w:pPr>
        <w:pStyle w:val="Paragrafi"/>
        <w:rPr>
          <w:lang w:val="sq-AL"/>
        </w:rPr>
      </w:pPr>
      <w:r>
        <w:rPr>
          <w:lang w:val="sq-AL"/>
        </w:rPr>
        <w:t>Neni 32/1, “Taksa e tabelës”, shfuqizohet.</w:t>
      </w:r>
    </w:p>
    <w:p w:rsidR="00F60318" w:rsidRDefault="00F60318" w:rsidP="00F60318">
      <w:pPr>
        <w:pStyle w:val="Paragrafi"/>
        <w:rPr>
          <w:sz w:val="14"/>
          <w:lang w:val="sq-AL"/>
        </w:rPr>
      </w:pPr>
    </w:p>
    <w:p w:rsidR="00F60318" w:rsidRDefault="00F60318" w:rsidP="00F60318">
      <w:pPr>
        <w:pStyle w:val="NeniNr"/>
        <w:rPr>
          <w:lang w:val="sq-AL"/>
        </w:rPr>
      </w:pPr>
      <w:r>
        <w:rPr>
          <w:lang w:val="sq-AL"/>
        </w:rPr>
        <w:t>Neni 12</w:t>
      </w:r>
    </w:p>
    <w:p w:rsidR="00F60318" w:rsidRDefault="00F60318" w:rsidP="00F60318">
      <w:pPr>
        <w:pStyle w:val="Paragrafi"/>
        <w:rPr>
          <w:sz w:val="14"/>
          <w:lang w:val="sq-AL"/>
        </w:rPr>
      </w:pPr>
    </w:p>
    <w:p w:rsidR="00F60318" w:rsidRDefault="00F60318" w:rsidP="00F60318">
      <w:pPr>
        <w:pStyle w:val="Paragrafi"/>
        <w:rPr>
          <w:lang w:val="sq-AL"/>
        </w:rPr>
      </w:pPr>
      <w:r>
        <w:rPr>
          <w:lang w:val="sq-AL"/>
        </w:rPr>
        <w:t>Në nenin 35, “Tarifat vendore dhe administrimi i tyre”, në fund të pikës 4, shtohet paragrafi i dytë</w:t>
      </w:r>
      <w:r>
        <w:rPr>
          <w:rFonts w:eastAsiaTheme="minorHAnsi"/>
          <w:b/>
          <w:bCs/>
          <w:lang w:val="sq-AL"/>
        </w:rPr>
        <w:t xml:space="preserve"> </w:t>
      </w:r>
      <w:r>
        <w:rPr>
          <w:rFonts w:eastAsiaTheme="minorHAnsi"/>
          <w:bCs/>
          <w:lang w:val="sq-AL"/>
        </w:rPr>
        <w:t>me këtë përmbajtje:</w:t>
      </w:r>
    </w:p>
    <w:p w:rsidR="00F60318" w:rsidRDefault="00F60318" w:rsidP="00F60318">
      <w:pPr>
        <w:pStyle w:val="Paragrafi"/>
        <w:rPr>
          <w:lang w:val="sq-AL"/>
        </w:rPr>
      </w:pPr>
      <w:r>
        <w:rPr>
          <w:lang w:val="sq-AL"/>
        </w:rPr>
        <w:t>“Për rrjetet kabllore telefonike, ndërlidhëse apo të shërbimit informatik, tarifat vendore vendosen vetëm në rastin kur subjektet përdorin rrjetet infrastrukturore, si: tubacione, kanale etj., të cilat janë ndërtuar dhe janë në pronësi të njësive të vetëqeverisjes vendore. Të ardhurat e siguruara prej tyre shërbejnë për përballimin e shpenzimeve për mirëmbajtjen e rrjetit në përdorim.”.</w:t>
      </w:r>
    </w:p>
    <w:p w:rsidR="00F60318" w:rsidRDefault="00F60318" w:rsidP="00F60318">
      <w:pPr>
        <w:pStyle w:val="Paragrafi"/>
        <w:rPr>
          <w:b/>
          <w:sz w:val="14"/>
          <w:lang w:val="sq-AL"/>
        </w:rPr>
      </w:pPr>
    </w:p>
    <w:p w:rsidR="00F60318" w:rsidRDefault="00F60318" w:rsidP="00F60318">
      <w:pPr>
        <w:pStyle w:val="NeniNr"/>
        <w:rPr>
          <w:lang w:val="sq-AL"/>
        </w:rPr>
      </w:pPr>
      <w:r>
        <w:rPr>
          <w:lang w:val="sq-AL"/>
        </w:rPr>
        <w:t>Neni 13</w:t>
      </w:r>
    </w:p>
    <w:p w:rsidR="00F60318" w:rsidRDefault="00F60318" w:rsidP="00F60318">
      <w:pPr>
        <w:pStyle w:val="Paragrafi"/>
        <w:rPr>
          <w:sz w:val="14"/>
          <w:lang w:val="sq-AL"/>
        </w:rPr>
      </w:pPr>
    </w:p>
    <w:p w:rsidR="00F60318" w:rsidRDefault="00F60318" w:rsidP="00F60318">
      <w:pPr>
        <w:pStyle w:val="Paragrafi"/>
        <w:rPr>
          <w:lang w:val="sq-AL"/>
        </w:rPr>
      </w:pPr>
      <w:r>
        <w:rPr>
          <w:lang w:val="sq-AL"/>
        </w:rPr>
        <w:t>Kudo në ligj, ku përdoren fjalët “organet e qeverisjes vendore ” zëvendësohen me fjalët “njësitë e vetëqeverisjes vendore”.</w:t>
      </w:r>
    </w:p>
    <w:p w:rsidR="00F60318" w:rsidRDefault="00F60318" w:rsidP="00F60318">
      <w:pPr>
        <w:pStyle w:val="NeniNr"/>
        <w:rPr>
          <w:sz w:val="16"/>
          <w:lang w:val="sq-AL"/>
        </w:rPr>
      </w:pPr>
    </w:p>
    <w:p w:rsidR="00F60318" w:rsidRDefault="00F60318" w:rsidP="00F60318">
      <w:pPr>
        <w:pStyle w:val="NeniNr"/>
        <w:rPr>
          <w:lang w:val="sq-AL"/>
        </w:rPr>
      </w:pPr>
      <w:r>
        <w:rPr>
          <w:lang w:val="sq-AL"/>
        </w:rPr>
        <w:t>Neni 14</w:t>
      </w:r>
    </w:p>
    <w:p w:rsidR="00F60318" w:rsidRDefault="00F60318" w:rsidP="00F60318">
      <w:pPr>
        <w:pStyle w:val="Paragrafi"/>
        <w:rPr>
          <w:sz w:val="14"/>
          <w:lang w:val="sq-AL"/>
        </w:rPr>
      </w:pPr>
    </w:p>
    <w:p w:rsidR="00F60318" w:rsidRDefault="00F60318" w:rsidP="00F60318">
      <w:pPr>
        <w:pStyle w:val="Paragrafi"/>
        <w:rPr>
          <w:lang w:val="sq-AL"/>
        </w:rPr>
      </w:pPr>
      <w:r>
        <w:rPr>
          <w:lang w:val="sq-AL"/>
        </w:rPr>
        <w:t xml:space="preserve">Aneksi 4, </w:t>
      </w:r>
      <w:r>
        <w:rPr>
          <w:rFonts w:eastAsia="Times New Roman"/>
          <w:lang w:val="sq-AL"/>
        </w:rPr>
        <w:t xml:space="preserve">“Taksa e regjistrimit të përvitshëm të mjeteve të transportit rrugor”, aneksi 5, </w:t>
      </w:r>
      <w:r>
        <w:rPr>
          <w:lang w:val="sq-AL"/>
        </w:rPr>
        <w:t xml:space="preserve">“Tabela e taksimit të biznesit të vogël”, dhe aneksi 6, “Niveli tregues i taksës së zënies së hapësirës publike”, </w:t>
      </w:r>
      <w:r>
        <w:rPr>
          <w:rFonts w:eastAsia="Times New Roman"/>
          <w:lang w:val="sq-AL"/>
        </w:rPr>
        <w:lastRenderedPageBreak/>
        <w:t>shfuqizohen.</w:t>
      </w:r>
    </w:p>
    <w:p w:rsidR="00F60318" w:rsidRDefault="00F60318" w:rsidP="00F60318">
      <w:pPr>
        <w:pStyle w:val="Paragrafi"/>
        <w:rPr>
          <w:sz w:val="14"/>
          <w:lang w:val="sq-AL"/>
        </w:rPr>
      </w:pPr>
    </w:p>
    <w:p w:rsidR="00F60318" w:rsidRDefault="00F60318" w:rsidP="00F60318">
      <w:pPr>
        <w:pStyle w:val="NeniNr"/>
        <w:rPr>
          <w:lang w:val="sq-AL"/>
        </w:rPr>
      </w:pPr>
      <w:r>
        <w:rPr>
          <w:lang w:val="sq-AL"/>
        </w:rPr>
        <w:t>Neni 15</w:t>
      </w:r>
    </w:p>
    <w:p w:rsidR="00F60318" w:rsidRDefault="00F60318" w:rsidP="00F60318">
      <w:pPr>
        <w:pStyle w:val="Paragrafi"/>
        <w:rPr>
          <w:sz w:val="14"/>
          <w:lang w:val="sq-AL"/>
        </w:rPr>
      </w:pPr>
    </w:p>
    <w:p w:rsidR="00F60318" w:rsidRDefault="00F60318" w:rsidP="00F60318">
      <w:pPr>
        <w:pStyle w:val="Paragrafi"/>
        <w:rPr>
          <w:lang w:val="sq-AL"/>
        </w:rPr>
      </w:pPr>
      <w:r>
        <w:rPr>
          <w:lang w:val="sq-AL"/>
        </w:rPr>
        <w:t>Anekset 2, 2.1, 3 dhe 8 zëvendësohen përkatësisht me anekset 1, 2, 3 dhe 8, që i bashkëlidhen këtij ligji.</w:t>
      </w:r>
    </w:p>
    <w:p w:rsidR="00F60318" w:rsidRDefault="00F60318" w:rsidP="00F60318">
      <w:pPr>
        <w:pStyle w:val="Paragrafi"/>
        <w:rPr>
          <w:rFonts w:eastAsia="Times New Roman"/>
          <w:sz w:val="14"/>
          <w:lang w:val="sq-AL"/>
        </w:rPr>
      </w:pPr>
    </w:p>
    <w:p w:rsidR="00F60318" w:rsidRDefault="00F60318" w:rsidP="00F60318">
      <w:pPr>
        <w:pStyle w:val="NeniNr"/>
        <w:rPr>
          <w:lang w:val="sq-AL"/>
        </w:rPr>
      </w:pPr>
      <w:r>
        <w:rPr>
          <w:lang w:val="sq-AL"/>
        </w:rPr>
        <w:t>Neni 16</w:t>
      </w:r>
    </w:p>
    <w:p w:rsidR="00F60318" w:rsidRDefault="00F60318" w:rsidP="00F60318">
      <w:pPr>
        <w:pStyle w:val="NeniTitull"/>
        <w:rPr>
          <w:lang w:val="sq-AL"/>
        </w:rPr>
      </w:pPr>
      <w:r>
        <w:rPr>
          <w:lang w:val="sq-AL"/>
        </w:rPr>
        <w:t>Hyrja në fuqi</w:t>
      </w:r>
    </w:p>
    <w:p w:rsidR="00F60318" w:rsidRDefault="00F60318" w:rsidP="00F60318">
      <w:pPr>
        <w:pStyle w:val="Paragrafi"/>
        <w:rPr>
          <w:sz w:val="14"/>
          <w:lang w:val="sq-AL"/>
        </w:rPr>
      </w:pPr>
    </w:p>
    <w:p w:rsidR="00F60318" w:rsidRDefault="00F60318" w:rsidP="00F60318">
      <w:pPr>
        <w:pStyle w:val="Paragrafi"/>
        <w:rPr>
          <w:lang w:val="sq-AL"/>
        </w:rPr>
      </w:pPr>
      <w:r>
        <w:rPr>
          <w:lang w:val="sq-AL"/>
        </w:rPr>
        <w:t>Ky ligj hyn në fuqi 15 ditë pas botimit në Fletore Zyrtare.</w:t>
      </w:r>
    </w:p>
    <w:p w:rsidR="00F60318" w:rsidRDefault="00F60318" w:rsidP="00F60318">
      <w:pPr>
        <w:pStyle w:val="Paragrafi"/>
        <w:rPr>
          <w:sz w:val="12"/>
          <w:lang w:val="sq-AL"/>
        </w:rPr>
      </w:pPr>
    </w:p>
    <w:p w:rsidR="00F60318" w:rsidRDefault="00F60318" w:rsidP="00F60318">
      <w:pPr>
        <w:pStyle w:val="Paragrafi"/>
        <w:jc w:val="right"/>
        <w:rPr>
          <w:rFonts w:cs="Times New Roman"/>
          <w:lang w:val="sq-AL"/>
        </w:rPr>
      </w:pPr>
      <w:r>
        <w:rPr>
          <w:rFonts w:cs="Times New Roman"/>
          <w:lang w:val="sq-AL"/>
        </w:rPr>
        <w:t>KRYETARI</w:t>
      </w:r>
    </w:p>
    <w:p w:rsidR="00F60318" w:rsidRDefault="00F60318" w:rsidP="00F60318">
      <w:pPr>
        <w:pStyle w:val="Paragrafi"/>
        <w:jc w:val="right"/>
        <w:rPr>
          <w:rFonts w:cs="Times New Roman"/>
          <w:b/>
          <w:lang w:val="sq-AL"/>
        </w:rPr>
      </w:pPr>
      <w:r>
        <w:rPr>
          <w:rFonts w:cs="Times New Roman"/>
          <w:b/>
          <w:lang w:val="sq-AL"/>
        </w:rPr>
        <w:t>Gramoz Ruçi</w:t>
      </w:r>
    </w:p>
    <w:p w:rsidR="00F60318" w:rsidRDefault="00F60318" w:rsidP="00F60318">
      <w:pPr>
        <w:pStyle w:val="Paragrafi"/>
        <w:rPr>
          <w:sz w:val="14"/>
          <w:lang w:val="sq-AL"/>
        </w:rPr>
      </w:pPr>
    </w:p>
    <w:p w:rsidR="00F60318" w:rsidRDefault="00F60318" w:rsidP="00F60318">
      <w:pPr>
        <w:pStyle w:val="Paragrafi"/>
        <w:rPr>
          <w:lang w:val="sq-AL"/>
        </w:rPr>
      </w:pPr>
      <w:r>
        <w:rPr>
          <w:lang w:val="sq-AL"/>
        </w:rPr>
        <w:t>Miratuar nё datёn 3.12.2018</w:t>
      </w:r>
    </w:p>
    <w:p w:rsidR="00F60318" w:rsidRDefault="00F60318" w:rsidP="00F60318">
      <w:pPr>
        <w:pStyle w:val="Paragrafi"/>
        <w:rPr>
          <w:lang w:val="sq-AL"/>
        </w:rPr>
      </w:pPr>
    </w:p>
    <w:p w:rsidR="00F60318" w:rsidRDefault="00F60318" w:rsidP="00F60318">
      <w:pPr>
        <w:spacing w:after="0" w:line="240" w:lineRule="auto"/>
        <w:ind w:firstLine="0"/>
        <w:jc w:val="left"/>
        <w:rPr>
          <w:rFonts w:ascii="Garamond" w:hAnsi="Garamond"/>
          <w:sz w:val="24"/>
          <w:szCs w:val="24"/>
          <w:lang w:val="sq-AL"/>
        </w:rPr>
        <w:sectPr w:rsidR="00F60318" w:rsidSect="00F60318">
          <w:pgSz w:w="11907" w:h="16840"/>
          <w:pgMar w:top="720" w:right="1134" w:bottom="720" w:left="1134" w:header="851" w:footer="851" w:gutter="0"/>
          <w:pgNumType w:start="14105"/>
          <w:cols w:space="454"/>
        </w:sectPr>
      </w:pPr>
    </w:p>
    <w:p w:rsidR="00F60318" w:rsidRDefault="00F60318" w:rsidP="00F60318">
      <w:pPr>
        <w:spacing w:after="0" w:line="240" w:lineRule="auto"/>
        <w:ind w:firstLine="0"/>
        <w:rPr>
          <w:rFonts w:ascii="Garamond" w:hAnsi="Garamond"/>
          <w:sz w:val="24"/>
          <w:szCs w:val="24"/>
          <w:lang w:val="sq-AL"/>
        </w:rPr>
      </w:pPr>
    </w:p>
    <w:p w:rsidR="00F60318" w:rsidRDefault="00F60318" w:rsidP="00F60318">
      <w:pPr>
        <w:pStyle w:val="Paragrafi"/>
        <w:jc w:val="center"/>
        <w:rPr>
          <w:lang w:val="sq-AL"/>
        </w:rPr>
      </w:pPr>
      <w:r>
        <w:rPr>
          <w:noProof/>
        </w:rPr>
        <w:drawing>
          <wp:inline distT="0" distB="0" distL="0" distR="0">
            <wp:extent cx="4857750" cy="66579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l="737" r="1472" b="9441"/>
                    <a:stretch>
                      <a:fillRect/>
                    </a:stretch>
                  </pic:blipFill>
                  <pic:spPr bwMode="auto">
                    <a:xfrm>
                      <a:off x="0" y="0"/>
                      <a:ext cx="4857750" cy="6657975"/>
                    </a:xfrm>
                    <a:prstGeom prst="rect">
                      <a:avLst/>
                    </a:prstGeom>
                    <a:noFill/>
                    <a:ln w="9525" cmpd="sng">
                      <a:solidFill>
                        <a:srgbClr val="000000"/>
                      </a:solidFill>
                      <a:miter lim="800000"/>
                      <a:headEnd/>
                      <a:tailEnd/>
                    </a:ln>
                    <a:effectLst/>
                  </pic:spPr>
                </pic:pic>
              </a:graphicData>
            </a:graphic>
          </wp:inline>
        </w:drawing>
      </w:r>
    </w:p>
    <w:p w:rsidR="00F60318" w:rsidRDefault="00F60318" w:rsidP="00F60318">
      <w:pPr>
        <w:spacing w:after="0" w:line="240" w:lineRule="auto"/>
        <w:ind w:firstLine="0"/>
        <w:jc w:val="center"/>
        <w:rPr>
          <w:rFonts w:ascii="Garamond" w:hAnsi="Garamond"/>
          <w:sz w:val="24"/>
          <w:szCs w:val="24"/>
          <w:lang w:val="sq-AL"/>
        </w:rPr>
      </w:pPr>
      <w:r>
        <w:rPr>
          <w:rFonts w:ascii="Garamond" w:hAnsi="Garamond"/>
          <w:noProof/>
          <w:sz w:val="24"/>
          <w:szCs w:val="24"/>
        </w:rPr>
        <w:lastRenderedPageBreak/>
        <w:drawing>
          <wp:inline distT="0" distB="0" distL="0" distR="0">
            <wp:extent cx="5676900" cy="423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6900" cy="4238625"/>
                    </a:xfrm>
                    <a:prstGeom prst="rect">
                      <a:avLst/>
                    </a:prstGeom>
                    <a:noFill/>
                    <a:ln>
                      <a:noFill/>
                    </a:ln>
                  </pic:spPr>
                </pic:pic>
              </a:graphicData>
            </a:graphic>
          </wp:inline>
        </w:drawing>
      </w:r>
    </w:p>
    <w:p w:rsidR="00F60318" w:rsidRDefault="00F60318" w:rsidP="00F60318">
      <w:pPr>
        <w:spacing w:after="0" w:line="240" w:lineRule="auto"/>
        <w:ind w:firstLine="0"/>
        <w:jc w:val="center"/>
        <w:rPr>
          <w:rFonts w:ascii="Garamond" w:hAnsi="Garamond"/>
          <w:sz w:val="24"/>
          <w:szCs w:val="24"/>
          <w:lang w:val="sq-AL"/>
        </w:rPr>
      </w:pPr>
      <w:r>
        <w:rPr>
          <w:rFonts w:ascii="Garamond" w:hAnsi="Garamond"/>
          <w:noProof/>
          <w:sz w:val="24"/>
          <w:szCs w:val="24"/>
        </w:rPr>
        <w:lastRenderedPageBreak/>
        <w:drawing>
          <wp:inline distT="0" distB="0" distL="0" distR="0">
            <wp:extent cx="5524500" cy="4219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0" cy="4219575"/>
                    </a:xfrm>
                    <a:prstGeom prst="rect">
                      <a:avLst/>
                    </a:prstGeom>
                    <a:noFill/>
                    <a:ln>
                      <a:noFill/>
                    </a:ln>
                  </pic:spPr>
                </pic:pic>
              </a:graphicData>
            </a:graphic>
          </wp:inline>
        </w:drawing>
      </w:r>
    </w:p>
    <w:p w:rsidR="00F60318" w:rsidRDefault="00F60318" w:rsidP="00F60318">
      <w:pPr>
        <w:spacing w:after="0" w:line="240" w:lineRule="auto"/>
        <w:ind w:firstLine="0"/>
        <w:jc w:val="center"/>
        <w:rPr>
          <w:rFonts w:ascii="Garamond" w:hAnsi="Garamond"/>
          <w:b/>
          <w:sz w:val="24"/>
          <w:szCs w:val="24"/>
          <w:lang w:val="sq-AL"/>
        </w:rPr>
      </w:pPr>
      <w:r>
        <w:rPr>
          <w:rFonts w:ascii="Garamond" w:hAnsi="Garamond"/>
          <w:noProof/>
          <w:sz w:val="24"/>
          <w:szCs w:val="24"/>
        </w:rPr>
        <w:lastRenderedPageBreak/>
        <w:drawing>
          <wp:inline distT="0" distB="0" distL="0" distR="0">
            <wp:extent cx="5581650" cy="4371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650" cy="4371975"/>
                    </a:xfrm>
                    <a:prstGeom prst="rect">
                      <a:avLst/>
                    </a:prstGeom>
                    <a:noFill/>
                    <a:ln>
                      <a:noFill/>
                    </a:ln>
                  </pic:spPr>
                </pic:pic>
              </a:graphicData>
            </a:graphic>
          </wp:inline>
        </w:drawing>
      </w:r>
    </w:p>
    <w:p w:rsidR="00595848" w:rsidRDefault="00595848"/>
    <w:sectPr w:rsidR="00595848" w:rsidSect="00F60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318"/>
    <w:rsid w:val="00595848"/>
    <w:rsid w:val="00F60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21F69E-2DD9-4A0B-A0D3-A2CBB4647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318"/>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F60318"/>
    <w:rPr>
      <w:rFonts w:ascii="Garamond" w:eastAsia="MS Mincho" w:hAnsi="Garamond" w:cs="CG Times"/>
      <w:sz w:val="24"/>
    </w:rPr>
  </w:style>
  <w:style w:type="paragraph" w:customStyle="1" w:styleId="Paragrafi">
    <w:name w:val="Paragrafi"/>
    <w:link w:val="ParagrafiChar"/>
    <w:qFormat/>
    <w:rsid w:val="00F60318"/>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F60318"/>
    <w:rPr>
      <w:rFonts w:ascii="Garamond" w:eastAsia="MS Mincho" w:hAnsi="Garamond" w:cs="CG Times"/>
      <w:sz w:val="24"/>
      <w:lang w:val="en-GB"/>
    </w:rPr>
  </w:style>
  <w:style w:type="paragraph" w:customStyle="1" w:styleId="NeniNr">
    <w:name w:val="Neni_Nr"/>
    <w:next w:val="Normal"/>
    <w:link w:val="NeniNrChar"/>
    <w:rsid w:val="00F60318"/>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F60318"/>
    <w:rPr>
      <w:rFonts w:ascii="Garamond" w:eastAsia="MS Mincho" w:hAnsi="Garamond" w:cs="CG Times"/>
      <w:b/>
      <w:bCs/>
      <w:sz w:val="24"/>
      <w:lang w:val="en-GB"/>
    </w:rPr>
  </w:style>
  <w:style w:type="paragraph" w:customStyle="1" w:styleId="NeniTitull">
    <w:name w:val="Neni_Titull"/>
    <w:next w:val="Normal"/>
    <w:link w:val="NeniTitullChar"/>
    <w:rsid w:val="00F60318"/>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1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1592</Words>
  <Characters>9079</Characters>
  <Application>Microsoft Office Word</Application>
  <DocSecurity>0</DocSecurity>
  <Lines>75</Lines>
  <Paragraphs>21</Paragraphs>
  <ScaleCrop>false</ScaleCrop>
  <Company/>
  <LinksUpToDate>false</LinksUpToDate>
  <CharactersWithSpaces>10650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2019-01-03T09:24:00Z</dcterms:created>
  <dcterms:modified xsi:type="dcterms:W3CDTF">2019-01-03T09:25:00Z</dcterms:modified>
</cp:coreProperties>
</file>