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>LIGJ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 xml:space="preserve">Nr. 3/2019 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u w:val="single"/>
          <w:lang w:val="sq-AL" w:bidi="ar-MA"/>
        </w:rPr>
      </w:pP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 xml:space="preserve">PËR RATIFIKIMIN E LETËRMARRËVESHJES NDRYSHUESE TË MARRËVESHJES SË HUAS NDËRMJET REPUBLIKËS SË SHQIPËRISË 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 xml:space="preserve">DHE BANKËS NDËRKOMBËTARE PËR RINDËRTIM DHE ZHVILLIM 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 xml:space="preserve">(IBRD) PËR FINANCIMIN SHTESË TË PROJEKTIT “SIGURIA E DIGAVE”, 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 xml:space="preserve">TË RATIFIKUAR ME LIGJIN 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>NR. 40/2012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ab/>
        <w:t xml:space="preserve">Në mbështetje të neneve 78, 83, pika 1, dhe 121, pika 1, të Kushtetutës, me propozimin e Këshillit të Ministrave, 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KUVENDI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I REPUBLIKËS SË SHQIPËRISË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VENDOSI:</w:t>
      </w: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12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Neni 1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ab/>
        <w:t>Ratifikohet letërmarrëveshja ndryshuese e marrëveshjes së huas ndërmjet Republikës së Shqipërisë dhe Bankës Ndërkombëtare për Rindërtim dhe Zhvillim (IBRD) për financimin shtesë të projektit “Siguria e digave”, të ratifikuar me ligjin nr. 40/2012, sipas tekstit që i bashkëlidhet këtij ligji.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Neni 2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ab/>
        <w:t>Ky ligj hyn në fuqi 15 ditë pas botimit në Fletoren Zyrtare.</w:t>
      </w: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16"/>
          <w:szCs w:val="24"/>
          <w:lang w:val="sq-AL" w:bidi="ar-MA"/>
        </w:rPr>
      </w:pPr>
    </w:p>
    <w:p w:rsidR="00EB602B" w:rsidRDefault="00EB602B" w:rsidP="00EB602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 xml:space="preserve">Miratuar në datën </w:t>
      </w:r>
      <w:bookmarkStart w:id="0" w:name="_GoBack"/>
      <w:r>
        <w:rPr>
          <w:rFonts w:ascii="Garamond" w:hAnsi="Garamond"/>
          <w:spacing w:val="-4"/>
          <w:sz w:val="24"/>
          <w:szCs w:val="24"/>
          <w:lang w:val="sq-AL" w:bidi="ar-MA"/>
        </w:rPr>
        <w:t>31.1.2019</w:t>
      </w:r>
      <w:bookmarkEnd w:id="0"/>
      <w:r>
        <w:rPr>
          <w:rFonts w:ascii="Garamond" w:hAnsi="Garamond"/>
          <w:spacing w:val="-4"/>
          <w:sz w:val="24"/>
          <w:szCs w:val="24"/>
          <w:lang w:val="sq-AL" w:bidi="ar-MA"/>
        </w:rPr>
        <w:t>.</w:t>
      </w:r>
    </w:p>
    <w:p w:rsidR="00EB602B" w:rsidRDefault="00EB602B" w:rsidP="00EB602B">
      <w:pPr>
        <w:pStyle w:val="Paragrafi"/>
        <w:ind w:firstLine="0"/>
        <w:rPr>
          <w:b/>
          <w:spacing w:val="-4"/>
          <w:sz w:val="14"/>
          <w:lang w:val="sq-AL"/>
        </w:rPr>
      </w:pPr>
    </w:p>
    <w:p w:rsidR="00EB602B" w:rsidRDefault="00EB602B" w:rsidP="00EB602B">
      <w:pPr>
        <w:pStyle w:val="Paragrafi"/>
        <w:ind w:firstLine="0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Shpallur me dekretin nr. 11076, datë 11.2.2019 të Presidentit të Republikës së Shqipërisë Ilir Meta</w:t>
      </w:r>
    </w:p>
    <w:p w:rsidR="00EB602B" w:rsidRDefault="00EB602B" w:rsidP="00EB602B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EB602B" w:rsidSect="00EB602B">
          <w:pgSz w:w="11907" w:h="16840"/>
          <w:pgMar w:top="720" w:right="1134" w:bottom="720" w:left="1134" w:header="851" w:footer="851" w:gutter="0"/>
          <w:pgNumType w:start="581"/>
          <w:cols w:space="454"/>
        </w:sectPr>
      </w:pPr>
    </w:p>
    <w:p w:rsidR="00EB602B" w:rsidRDefault="00EB602B">
      <w:pPr>
        <w:spacing w:after="0" w:line="240" w:lineRule="auto"/>
        <w:rPr>
          <w:rFonts w:ascii="Garamond" w:hAnsi="Garamond"/>
          <w:lang w:val="sq-AL"/>
        </w:rPr>
        <w:sectPr w:rsidR="00EB602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7"/>
        <w:gridCol w:w="4303"/>
      </w:tblGrid>
      <w:tr w:rsidR="00EB602B" w:rsidTr="00EB602B">
        <w:tc>
          <w:tcPr>
            <w:tcW w:w="5057" w:type="dxa"/>
            <w:hideMark/>
          </w:tcPr>
          <w:p w:rsidR="00EB602B" w:rsidRDefault="00EB602B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BANKA BOTËRORE</w:t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  <w:t xml:space="preserve"> </w:t>
            </w:r>
          </w:p>
          <w:p w:rsidR="00EB602B" w:rsidRDefault="00EB602B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IBRD-IDA/GRUPI I BANKËS BOTËRORE </w:t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</w:p>
          <w:p w:rsidR="00EB602B" w:rsidRDefault="00EB602B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  <w:r>
              <w:rPr>
                <w:rFonts w:ascii="Garamond" w:hAnsi="Garamond"/>
                <w:lang w:val="sq-AL"/>
              </w:rPr>
              <w:tab/>
            </w:r>
          </w:p>
        </w:tc>
        <w:tc>
          <w:tcPr>
            <w:tcW w:w="4303" w:type="dxa"/>
            <w:hideMark/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ZYRA E GRUPIT TË BANKËS BOTËRORE</w:t>
            </w:r>
            <w:r>
              <w:rPr>
                <w:rFonts w:ascii="Garamond" w:hAnsi="Garamond"/>
                <w:lang w:val="sq-AL"/>
              </w:rPr>
              <w:tab/>
              <w:t xml:space="preserve">Praterstrasse 31/21 </w:t>
            </w:r>
          </w:p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Vienna, Austria, 1020</w:t>
            </w:r>
          </w:p>
        </w:tc>
      </w:tr>
    </w:tbl>
    <w:p w:rsidR="00EB602B" w:rsidRDefault="00EB602B" w:rsidP="00EB602B">
      <w:pPr>
        <w:pStyle w:val="NeniTitull"/>
        <w:jc w:val="left"/>
        <w:rPr>
          <w:szCs w:val="24"/>
          <w:lang w:val="sq-AL"/>
        </w:rPr>
      </w:pPr>
    </w:p>
    <w:p w:rsidR="00EB602B" w:rsidRDefault="00EB602B" w:rsidP="00EB602B">
      <w:pPr>
        <w:pStyle w:val="Hapesira7"/>
        <w:rPr>
          <w:sz w:val="24"/>
          <w:lang w:val="sq-AL"/>
        </w:rPr>
      </w:pP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LINDA VAN GELDER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Drejtori rajonal, Ballkani Perëndimor 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Rajoni i Evropës dhe i Azisë Qendrore</w:t>
      </w:r>
    </w:p>
    <w:p w:rsidR="00EB602B" w:rsidRPr="00EB602B" w:rsidRDefault="00EB602B" w:rsidP="00EB602B">
      <w:pPr>
        <w:spacing w:after="0"/>
        <w:rPr>
          <w:rFonts w:ascii="Garamond" w:hAnsi="Garamond"/>
          <w:sz w:val="14"/>
          <w:szCs w:val="24"/>
          <w:lang w:val="sq-AL"/>
        </w:rPr>
      </w:pPr>
    </w:p>
    <w:p w:rsidR="00EB602B" w:rsidRDefault="00EB602B" w:rsidP="00EB602B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15 qershor, 2018</w:t>
      </w:r>
    </w:p>
    <w:p w:rsidR="00EB602B" w:rsidRPr="00EB602B" w:rsidRDefault="00EB602B" w:rsidP="00EB602B">
      <w:pPr>
        <w:spacing w:after="0"/>
        <w:jc w:val="right"/>
        <w:rPr>
          <w:rFonts w:ascii="Garamond" w:hAnsi="Garamond"/>
          <w:sz w:val="14"/>
          <w:szCs w:val="24"/>
          <w:lang w:val="sq-AL"/>
        </w:rPr>
      </w:pP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Sh. së tij, Arben Ahmetaj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Ministër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Ministria e Financave dhe Ekonomisë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SHQIPËRI</w:t>
      </w:r>
    </w:p>
    <w:p w:rsidR="00EB602B" w:rsidRDefault="00EB602B" w:rsidP="00EB602B">
      <w:pPr>
        <w:spacing w:after="0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I nderuar z. Ministër,</w:t>
      </w:r>
    </w:p>
    <w:p w:rsidR="00EB602B" w:rsidRDefault="00EB602B" w:rsidP="00EB602B">
      <w:pPr>
        <w:pStyle w:val="Hapesira7"/>
        <w:rPr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Shqipëria: Programi i Komunitetit të Energjisë për Evropën Juglindore - Projekti i Sigurisë së Digave</w:t>
      </w:r>
    </w:p>
    <w:p w:rsidR="00EB602B" w:rsidRDefault="00EB602B" w:rsidP="00EB602B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(Huaja nr. 8111 - ALB)</w:t>
      </w:r>
    </w:p>
    <w:p w:rsidR="00EB602B" w:rsidRDefault="00EB602B" w:rsidP="00EB602B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(Ripërcaktimi dhe shtyrja e datës së mbylljes)</w:t>
      </w:r>
    </w:p>
    <w:p w:rsidR="00EB602B" w:rsidRDefault="00EB602B" w:rsidP="00EB602B">
      <w:pPr>
        <w:pStyle w:val="Hapesira7"/>
        <w:rPr>
          <w:lang w:val="sq-AL"/>
        </w:rPr>
      </w:pP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Ne i referohemi: a) Marrëveshjes së Huas ndërmjet Republikës së Shqipërisë (“Huamarrësi”) dhe Bankës Ndërkombëtare për Rindërtim dhe Zhvillim (“Banka”) (“Marrëveshja e Huasë”); dhe b) Marrëveshja e Projektit ndërmjet Bankës dhe Korporatës Energjetike Shqiptare (“KESH”) (“Marrëveshja e Projektit”), e ndryshuar që sot, të dyja të datës 17 shkurt 2012, për Projektin e lartpërmendur. 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Marrëveshja e Huas është modifikuar si më poshtë:</w:t>
      </w:r>
    </w:p>
    <w:p w:rsidR="00EB602B" w:rsidRDefault="00EB602B" w:rsidP="00EB602B">
      <w:pPr>
        <w:numPr>
          <w:ilvl w:val="0"/>
          <w:numId w:val="1"/>
        </w:num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Skeduli 2, seksioni IV. A2: (Tërheqja e shumës së Huas)</w:t>
      </w: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 xml:space="preserve">Tabela sipas këtij seksioni është modifikuar për të rialokuar shumat brenda kategorive </w:t>
      </w:r>
      <w:r>
        <w:rPr>
          <w:rFonts w:ascii="Garamond" w:hAnsi="Garamond"/>
          <w:sz w:val="24"/>
          <w:szCs w:val="24"/>
          <w:lang w:val="sq-AL"/>
        </w:rPr>
        <w:tab/>
        <w:t>ekzistuese siç pasqyrohet në shtojcën e kësaj shkrese.</w:t>
      </w:r>
    </w:p>
    <w:p w:rsidR="00EB602B" w:rsidRDefault="00EB602B" w:rsidP="00EB602B">
      <w:pPr>
        <w:numPr>
          <w:ilvl w:val="0"/>
          <w:numId w:val="1"/>
        </w:num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Seksioni IV.B.2: Data e Mbylljes është shtyrë deri më 31 dhjetor 2020.</w:t>
      </w:r>
    </w:p>
    <w:p w:rsidR="00EB602B" w:rsidRDefault="00EB602B" w:rsidP="00EB602B">
      <w:pPr>
        <w:spacing w:after="0"/>
        <w:ind w:firstLine="0"/>
        <w:rPr>
          <w:rFonts w:ascii="Garamond" w:hAnsi="Garamond"/>
          <w:sz w:val="14"/>
          <w:szCs w:val="24"/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 juaji shumë sinqerisht, </w:t>
      </w:r>
    </w:p>
    <w:p w:rsidR="00EB602B" w:rsidRDefault="00EB602B" w:rsidP="00EB602B">
      <w:pPr>
        <w:pStyle w:val="Hapesira7"/>
        <w:rPr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BANKA NDËRKOMBËTARE PËR RINDËRTIM DHE ZHVILLIM</w:t>
      </w:r>
    </w:p>
    <w:p w:rsidR="00EB602B" w:rsidRDefault="00EB602B" w:rsidP="00EB602B">
      <w:pPr>
        <w:pStyle w:val="Hapesira7"/>
        <w:rPr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Linda Van Gelder</w:t>
      </w: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Drejtori rajonal, Ballkani Perëndimor </w:t>
      </w: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Rajoni i Evropës dhe i Azisë Qendrore</w:t>
      </w:r>
    </w:p>
    <w:p w:rsidR="00EB602B" w:rsidRDefault="00EB602B" w:rsidP="00EB602B">
      <w:pPr>
        <w:pStyle w:val="Hapesira7"/>
        <w:rPr>
          <w:sz w:val="24"/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Tel.; +43 (1) 2170 782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                    Faks; +43 (1) 2170 701</w:t>
      </w:r>
    </w:p>
    <w:p w:rsidR="00EB602B" w:rsidRPr="00EB602B" w:rsidRDefault="00EB602B" w:rsidP="00EB602B">
      <w:pPr>
        <w:pStyle w:val="Hapesira7"/>
        <w:rPr>
          <w:lang w:val="sq-AL"/>
        </w:rPr>
      </w:pPr>
    </w:p>
    <w:p w:rsidR="00EB602B" w:rsidRDefault="00EB602B" w:rsidP="00EB602B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Sh. së tij, Arben Ahmetaj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>15 qershor, 2018</w:t>
      </w:r>
    </w:p>
    <w:p w:rsidR="00EB602B" w:rsidRPr="00EB602B" w:rsidRDefault="00EB602B" w:rsidP="00EB602B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                  </w:t>
      </w:r>
    </w:p>
    <w:p w:rsidR="00EB602B" w:rsidRDefault="00EB602B" w:rsidP="00EB602B">
      <w:pPr>
        <w:spacing w:after="0"/>
        <w:ind w:firstLine="0"/>
        <w:rPr>
          <w:rFonts w:ascii="Garamond" w:hAnsi="Garamond"/>
          <w:b/>
          <w:sz w:val="14"/>
          <w:szCs w:val="24"/>
          <w:lang w:val="sq-AL"/>
        </w:rPr>
      </w:pP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SHTOJCA</w:t>
      </w:r>
    </w:p>
    <w:p w:rsidR="00EB602B" w:rsidRDefault="00EB602B" w:rsidP="00EB602B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TËRHEQJA E SHUMËS SË HUAS</w:t>
      </w:r>
    </w:p>
    <w:p w:rsidR="00EB602B" w:rsidRDefault="00EB602B" w:rsidP="00EB602B">
      <w:pPr>
        <w:spacing w:after="0"/>
        <w:jc w:val="center"/>
        <w:rPr>
          <w:rFonts w:ascii="Garamond" w:hAnsi="Garamond"/>
          <w:sz w:val="14"/>
          <w:szCs w:val="24"/>
          <w:lang w:val="sq-AL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Shuma e kredisë së përcaktuar (shprehur në EURO)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Përqindja e shpenzimeve që do të financohen</w:t>
            </w:r>
          </w:p>
        </w:tc>
      </w:tr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 Mallrat dhe punimet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15,461,250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100 %</w:t>
            </w:r>
          </w:p>
        </w:tc>
      </w:tr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2. Shërbimet e konsulentëve të zhvillimit të hidrocentraleve dhe menaxhimit të ujit për pjesët 2.1 dhe 2.4 të Projektit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100 %</w:t>
            </w:r>
          </w:p>
        </w:tc>
      </w:tr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3. Tarifa e paguar paraprakisht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38,750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lang w:val="sq-AL"/>
              </w:rPr>
              <w:t>Shuma</w:t>
            </w:r>
            <w:r>
              <w:rPr>
                <w:rFonts w:ascii="Garamond" w:hAnsi="Garamond"/>
                <w:spacing w:val="-2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e</w:t>
            </w:r>
            <w:r>
              <w:rPr>
                <w:rFonts w:ascii="Garamond" w:hAnsi="Garamond"/>
                <w:spacing w:val="9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pagueshme sipas</w:t>
            </w:r>
            <w:r>
              <w:rPr>
                <w:rFonts w:ascii="Garamond" w:hAnsi="Garamond"/>
                <w:spacing w:val="6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seksionit 2.03 të kësaj</w:t>
            </w:r>
            <w:r>
              <w:rPr>
                <w:rFonts w:ascii="Garamond" w:hAnsi="Garamond"/>
                <w:spacing w:val="6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Marrëveshjeje,</w:t>
            </w:r>
            <w:r>
              <w:rPr>
                <w:rFonts w:ascii="Garamond" w:hAnsi="Garamond"/>
                <w:spacing w:val="34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në përputhje</w:t>
            </w:r>
            <w:r>
              <w:rPr>
                <w:rFonts w:ascii="Garamond" w:hAnsi="Garamond"/>
                <w:spacing w:val="10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me</w:t>
            </w:r>
            <w:r>
              <w:rPr>
                <w:rFonts w:ascii="Garamond" w:hAnsi="Garamond"/>
                <w:spacing w:val="7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seksionin</w:t>
            </w:r>
            <w:r>
              <w:rPr>
                <w:rFonts w:ascii="Garamond" w:hAnsi="Garamond"/>
                <w:spacing w:val="1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2.</w:t>
            </w:r>
            <w:r>
              <w:rPr>
                <w:rFonts w:ascii="Garamond" w:hAnsi="Garamond"/>
                <w:spacing w:val="1"/>
                <w:lang w:val="sq-AL"/>
              </w:rPr>
              <w:t>0</w:t>
            </w:r>
            <w:r>
              <w:rPr>
                <w:rFonts w:ascii="Garamond" w:hAnsi="Garamond"/>
                <w:lang w:val="sq-AL"/>
              </w:rPr>
              <w:t>7</w:t>
            </w:r>
            <w:r>
              <w:rPr>
                <w:rFonts w:ascii="Garamond" w:hAnsi="Garamond"/>
                <w:spacing w:val="25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(b)</w:t>
            </w:r>
            <w:r>
              <w:rPr>
                <w:rFonts w:ascii="Garamond" w:hAnsi="Garamond"/>
                <w:spacing w:val="8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 Kushte</w:t>
            </w:r>
            <w:r>
              <w:rPr>
                <w:rFonts w:ascii="Garamond" w:hAnsi="Garamond"/>
                <w:spacing w:val="1"/>
                <w:lang w:val="sq-AL"/>
              </w:rPr>
              <w:t>v</w:t>
            </w:r>
            <w:r>
              <w:rPr>
                <w:rFonts w:ascii="Garamond" w:hAnsi="Garamond"/>
                <w:lang w:val="sq-AL"/>
              </w:rPr>
              <w:t>e</w:t>
            </w:r>
            <w:r>
              <w:rPr>
                <w:rFonts w:ascii="Garamond" w:hAnsi="Garamond"/>
                <w:spacing w:val="3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>
              <w:rPr>
                <w:rFonts w:ascii="Garamond" w:hAnsi="Garamond"/>
                <w:spacing w:val="8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p</w:t>
            </w:r>
            <w:r>
              <w:rPr>
                <w:rFonts w:ascii="Garamond" w:hAnsi="Garamond"/>
                <w:spacing w:val="1"/>
                <w:lang w:val="sq-AL"/>
              </w:rPr>
              <w:t>ë</w:t>
            </w:r>
            <w:r>
              <w:rPr>
                <w:rFonts w:ascii="Garamond" w:hAnsi="Garamond"/>
                <w:lang w:val="sq-AL"/>
              </w:rPr>
              <w:t>rgjithshme</w:t>
            </w:r>
          </w:p>
        </w:tc>
      </w:tr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 E papërcaktuar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EB602B" w:rsidTr="00EB60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SHUMA TOTALE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02B" w:rsidRDefault="00EB602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15,500,00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2B" w:rsidRDefault="00EB602B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:rsidR="00EB602B" w:rsidRDefault="00EB602B" w:rsidP="00EB602B">
      <w:pPr>
        <w:spacing w:after="0"/>
        <w:ind w:firstLine="0"/>
        <w:jc w:val="center"/>
        <w:rPr>
          <w:rFonts w:ascii="Garamond" w:hAnsi="Garamond"/>
          <w:sz w:val="20"/>
          <w:szCs w:val="20"/>
          <w:lang w:val="sq-AL"/>
        </w:rPr>
      </w:pPr>
    </w:p>
    <w:p w:rsidR="00EB602B" w:rsidRDefault="00EB602B" w:rsidP="00EB602B">
      <w:pPr>
        <w:spacing w:after="0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Tel. +43 (1) 2170 782                       Faks: +43 (1) 2170 701</w:t>
      </w:r>
    </w:p>
    <w:p w:rsidR="00810C7D" w:rsidRDefault="00810C7D"/>
    <w:sectPr w:rsidR="00810C7D" w:rsidSect="00EB602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E1BB3"/>
    <w:multiLevelType w:val="hybridMultilevel"/>
    <w:tmpl w:val="8EFA8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2B"/>
    <w:rsid w:val="00810C7D"/>
    <w:rsid w:val="00EB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1E69C-D381-4237-B440-B5F8EA16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02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B60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B60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EB602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B60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602B"/>
    <w:rPr>
      <w:sz w:val="14"/>
      <w:szCs w:val="24"/>
    </w:rPr>
  </w:style>
  <w:style w:type="table" w:styleId="TableGrid">
    <w:name w:val="Table Grid"/>
    <w:basedOn w:val="TableNormal"/>
    <w:uiPriority w:val="39"/>
    <w:rsid w:val="00EB602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2019-02-15T08:49:00Z</dcterms:created>
  <dcterms:modified xsi:type="dcterms:W3CDTF">2019-02-15T08:54:00Z</dcterms:modified>
</cp:coreProperties>
</file>