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C6F63" w:rsidRDefault="00DC6F63" w:rsidP="00DC6F63">
      <w:pPr>
        <w:pStyle w:val="NeniTitull"/>
        <w:rPr>
          <w:spacing w:val="-4"/>
          <w:lang w:val="sq-AL"/>
        </w:rPr>
      </w:pPr>
      <w:r>
        <w:rPr>
          <w:spacing w:val="-4"/>
          <w:lang w:val="sq-AL"/>
        </w:rPr>
        <w:t>LIGJ</w:t>
      </w:r>
    </w:p>
    <w:p w:rsidR="00DC6F63" w:rsidRDefault="00DC6F63" w:rsidP="00DC6F63">
      <w:pPr>
        <w:pStyle w:val="NeniTitull"/>
        <w:rPr>
          <w:spacing w:val="-4"/>
          <w:lang w:val="sq-AL"/>
        </w:rPr>
      </w:pPr>
      <w:r>
        <w:rPr>
          <w:spacing w:val="-4"/>
          <w:lang w:val="sq-AL"/>
        </w:rPr>
        <w:t>Nr. 4/2019</w:t>
      </w:r>
    </w:p>
    <w:p w:rsidR="00DC6F63" w:rsidRDefault="00DC6F63" w:rsidP="00DC6F63">
      <w:pPr>
        <w:pStyle w:val="Hapesira7"/>
        <w:rPr>
          <w:lang w:val="sq-AL"/>
        </w:rPr>
      </w:pPr>
    </w:p>
    <w:p w:rsidR="00DC6F63" w:rsidRDefault="00DC6F63" w:rsidP="00DC6F63">
      <w:pPr>
        <w:pStyle w:val="NeniTitull"/>
        <w:rPr>
          <w:spacing w:val="-4"/>
          <w:lang w:val="sq-AL"/>
        </w:rPr>
      </w:pPr>
      <w:r>
        <w:rPr>
          <w:spacing w:val="-4"/>
          <w:lang w:val="sq-AL"/>
        </w:rPr>
        <w:t>PËR DISA NDRYSHIME DHE SHTESA NË LIGJIN NR. 64/2012, “PËR PESHKIMIN”, TË NDRYSHUAR</w:t>
      </w:r>
      <w:r>
        <w:rPr>
          <w:spacing w:val="-4"/>
          <w:vertAlign w:val="superscript"/>
          <w:lang w:val="sq-AL"/>
        </w:rPr>
        <w:footnoteReference w:id="1"/>
      </w:r>
    </w:p>
    <w:p w:rsidR="00DC6F63" w:rsidRDefault="00DC6F63" w:rsidP="00DC6F63">
      <w:pPr>
        <w:pStyle w:val="Hapesira7"/>
        <w:rPr>
          <w:lang w:val="sq-AL"/>
        </w:rPr>
      </w:pPr>
    </w:p>
    <w:p w:rsidR="00DC6F63" w:rsidRDefault="00DC6F63" w:rsidP="00DC6F63">
      <w:pPr>
        <w:pStyle w:val="Paragrafi"/>
        <w:rPr>
          <w:spacing w:val="-4"/>
          <w:lang w:val="sq-AL"/>
        </w:rPr>
      </w:pPr>
      <w:r>
        <w:rPr>
          <w:spacing w:val="-4"/>
          <w:lang w:val="sq-AL"/>
        </w:rPr>
        <w:tab/>
        <w:t xml:space="preserve">Në mbështetje të neneve 78 dhe 83, pika 1, të Kushtetutës, me propozimin e Këshillit të Ministrave, </w:t>
      </w:r>
    </w:p>
    <w:p w:rsidR="00DC6F63" w:rsidRDefault="00DC6F63" w:rsidP="00DC6F63">
      <w:pPr>
        <w:pStyle w:val="NeniNr"/>
        <w:rPr>
          <w:spacing w:val="-4"/>
          <w:lang w:val="sq-AL"/>
        </w:rPr>
      </w:pPr>
      <w:r>
        <w:rPr>
          <w:spacing w:val="-4"/>
          <w:lang w:val="sq-AL"/>
        </w:rPr>
        <w:t>KUVENDI</w:t>
      </w:r>
    </w:p>
    <w:p w:rsidR="00DC6F63" w:rsidRDefault="00DC6F63" w:rsidP="00DC6F63">
      <w:pPr>
        <w:pStyle w:val="NeniNr"/>
        <w:rPr>
          <w:spacing w:val="-4"/>
          <w:lang w:val="sq-AL"/>
        </w:rPr>
      </w:pPr>
      <w:r>
        <w:rPr>
          <w:spacing w:val="-4"/>
          <w:lang w:val="sq-AL"/>
        </w:rPr>
        <w:t>I REPUBLIKËS SË SHQIPËRISË</w:t>
      </w:r>
    </w:p>
    <w:p w:rsidR="00DC6F63" w:rsidRDefault="00DC6F63" w:rsidP="00DC6F63">
      <w:pPr>
        <w:pStyle w:val="Hapesira7"/>
        <w:rPr>
          <w:lang w:val="sq-AL"/>
        </w:rPr>
      </w:pPr>
    </w:p>
    <w:p w:rsidR="00DC6F63" w:rsidRDefault="00DC6F63" w:rsidP="00DC6F63">
      <w:pPr>
        <w:pStyle w:val="NeniNr"/>
        <w:rPr>
          <w:spacing w:val="-4"/>
          <w:lang w:val="sq-AL"/>
        </w:rPr>
      </w:pPr>
      <w:r>
        <w:rPr>
          <w:spacing w:val="-4"/>
          <w:lang w:val="sq-AL"/>
        </w:rPr>
        <w:t>VENDOSI:</w:t>
      </w:r>
    </w:p>
    <w:p w:rsidR="00DC6F63" w:rsidRDefault="00DC6F63" w:rsidP="00DC6F63">
      <w:pPr>
        <w:pStyle w:val="Hapesira7"/>
        <w:rPr>
          <w:lang w:val="sq-AL"/>
        </w:rPr>
      </w:pPr>
    </w:p>
    <w:p w:rsidR="00DC6F63" w:rsidRDefault="00DC6F63" w:rsidP="00DC6F63">
      <w:pPr>
        <w:pStyle w:val="Paragrafi"/>
        <w:rPr>
          <w:spacing w:val="-4"/>
          <w:lang w:val="sq-AL"/>
        </w:rPr>
      </w:pPr>
      <w:r>
        <w:rPr>
          <w:spacing w:val="-4"/>
          <w:lang w:val="sq-AL"/>
        </w:rPr>
        <w:tab/>
        <w:t>Në ligjin nr. 64/2012, “Për peshkimin”, të ndryshuar, bëhen ndryshimet dhe shtesat si më poshtë:</w:t>
      </w:r>
    </w:p>
    <w:p w:rsidR="00DC6F63" w:rsidRDefault="00DC6F63" w:rsidP="00DC6F63">
      <w:pPr>
        <w:pStyle w:val="Hapesira7"/>
        <w:rPr>
          <w:lang w:val="sq-AL"/>
        </w:rPr>
      </w:pPr>
    </w:p>
    <w:p w:rsidR="00DC6F63" w:rsidRDefault="00DC6F63" w:rsidP="00DC6F63">
      <w:pPr>
        <w:pStyle w:val="NeniNr"/>
        <w:rPr>
          <w:spacing w:val="-4"/>
          <w:lang w:val="sq-AL"/>
        </w:rPr>
      </w:pPr>
      <w:r>
        <w:rPr>
          <w:spacing w:val="-4"/>
          <w:lang w:val="sq-AL"/>
        </w:rPr>
        <w:t>Neni 1</w:t>
      </w:r>
    </w:p>
    <w:p w:rsidR="00DC6F63" w:rsidRDefault="00DC6F63" w:rsidP="00DC6F63">
      <w:pPr>
        <w:pStyle w:val="Hapesira7"/>
        <w:rPr>
          <w:lang w:val="sq-AL"/>
        </w:rPr>
      </w:pPr>
    </w:p>
    <w:p w:rsidR="00DC6F63" w:rsidRDefault="00DC6F63" w:rsidP="00DC6F63">
      <w:pPr>
        <w:pStyle w:val="Paragrafi"/>
        <w:rPr>
          <w:spacing w:val="-4"/>
          <w:lang w:val="sq-AL"/>
        </w:rPr>
      </w:pPr>
      <w:r>
        <w:rPr>
          <w:spacing w:val="-4"/>
          <w:lang w:val="sq-AL"/>
        </w:rPr>
        <w:tab/>
        <w:t>Kudo në ligj, emërtimi “Drejtoria e Shërbimeve të Peshkimit dhe Akuakulturës” zëvendësohet me emërtimin “Institucioni përgjegjës për shërbimet e peshkimit dhe të akuakulturës.”.</w:t>
      </w:r>
    </w:p>
    <w:p w:rsidR="00DC6F63" w:rsidRDefault="00DC6F63" w:rsidP="00DC6F63">
      <w:pPr>
        <w:pStyle w:val="Hapesira7"/>
        <w:rPr>
          <w:lang w:val="sq-AL"/>
        </w:rPr>
      </w:pPr>
    </w:p>
    <w:p w:rsidR="00DC6F63" w:rsidRDefault="00DC6F63" w:rsidP="00DC6F63">
      <w:pPr>
        <w:pStyle w:val="NeniNr"/>
        <w:rPr>
          <w:spacing w:val="-4"/>
          <w:lang w:val="sq-AL"/>
        </w:rPr>
      </w:pPr>
      <w:r>
        <w:rPr>
          <w:spacing w:val="-4"/>
          <w:lang w:val="sq-AL"/>
        </w:rPr>
        <w:t>Neni 2</w:t>
      </w:r>
    </w:p>
    <w:p w:rsidR="00DC6F63" w:rsidRDefault="00DC6F63" w:rsidP="00DC6F63">
      <w:pPr>
        <w:pStyle w:val="Hapesira7"/>
        <w:rPr>
          <w:lang w:val="sq-AL"/>
        </w:rPr>
      </w:pPr>
    </w:p>
    <w:p w:rsidR="00DC6F63" w:rsidRDefault="00DC6F63" w:rsidP="00DC6F63">
      <w:pPr>
        <w:pStyle w:val="Paragrafi"/>
        <w:rPr>
          <w:spacing w:val="-4"/>
          <w:lang w:val="sq-AL"/>
        </w:rPr>
      </w:pPr>
      <w:r>
        <w:rPr>
          <w:spacing w:val="-4"/>
          <w:lang w:val="sq-AL"/>
        </w:rPr>
        <w:tab/>
        <w:t>Në nenin 4 bëhen këto ndryshime:</w:t>
      </w:r>
    </w:p>
    <w:p w:rsidR="00DC6F63" w:rsidRDefault="00DC6F63" w:rsidP="00DC6F63">
      <w:pPr>
        <w:pStyle w:val="Paragrafi"/>
        <w:rPr>
          <w:spacing w:val="-4"/>
          <w:lang w:val="sq-AL"/>
        </w:rPr>
      </w:pPr>
      <w:r>
        <w:rPr>
          <w:spacing w:val="-4"/>
          <w:lang w:val="sq-AL"/>
        </w:rPr>
        <w:tab/>
        <w:t>1. Pas pikës 22 shtohen pikat 22/1 dhe 22/2 me këtë përmbajtje:</w:t>
      </w:r>
    </w:p>
    <w:p w:rsidR="00DC6F63" w:rsidRDefault="00DC6F63" w:rsidP="00DC6F63">
      <w:pPr>
        <w:pStyle w:val="Paragrafi"/>
        <w:rPr>
          <w:spacing w:val="-4"/>
          <w:lang w:val="sq-AL"/>
        </w:rPr>
      </w:pPr>
      <w:r>
        <w:rPr>
          <w:spacing w:val="-4"/>
          <w:lang w:val="sq-AL"/>
        </w:rPr>
        <w:tab/>
        <w:t xml:space="preserve">“22/1. “Infrastruktura e peshkimit” është tërësia e trojeve, kalatave, godinave dhe çdo objekt tjetër i paluajtshëm në territorin e portit të peshkimit apo qendrës së peshkimit, përfshirë muret rrethuese të tij dhe akuatoriumin, instalimet e sinjalizimit, të ndriçimit dhe të komunikimit brenda territorit të portit dhe në kanalin hyrës. </w:t>
      </w:r>
    </w:p>
    <w:p w:rsidR="00DC6F63" w:rsidRDefault="00DC6F63" w:rsidP="00DC6F63">
      <w:pPr>
        <w:pStyle w:val="Paragrafi"/>
        <w:rPr>
          <w:spacing w:val="-4"/>
          <w:lang w:val="sq-AL"/>
        </w:rPr>
      </w:pPr>
      <w:r>
        <w:rPr>
          <w:spacing w:val="-4"/>
          <w:lang w:val="sq-AL"/>
        </w:rPr>
        <w:tab/>
        <w:t xml:space="preserve">22/2. “Infrastruktura që lidhet me peshkimin” është ajo pjesë e infrastrukturës së peshkimit, e cila përbëhet nga merkatot, shkallët e riparimit të anijeve të peshkimit dhe depozitat e karburantit, të cilat janë ndihmuese në zhvillimin e aktivitetit të peshkimit.”. </w:t>
      </w:r>
    </w:p>
    <w:p w:rsidR="00DC6F63" w:rsidRDefault="00DC6F63" w:rsidP="00DC6F63">
      <w:pPr>
        <w:pStyle w:val="Paragrafi"/>
        <w:rPr>
          <w:spacing w:val="-4"/>
          <w:lang w:val="sq-AL"/>
        </w:rPr>
      </w:pPr>
      <w:r>
        <w:rPr>
          <w:spacing w:val="-4"/>
          <w:lang w:val="sq-AL"/>
        </w:rPr>
        <w:tab/>
        <w:t xml:space="preserve">2. Pika 63 ndryshohet si më poshtë: </w:t>
      </w:r>
    </w:p>
    <w:p w:rsidR="00DC6F63" w:rsidRDefault="00DC6F63" w:rsidP="00DC6F63">
      <w:pPr>
        <w:pStyle w:val="Paragrafi"/>
        <w:rPr>
          <w:spacing w:val="-4"/>
          <w:lang w:val="sq-AL"/>
        </w:rPr>
      </w:pPr>
      <w:r>
        <w:rPr>
          <w:spacing w:val="-4"/>
          <w:lang w:val="sq-AL"/>
        </w:rPr>
        <w:tab/>
        <w:t>“63. “Peshkim tregtar artizanal ose peshkim bregdetar artizanal” është peshkimi tregtar që zhvillohet nga anije më të vogla se 12 metra dhe që nuk përdorin vegla peshkimi fundor, me ose pa timon, vegla peshkimi me tërheqje të peshkimit pelagjik me timon ose çift pelagjik, rrjeta binjake me timon dhe draga hidraulike.”.</w:t>
      </w:r>
    </w:p>
    <w:p w:rsidR="00DC6F63" w:rsidRDefault="00DC6F63" w:rsidP="00DC6F63">
      <w:pPr>
        <w:pStyle w:val="Paragrafi"/>
        <w:rPr>
          <w:spacing w:val="-4"/>
          <w:lang w:val="sq-AL"/>
        </w:rPr>
      </w:pPr>
      <w:r>
        <w:rPr>
          <w:spacing w:val="-4"/>
          <w:lang w:val="sq-AL"/>
        </w:rPr>
        <w:tab/>
        <w:t>3. Pas pikës 64 shtohet pika 64/1 me këtë përmbajtje:</w:t>
      </w:r>
    </w:p>
    <w:p w:rsidR="00DC6F63" w:rsidRDefault="00DC6F63" w:rsidP="00DC6F63">
      <w:pPr>
        <w:pStyle w:val="Paragrafi"/>
        <w:rPr>
          <w:spacing w:val="-4"/>
          <w:lang w:val="sq-AL"/>
        </w:rPr>
      </w:pPr>
      <w:r>
        <w:rPr>
          <w:spacing w:val="-4"/>
          <w:lang w:val="sq-AL"/>
        </w:rPr>
        <w:tab/>
        <w:t>“64/1. “Peshkim pa përdorimin e mjeteve lundruese” janë të gjitha format e peshkimit për zënien apo grumbullimin e peshqve dhe të organizmave detarë/ujorë, të cilët kryhen pa përdorimin e mjeteve lundruese.”.</w:t>
      </w:r>
    </w:p>
    <w:p w:rsidR="00DC6F63" w:rsidRDefault="00DC6F63" w:rsidP="00DC6F63">
      <w:pPr>
        <w:pStyle w:val="Paragrafi"/>
        <w:rPr>
          <w:spacing w:val="-4"/>
          <w:lang w:val="sq-AL"/>
        </w:rPr>
      </w:pPr>
      <w:r>
        <w:rPr>
          <w:spacing w:val="-4"/>
          <w:lang w:val="sq-AL"/>
        </w:rPr>
        <w:tab/>
        <w:t xml:space="preserve">4. Pas pikës 83 shtohet pika 83/1 me këtë përmbajtje: </w:t>
      </w:r>
    </w:p>
    <w:p w:rsidR="00DC6F63" w:rsidRDefault="00DC6F63" w:rsidP="00DC6F63">
      <w:pPr>
        <w:pStyle w:val="Paragrafi"/>
        <w:rPr>
          <w:spacing w:val="-4"/>
          <w:lang w:val="sq-AL"/>
        </w:rPr>
      </w:pPr>
      <w:r>
        <w:rPr>
          <w:spacing w:val="-4"/>
          <w:lang w:val="sq-AL"/>
        </w:rPr>
        <w:tab/>
      </w:r>
    </w:p>
    <w:p w:rsidR="00DC6F63" w:rsidRDefault="00DC6F63" w:rsidP="00DC6F63">
      <w:pPr>
        <w:pStyle w:val="Paragrafi"/>
        <w:rPr>
          <w:spacing w:val="-4"/>
          <w:lang w:val="sq-AL"/>
        </w:rPr>
      </w:pPr>
      <w:r>
        <w:rPr>
          <w:spacing w:val="-4"/>
          <w:lang w:val="sq-AL"/>
        </w:rPr>
        <w:lastRenderedPageBreak/>
        <w:t xml:space="preserve">“83/1. “Sistem i monitorimit të anijes” janë pajisjet </w:t>
      </w:r>
      <w:r>
        <w:rPr>
          <w:i/>
          <w:spacing w:val="-4"/>
          <w:lang w:val="sq-AL"/>
        </w:rPr>
        <w:t>hardware</w:t>
      </w:r>
      <w:r>
        <w:rPr>
          <w:spacing w:val="-4"/>
          <w:lang w:val="sq-AL"/>
        </w:rPr>
        <w:t xml:space="preserve"> dhe </w:t>
      </w:r>
      <w:r>
        <w:rPr>
          <w:i/>
          <w:spacing w:val="-4"/>
          <w:lang w:val="sq-AL"/>
        </w:rPr>
        <w:t>software</w:t>
      </w:r>
      <w:r>
        <w:rPr>
          <w:spacing w:val="-4"/>
          <w:lang w:val="sq-AL"/>
        </w:rPr>
        <w:t xml:space="preserve"> dhe pajisjet MTU (</w:t>
      </w:r>
      <w:r>
        <w:rPr>
          <w:i/>
          <w:spacing w:val="-4"/>
          <w:lang w:val="sq-AL"/>
        </w:rPr>
        <w:t>Mobile Transceiver Unit</w:t>
      </w:r>
      <w:r>
        <w:rPr>
          <w:spacing w:val="-4"/>
          <w:lang w:val="sq-AL"/>
        </w:rPr>
        <w:t>), të instaluara në bordin e anijeve të peshkimit, të cilat realizojnë identifikimin e një anijeje, pozicionin e saj gjeografik, datën, orën, kursin, shpejtësinë dhe që mundësojnë transmetimin e të dhënave ndërmjet saj, Qendrës Ndërinstitucionale Operacionale Detare (QNOD) dhe ministrisë, sipas përcaktimeve të nenit 67 të këtij ligji.”.</w:t>
      </w:r>
    </w:p>
    <w:p w:rsidR="00DC6F63" w:rsidRDefault="00DC6F63" w:rsidP="00DC6F63">
      <w:pPr>
        <w:pStyle w:val="Hapesira7"/>
        <w:rPr>
          <w:lang w:val="sq-AL"/>
        </w:rPr>
      </w:pPr>
    </w:p>
    <w:p w:rsidR="00DC6F63" w:rsidRDefault="00DC6F63" w:rsidP="00DC6F63">
      <w:pPr>
        <w:pStyle w:val="NeniNr"/>
        <w:rPr>
          <w:spacing w:val="-4"/>
          <w:lang w:val="sq-AL"/>
        </w:rPr>
      </w:pPr>
      <w:r>
        <w:rPr>
          <w:spacing w:val="-4"/>
          <w:lang w:val="sq-AL"/>
        </w:rPr>
        <w:t>Neni 3</w:t>
      </w:r>
    </w:p>
    <w:p w:rsidR="00DC6F63" w:rsidRDefault="00DC6F63" w:rsidP="00DC6F63">
      <w:pPr>
        <w:pStyle w:val="Hapesira7"/>
        <w:rPr>
          <w:lang w:val="sq-AL"/>
        </w:rPr>
      </w:pPr>
    </w:p>
    <w:p w:rsidR="00DC6F63" w:rsidRDefault="00DC6F63" w:rsidP="00DC6F63">
      <w:pPr>
        <w:pStyle w:val="Paragrafi"/>
        <w:rPr>
          <w:spacing w:val="-4"/>
          <w:lang w:val="sq-AL"/>
        </w:rPr>
      </w:pPr>
      <w:r>
        <w:rPr>
          <w:spacing w:val="-4"/>
          <w:lang w:val="sq-AL"/>
        </w:rPr>
        <w:tab/>
        <w:t xml:space="preserve">Në nenin 19, pika 3, shkronja “h” ndryshohet si më poshtë: </w:t>
      </w:r>
    </w:p>
    <w:p w:rsidR="00DC6F63" w:rsidRDefault="00DC6F63" w:rsidP="00DC6F63">
      <w:pPr>
        <w:pStyle w:val="Paragrafi"/>
        <w:rPr>
          <w:spacing w:val="-4"/>
          <w:lang w:val="sq-AL"/>
        </w:rPr>
      </w:pPr>
      <w:r>
        <w:rPr>
          <w:spacing w:val="-4"/>
          <w:lang w:val="sq-AL"/>
        </w:rPr>
        <w:tab/>
        <w:t>“h) autorizimin e organeve administrative ose të enteve të tjera për dhënien e së drejtës së peshkimit, të parashikuara në këtë ligj.”.</w:t>
      </w:r>
    </w:p>
    <w:p w:rsidR="00DC6F63" w:rsidRDefault="00DC6F63" w:rsidP="00DC6F63">
      <w:pPr>
        <w:pStyle w:val="Hapesira7"/>
        <w:rPr>
          <w:lang w:val="sq-AL"/>
        </w:rPr>
      </w:pPr>
    </w:p>
    <w:p w:rsidR="00DC6F63" w:rsidRDefault="00DC6F63" w:rsidP="00DC6F63">
      <w:pPr>
        <w:pStyle w:val="NeniNr"/>
        <w:rPr>
          <w:spacing w:val="-4"/>
          <w:lang w:val="sq-AL"/>
        </w:rPr>
      </w:pPr>
      <w:r>
        <w:rPr>
          <w:spacing w:val="-4"/>
          <w:lang w:val="sq-AL"/>
        </w:rPr>
        <w:t>Neni 4</w:t>
      </w:r>
    </w:p>
    <w:p w:rsidR="00DC6F63" w:rsidRDefault="00DC6F63" w:rsidP="00DC6F63">
      <w:pPr>
        <w:pStyle w:val="Hapesira7"/>
        <w:rPr>
          <w:lang w:val="sq-AL"/>
        </w:rPr>
      </w:pPr>
    </w:p>
    <w:p w:rsidR="00DC6F63" w:rsidRDefault="00DC6F63" w:rsidP="00DC6F63">
      <w:pPr>
        <w:pStyle w:val="Paragrafi"/>
        <w:rPr>
          <w:spacing w:val="-4"/>
          <w:lang w:val="sq-AL"/>
        </w:rPr>
      </w:pPr>
      <w:r>
        <w:rPr>
          <w:spacing w:val="-4"/>
          <w:lang w:val="sq-AL"/>
        </w:rPr>
        <w:tab/>
        <w:t xml:space="preserve">Në nenin 30 të bëhen ndryshimet e mëposhtme: </w:t>
      </w:r>
    </w:p>
    <w:p w:rsidR="00DC6F63" w:rsidRDefault="00DC6F63" w:rsidP="00DC6F63">
      <w:pPr>
        <w:pStyle w:val="Paragrafi"/>
        <w:rPr>
          <w:spacing w:val="-4"/>
          <w:lang w:val="sq-AL"/>
        </w:rPr>
      </w:pPr>
      <w:r>
        <w:rPr>
          <w:spacing w:val="-4"/>
          <w:lang w:val="sq-AL"/>
        </w:rPr>
        <w:tab/>
        <w:t>1. Pika 1 riformulohet si më poshtë:</w:t>
      </w:r>
    </w:p>
    <w:p w:rsidR="00DC6F63" w:rsidRDefault="00DC6F63" w:rsidP="00DC6F63">
      <w:pPr>
        <w:pStyle w:val="Paragrafi"/>
        <w:rPr>
          <w:spacing w:val="-4"/>
          <w:lang w:val="sq-AL"/>
        </w:rPr>
      </w:pPr>
      <w:r>
        <w:rPr>
          <w:spacing w:val="-4"/>
          <w:lang w:val="sq-AL"/>
        </w:rPr>
        <w:tab/>
        <w:t xml:space="preserve">“1. Leja e peshkimit tregtar përfshihet në kategorinë III.5. A.1. të shtojcës së ligjit nr. 10 081, datë 23.2.2009, “Për licencat, autorizimet dhe lejet në Republikën e Shqipërisë”. Leja e peshkimit tregtar lëshohet, menaxhohet dhe hiqet në përputhje të plotë me procedurat e përcaktuara në këtë ligj dhe në ligjin nr. 10 081, datë 23.2.2009, “Për licencat, autorizimet dhe lejet në Republikën e Shqipërisë”. </w:t>
      </w:r>
    </w:p>
    <w:p w:rsidR="00DC6F63" w:rsidRDefault="00DC6F63" w:rsidP="00DC6F63">
      <w:pPr>
        <w:pStyle w:val="Paragrafi"/>
        <w:rPr>
          <w:spacing w:val="-4"/>
          <w:lang w:val="sq-AL"/>
        </w:rPr>
      </w:pPr>
      <w:r>
        <w:rPr>
          <w:spacing w:val="-4"/>
          <w:lang w:val="sq-AL"/>
        </w:rPr>
        <w:tab/>
        <w:t>2. Pas pikës 6 shtohet pika 7 me këtë përmbajtje:</w:t>
      </w:r>
    </w:p>
    <w:p w:rsidR="00DC6F63" w:rsidRDefault="00DC6F63" w:rsidP="00DC6F63">
      <w:pPr>
        <w:pStyle w:val="Paragrafi"/>
        <w:rPr>
          <w:spacing w:val="-4"/>
          <w:lang w:val="sq-AL"/>
        </w:rPr>
      </w:pPr>
      <w:r>
        <w:rPr>
          <w:spacing w:val="-4"/>
          <w:lang w:val="sq-AL"/>
        </w:rPr>
        <w:tab/>
        <w:t>“7. E drejta e peshkimit për format e tjera të peshkimit në det, pa përdorimin e mjeteve lundruese, me përjashtim të rasteve kur ndalohet nga legjislacioni në fuqi për mbrojtjen e mjedisit, fitohet nëpërmjet konkurrimit publik dhe përfshihet në kategorinë III.5. A.2, të shtojcës së ligjit nr. 10 081, datë 23.2.2009, “Për licencat, autorizimet dhe lejet në Republikën e Shqipërisë”. Procedurat e konkurrimit publik përcaktohen me vendim të Këshillit të Ministrave.”.</w:t>
      </w:r>
    </w:p>
    <w:p w:rsidR="00DC6F63" w:rsidRDefault="00DC6F63" w:rsidP="00DC6F63">
      <w:pPr>
        <w:pStyle w:val="Hapesira7"/>
        <w:rPr>
          <w:lang w:val="sq-AL"/>
        </w:rPr>
      </w:pPr>
    </w:p>
    <w:p w:rsidR="00DC6F63" w:rsidRDefault="00DC6F63" w:rsidP="00DC6F63">
      <w:pPr>
        <w:pStyle w:val="NeniNr"/>
        <w:rPr>
          <w:spacing w:val="-4"/>
          <w:lang w:val="sq-AL"/>
        </w:rPr>
      </w:pPr>
      <w:r>
        <w:rPr>
          <w:spacing w:val="-4"/>
          <w:lang w:val="sq-AL"/>
        </w:rPr>
        <w:t>Neni 5</w:t>
      </w:r>
    </w:p>
    <w:p w:rsidR="00DC6F63" w:rsidRDefault="00DC6F63" w:rsidP="00DC6F63">
      <w:pPr>
        <w:pStyle w:val="Hapesira7"/>
        <w:rPr>
          <w:lang w:val="sq-AL"/>
        </w:rPr>
      </w:pPr>
    </w:p>
    <w:p w:rsidR="00DC6F63" w:rsidRDefault="00DC6F63" w:rsidP="00DC6F63">
      <w:pPr>
        <w:pStyle w:val="Paragrafi"/>
        <w:rPr>
          <w:spacing w:val="-4"/>
          <w:lang w:val="sq-AL"/>
        </w:rPr>
      </w:pPr>
      <w:r>
        <w:rPr>
          <w:spacing w:val="-4"/>
          <w:lang w:val="sq-AL"/>
        </w:rPr>
        <w:tab/>
        <w:t xml:space="preserve">Pas nenit 34 shtohet neni 34/1 me këtë përmbajtje: </w:t>
      </w:r>
    </w:p>
    <w:p w:rsidR="00DC6F63" w:rsidRDefault="00DC6F63" w:rsidP="00DC6F63">
      <w:pPr>
        <w:pStyle w:val="NeniNr"/>
        <w:keepNext w:val="0"/>
        <w:jc w:val="left"/>
        <w:rPr>
          <w:spacing w:val="-4"/>
          <w:lang w:val="sq-AL"/>
        </w:rPr>
      </w:pPr>
    </w:p>
    <w:p w:rsidR="00DC6F63" w:rsidRDefault="00DC6F63" w:rsidP="00DC6F63">
      <w:pPr>
        <w:pStyle w:val="NeniNr"/>
        <w:rPr>
          <w:spacing w:val="-4"/>
          <w:lang w:val="sq-AL"/>
        </w:rPr>
      </w:pPr>
      <w:r>
        <w:rPr>
          <w:spacing w:val="-4"/>
          <w:lang w:val="sq-AL"/>
        </w:rPr>
        <w:t>“Neni 34/1</w:t>
      </w:r>
    </w:p>
    <w:p w:rsidR="00DC6F63" w:rsidRDefault="00DC6F63" w:rsidP="00DC6F63">
      <w:pPr>
        <w:pStyle w:val="NeniTitull"/>
        <w:rPr>
          <w:spacing w:val="-4"/>
          <w:lang w:val="sq-AL"/>
        </w:rPr>
      </w:pPr>
      <w:r>
        <w:rPr>
          <w:spacing w:val="-4"/>
          <w:lang w:val="sq-AL"/>
        </w:rPr>
        <w:t>Peshkimi bregdetar artizanal</w:t>
      </w:r>
    </w:p>
    <w:p w:rsidR="00DC6F63" w:rsidRDefault="00DC6F63" w:rsidP="00DC6F63">
      <w:pPr>
        <w:pStyle w:val="Hapesira7"/>
        <w:rPr>
          <w:lang w:val="sq-AL"/>
        </w:rPr>
      </w:pPr>
    </w:p>
    <w:p w:rsidR="00DC6F63" w:rsidRDefault="00DC6F63" w:rsidP="00DC6F63">
      <w:pPr>
        <w:pStyle w:val="Paragrafi"/>
        <w:rPr>
          <w:spacing w:val="-4"/>
          <w:lang w:val="sq-AL"/>
        </w:rPr>
      </w:pPr>
      <w:r>
        <w:rPr>
          <w:spacing w:val="-4"/>
          <w:lang w:val="sq-AL"/>
        </w:rPr>
        <w:tab/>
        <w:t xml:space="preserve">1. Me qëllim që të kenë të drejtë të hyjnë në burime, anijet e peshkimit bregdetar artizanal duhet të jenë të përfshira në një nga format e organizimit, të përcaktuara në pikën 1, të nenit 58, të këtij ligji, me qëllim bashkërendimin dhe menaxhimin e peshkimit artizanal në shkallë të vogël. </w:t>
      </w:r>
    </w:p>
    <w:p w:rsidR="00DC6F63" w:rsidRDefault="00DC6F63" w:rsidP="00DC6F63">
      <w:pPr>
        <w:pStyle w:val="Paragrafi"/>
        <w:rPr>
          <w:spacing w:val="-4"/>
          <w:lang w:val="sq-AL"/>
        </w:rPr>
      </w:pPr>
      <w:r>
        <w:rPr>
          <w:spacing w:val="-4"/>
          <w:lang w:val="sq-AL"/>
        </w:rPr>
        <w:tab/>
        <w:t xml:space="preserve">2. Organizatat, sipas pikës 1, të këtij neni, mund të jenë të vetme ose të përfshira në kuadër të organizimeve më të gjera dhe që veprojnë në nivel kombëtar ose rajonal. </w:t>
      </w:r>
    </w:p>
    <w:p w:rsidR="00DC6F63" w:rsidRDefault="00DC6F63" w:rsidP="00DC6F63">
      <w:pPr>
        <w:pStyle w:val="Paragrafi"/>
        <w:rPr>
          <w:spacing w:val="-4"/>
          <w:lang w:val="sq-AL"/>
        </w:rPr>
      </w:pPr>
      <w:r>
        <w:rPr>
          <w:spacing w:val="-4"/>
          <w:lang w:val="sq-AL"/>
        </w:rPr>
        <w:tab/>
        <w:t>3. Aplikimi për leje peshkimi, sipas pikës 1, të nenit 30, të këtij ligji, bëhet në përputhje me planin e menaxhimit të zonës në fjalë.”.</w:t>
      </w:r>
    </w:p>
    <w:p w:rsidR="00DC6F63" w:rsidRDefault="00DC6F63" w:rsidP="00DC6F63">
      <w:pPr>
        <w:pStyle w:val="Hapesira7"/>
        <w:rPr>
          <w:lang w:val="sq-AL"/>
        </w:rPr>
      </w:pPr>
    </w:p>
    <w:p w:rsidR="00DC6F63" w:rsidRDefault="00DC6F63" w:rsidP="00DC6F63">
      <w:pPr>
        <w:pStyle w:val="NeniNr"/>
        <w:rPr>
          <w:spacing w:val="-4"/>
          <w:lang w:val="sq-AL"/>
        </w:rPr>
      </w:pPr>
      <w:r>
        <w:rPr>
          <w:spacing w:val="-4"/>
          <w:lang w:val="sq-AL"/>
        </w:rPr>
        <w:t>Neni 6</w:t>
      </w:r>
    </w:p>
    <w:p w:rsidR="00DC6F63" w:rsidRDefault="00DC6F63" w:rsidP="00DC6F63">
      <w:pPr>
        <w:pStyle w:val="Hapesira7"/>
        <w:rPr>
          <w:lang w:val="sq-AL"/>
        </w:rPr>
      </w:pPr>
    </w:p>
    <w:p w:rsidR="00DC6F63" w:rsidRDefault="00DC6F63" w:rsidP="00DC6F63">
      <w:pPr>
        <w:pStyle w:val="Paragrafi"/>
        <w:rPr>
          <w:spacing w:val="-4"/>
          <w:lang w:val="sq-AL"/>
        </w:rPr>
      </w:pPr>
      <w:r>
        <w:rPr>
          <w:spacing w:val="-4"/>
          <w:lang w:val="sq-AL"/>
        </w:rPr>
        <w:tab/>
        <w:t xml:space="preserve">Në nenin 44, pika 1 ndryshohet si më poshtë: </w:t>
      </w:r>
    </w:p>
    <w:p w:rsidR="00DC6F63" w:rsidRDefault="00DC6F63" w:rsidP="00DC6F63">
      <w:pPr>
        <w:pStyle w:val="Paragrafi"/>
        <w:rPr>
          <w:spacing w:val="-4"/>
          <w:lang w:val="sq-AL"/>
        </w:rPr>
      </w:pPr>
      <w:r>
        <w:rPr>
          <w:spacing w:val="-4"/>
          <w:lang w:val="sq-AL"/>
        </w:rPr>
        <w:tab/>
        <w:t>“1. Mjetet që përdoren për peshkimin çlodhës–argëtues dhe mënyra e lëshimit të autorizimit përcaktohen me udhëzim të ministrit.”.</w:t>
      </w:r>
    </w:p>
    <w:p w:rsidR="00DC6F63" w:rsidRDefault="00DC6F63" w:rsidP="00DC6F63">
      <w:pPr>
        <w:pStyle w:val="Hapesira7"/>
        <w:rPr>
          <w:lang w:val="sq-AL"/>
        </w:rPr>
      </w:pPr>
    </w:p>
    <w:p w:rsidR="00DC6F63" w:rsidRDefault="00DC6F63" w:rsidP="00DC6F63">
      <w:pPr>
        <w:pStyle w:val="NeniNr"/>
        <w:rPr>
          <w:spacing w:val="-4"/>
          <w:lang w:val="sq-AL"/>
        </w:rPr>
      </w:pPr>
      <w:r>
        <w:rPr>
          <w:spacing w:val="-4"/>
          <w:lang w:val="sq-AL"/>
        </w:rPr>
        <w:t>Neni 7</w:t>
      </w:r>
    </w:p>
    <w:p w:rsidR="00DC6F63" w:rsidRDefault="00DC6F63" w:rsidP="00DC6F63">
      <w:pPr>
        <w:pStyle w:val="Hapesira7"/>
        <w:rPr>
          <w:lang w:val="sq-AL"/>
        </w:rPr>
      </w:pPr>
    </w:p>
    <w:p w:rsidR="00DC6F63" w:rsidRDefault="00DC6F63" w:rsidP="00DC6F63">
      <w:pPr>
        <w:pStyle w:val="Paragrafi"/>
        <w:rPr>
          <w:spacing w:val="-4"/>
          <w:lang w:val="sq-AL"/>
        </w:rPr>
      </w:pPr>
      <w:r>
        <w:rPr>
          <w:spacing w:val="-4"/>
          <w:lang w:val="sq-AL"/>
        </w:rPr>
        <w:tab/>
        <w:t xml:space="preserve">Në nenin 60, pas shkronjës “ç” shtohen shkronjat “d”, “dh” dhe “e” me këtë përmbajtje: </w:t>
      </w:r>
    </w:p>
    <w:p w:rsidR="00DC6F63" w:rsidRDefault="00DC6F63" w:rsidP="00DC6F63">
      <w:pPr>
        <w:pStyle w:val="Paragrafi"/>
        <w:rPr>
          <w:spacing w:val="-4"/>
          <w:lang w:val="sq-AL"/>
        </w:rPr>
      </w:pPr>
      <w:r>
        <w:rPr>
          <w:spacing w:val="-4"/>
          <w:lang w:val="sq-AL"/>
        </w:rPr>
        <w:tab/>
        <w:t xml:space="preserve">“d) kryejnë aktivitete të mbrojtjes së burimeve dhe mbikëqyrjes, duke caktuar personel për këtë </w:t>
      </w:r>
      <w:r>
        <w:rPr>
          <w:spacing w:val="-4"/>
          <w:lang w:val="sq-AL"/>
        </w:rPr>
        <w:lastRenderedPageBreak/>
        <w:t xml:space="preserve">qëllim; </w:t>
      </w:r>
    </w:p>
    <w:p w:rsidR="00DC6F63" w:rsidRDefault="00DC6F63" w:rsidP="00DC6F63">
      <w:pPr>
        <w:pStyle w:val="Paragrafi"/>
        <w:rPr>
          <w:spacing w:val="-4"/>
          <w:lang w:val="sq-AL"/>
        </w:rPr>
      </w:pPr>
      <w:r>
        <w:rPr>
          <w:spacing w:val="-4"/>
          <w:lang w:val="sq-AL"/>
        </w:rPr>
        <w:tab/>
        <w:t>dh) zhvillojnë struktura mbështetëse tokësore për aktivitetet prodhuese (tregjet e vogla të peshkut, qendrat e grumbullimit dhe të depozitimit të produkteve, mjetet e transportit etj.);</w:t>
      </w:r>
    </w:p>
    <w:p w:rsidR="00DC6F63" w:rsidRDefault="00DC6F63" w:rsidP="00DC6F63">
      <w:pPr>
        <w:pStyle w:val="Paragrafi"/>
        <w:rPr>
          <w:spacing w:val="-4"/>
          <w:lang w:val="sq-AL"/>
        </w:rPr>
      </w:pPr>
      <w:r>
        <w:rPr>
          <w:spacing w:val="-4"/>
          <w:lang w:val="sq-AL"/>
        </w:rPr>
        <w:tab/>
        <w:t>e) promovojnë nisma për të rritur cilësinë e zënieve nga ana e anëtarëve, duke ruajtur vlerat natyrore të zonave.”.</w:t>
      </w:r>
    </w:p>
    <w:p w:rsidR="00DC6F63" w:rsidRDefault="00DC6F63" w:rsidP="00DC6F63">
      <w:pPr>
        <w:pStyle w:val="Hapesira7"/>
        <w:rPr>
          <w:lang w:val="sq-AL"/>
        </w:rPr>
      </w:pPr>
    </w:p>
    <w:p w:rsidR="00DC6F63" w:rsidRDefault="00DC6F63" w:rsidP="00DC6F63">
      <w:pPr>
        <w:pStyle w:val="NeniNr"/>
        <w:rPr>
          <w:spacing w:val="-4"/>
          <w:lang w:val="sq-AL"/>
        </w:rPr>
      </w:pPr>
      <w:r>
        <w:rPr>
          <w:spacing w:val="-4"/>
          <w:lang w:val="sq-AL"/>
        </w:rPr>
        <w:t>Neni 8</w:t>
      </w:r>
    </w:p>
    <w:p w:rsidR="00DC6F63" w:rsidRDefault="00DC6F63" w:rsidP="00DC6F63">
      <w:pPr>
        <w:pStyle w:val="Hapesira7"/>
        <w:rPr>
          <w:lang w:val="sq-AL"/>
        </w:rPr>
      </w:pPr>
    </w:p>
    <w:p w:rsidR="00DC6F63" w:rsidRDefault="00DC6F63" w:rsidP="00DC6F63">
      <w:pPr>
        <w:pStyle w:val="Paragrafi"/>
        <w:rPr>
          <w:spacing w:val="-4"/>
          <w:lang w:val="sq-AL"/>
        </w:rPr>
      </w:pPr>
      <w:r>
        <w:rPr>
          <w:spacing w:val="-4"/>
          <w:lang w:val="sq-AL"/>
        </w:rPr>
        <w:tab/>
        <w:t xml:space="preserve">Neni 61 ndryshohet si më poshtë: </w:t>
      </w:r>
    </w:p>
    <w:p w:rsidR="00DC6F63" w:rsidRDefault="00DC6F63" w:rsidP="00DC6F63">
      <w:pPr>
        <w:pStyle w:val="Hapesira7"/>
        <w:rPr>
          <w:lang w:val="sq-AL"/>
        </w:rPr>
      </w:pPr>
    </w:p>
    <w:p w:rsidR="00DC6F63" w:rsidRDefault="00DC6F63" w:rsidP="00DC6F63">
      <w:pPr>
        <w:pStyle w:val="NeniNr"/>
        <w:rPr>
          <w:spacing w:val="-4"/>
          <w:lang w:val="sq-AL"/>
        </w:rPr>
      </w:pPr>
      <w:r>
        <w:rPr>
          <w:spacing w:val="-4"/>
          <w:lang w:val="sq-AL"/>
        </w:rPr>
        <w:t>“Neni 61</w:t>
      </w:r>
    </w:p>
    <w:p w:rsidR="00DC6F63" w:rsidRDefault="00DC6F63" w:rsidP="00DC6F63">
      <w:pPr>
        <w:pStyle w:val="NeniTitull"/>
        <w:rPr>
          <w:spacing w:val="-4"/>
          <w:lang w:val="sq-AL"/>
        </w:rPr>
      </w:pPr>
      <w:r>
        <w:rPr>
          <w:spacing w:val="-4"/>
          <w:lang w:val="sq-AL"/>
        </w:rPr>
        <w:t>Organizatat e prodhuesve</w:t>
      </w:r>
    </w:p>
    <w:p w:rsidR="00DC6F63" w:rsidRDefault="00DC6F63" w:rsidP="00DC6F63">
      <w:pPr>
        <w:pStyle w:val="Hapesira7"/>
        <w:rPr>
          <w:lang w:val="sq-AL"/>
        </w:rPr>
      </w:pPr>
    </w:p>
    <w:p w:rsidR="00DC6F63" w:rsidRDefault="00DC6F63" w:rsidP="00DC6F63">
      <w:pPr>
        <w:pStyle w:val="Paragrafi"/>
        <w:rPr>
          <w:spacing w:val="-4"/>
          <w:lang w:val="sq-AL"/>
        </w:rPr>
      </w:pPr>
      <w:r>
        <w:rPr>
          <w:spacing w:val="-4"/>
          <w:lang w:val="sq-AL"/>
        </w:rPr>
        <w:tab/>
        <w:t>1. Organizatat prodhuese të peshkimit, të njohura sipas procedurave të përcaktuara në këtë ligj, krijohen me nismën e prodhuesve të produkteve të peshkimit.</w:t>
      </w:r>
    </w:p>
    <w:p w:rsidR="00DC6F63" w:rsidRDefault="00DC6F63" w:rsidP="00DC6F63">
      <w:pPr>
        <w:pStyle w:val="Paragrafi"/>
        <w:rPr>
          <w:spacing w:val="-4"/>
          <w:lang w:val="sq-AL"/>
        </w:rPr>
      </w:pPr>
      <w:r>
        <w:rPr>
          <w:spacing w:val="-4"/>
          <w:lang w:val="sq-AL"/>
        </w:rPr>
        <w:tab/>
        <w:t>2. Në momentin e njohjes së organizatës prodhuese nga ministri, duhet të mbahet parasysh gjendja specifike e prodhuesve të vegjël.”.</w:t>
      </w:r>
    </w:p>
    <w:p w:rsidR="00DC6F63" w:rsidRPr="00DC6F63" w:rsidRDefault="00DC6F63" w:rsidP="00DC6F63">
      <w:pPr>
        <w:pStyle w:val="Paragrafi"/>
        <w:rPr>
          <w:spacing w:val="-4"/>
          <w:sz w:val="14"/>
          <w:lang w:val="sq-AL"/>
        </w:rPr>
      </w:pPr>
    </w:p>
    <w:p w:rsidR="00DC6F63" w:rsidRDefault="00DC6F63" w:rsidP="00DC6F63">
      <w:pPr>
        <w:pStyle w:val="NeniNr"/>
        <w:rPr>
          <w:spacing w:val="-4"/>
          <w:lang w:val="sq-AL"/>
        </w:rPr>
      </w:pPr>
      <w:r>
        <w:rPr>
          <w:spacing w:val="-4"/>
          <w:lang w:val="sq-AL"/>
        </w:rPr>
        <w:t>Neni 9</w:t>
      </w:r>
    </w:p>
    <w:p w:rsidR="00DC6F63" w:rsidRDefault="00DC6F63" w:rsidP="00DC6F63">
      <w:pPr>
        <w:pStyle w:val="Hapesira7"/>
        <w:rPr>
          <w:lang w:val="sq-AL"/>
        </w:rPr>
      </w:pPr>
    </w:p>
    <w:p w:rsidR="00DC6F63" w:rsidRDefault="00DC6F63" w:rsidP="00DC6F63">
      <w:pPr>
        <w:pStyle w:val="Paragrafi"/>
        <w:rPr>
          <w:spacing w:val="-4"/>
          <w:lang w:val="sq-AL"/>
        </w:rPr>
      </w:pPr>
      <w:r>
        <w:rPr>
          <w:spacing w:val="-4"/>
          <w:lang w:val="sq-AL"/>
        </w:rPr>
        <w:tab/>
        <w:t xml:space="preserve">Pas nenit 61 shtohen nenet 61/1 dhe 61/2 me këtë përmbajtje: </w:t>
      </w:r>
    </w:p>
    <w:p w:rsidR="00DC6F63" w:rsidRDefault="00DC6F63" w:rsidP="00DC6F63">
      <w:pPr>
        <w:pStyle w:val="Hapesira7"/>
        <w:rPr>
          <w:lang w:val="sq-AL"/>
        </w:rPr>
      </w:pPr>
    </w:p>
    <w:p w:rsidR="00DC6F63" w:rsidRDefault="00DC6F63" w:rsidP="00DC6F63">
      <w:pPr>
        <w:pStyle w:val="NeniNr"/>
        <w:rPr>
          <w:spacing w:val="-4"/>
          <w:lang w:val="sq-AL"/>
        </w:rPr>
      </w:pPr>
      <w:r>
        <w:rPr>
          <w:spacing w:val="-4"/>
          <w:lang w:val="sq-AL"/>
        </w:rPr>
        <w:t>“Neni 61/1</w:t>
      </w:r>
    </w:p>
    <w:p w:rsidR="00DC6F63" w:rsidRDefault="00DC6F63" w:rsidP="00DC6F63">
      <w:pPr>
        <w:pStyle w:val="NeniTitull"/>
        <w:rPr>
          <w:spacing w:val="-4"/>
          <w:lang w:val="sq-AL"/>
        </w:rPr>
      </w:pPr>
      <w:r>
        <w:rPr>
          <w:spacing w:val="-4"/>
          <w:lang w:val="sq-AL"/>
        </w:rPr>
        <w:t xml:space="preserve">Objektivat e organizatave të prodhuesve </w:t>
      </w:r>
    </w:p>
    <w:p w:rsidR="00DC6F63" w:rsidRDefault="00DC6F63" w:rsidP="00DC6F63">
      <w:pPr>
        <w:pStyle w:val="Hapesira7"/>
        <w:rPr>
          <w:lang w:val="sq-AL"/>
        </w:rPr>
      </w:pPr>
    </w:p>
    <w:p w:rsidR="00DC6F63" w:rsidRDefault="00DC6F63" w:rsidP="00DC6F63">
      <w:pPr>
        <w:pStyle w:val="Paragrafi"/>
        <w:rPr>
          <w:spacing w:val="-4"/>
          <w:lang w:val="sq-AL"/>
        </w:rPr>
      </w:pPr>
      <w:r>
        <w:rPr>
          <w:spacing w:val="-4"/>
          <w:lang w:val="sq-AL"/>
        </w:rPr>
        <w:tab/>
        <w:t xml:space="preserve">1. Organizatat prodhuese, në sektorin e peshkimit, ndjekin këta objektiva: </w:t>
      </w:r>
    </w:p>
    <w:p w:rsidR="00DC6F63" w:rsidRDefault="00DC6F63" w:rsidP="00DC6F63">
      <w:pPr>
        <w:pStyle w:val="Paragrafi"/>
        <w:rPr>
          <w:spacing w:val="-4"/>
          <w:lang w:val="sq-AL"/>
        </w:rPr>
      </w:pPr>
      <w:r>
        <w:rPr>
          <w:spacing w:val="-4"/>
          <w:lang w:val="sq-AL"/>
        </w:rPr>
        <w:tab/>
        <w:t>a) nxisin ushtrimin e aktiviteteve të peshkimit fitimprurës e të qëndrueshëm nga anëtarët e tyre, në përputhje me Strategjinë Kombëtare të Peshkimit dhe legjislacionin në fuqi për mbrojtjen e mjedisit, duke respektuar politikën sociale dhe pjesëmarrjen në menaxhimin e burimeve peshkore, nëse është e nevojshme;</w:t>
      </w:r>
    </w:p>
    <w:p w:rsidR="00DC6F63" w:rsidRDefault="00DC6F63" w:rsidP="00DC6F63">
      <w:pPr>
        <w:pStyle w:val="Paragrafi"/>
        <w:rPr>
          <w:spacing w:val="-4"/>
          <w:lang w:val="sq-AL"/>
        </w:rPr>
      </w:pPr>
      <w:r>
        <w:rPr>
          <w:spacing w:val="-4"/>
          <w:lang w:val="sq-AL"/>
        </w:rPr>
        <w:tab/>
        <w:t>b) parandalojnë dhe zvogëlojnë sa më shumë që të jetë e mundur zëniet jo objekt peshkimi të popullatave tregtare dhe, kur është e nevojshme, bëjnë përdorimin më të mirë, pa krijuar treg për zëniet që janë nën dimensionet minimale, të përcaktuara për mbrojtje, sipas akteve nënligjore;</w:t>
      </w:r>
    </w:p>
    <w:p w:rsidR="00DC6F63" w:rsidRDefault="00DC6F63" w:rsidP="00DC6F63">
      <w:pPr>
        <w:pStyle w:val="Paragrafi"/>
        <w:rPr>
          <w:spacing w:val="-4"/>
          <w:lang w:val="sq-AL"/>
        </w:rPr>
      </w:pPr>
      <w:r>
        <w:rPr>
          <w:spacing w:val="-4"/>
          <w:lang w:val="sq-AL"/>
        </w:rPr>
        <w:tab/>
        <w:t xml:space="preserve">c) kontribuojnë në gjurmueshmërinë e produkteve të peshkimit, me qëllim që konsumatori të ketë një qasje dhe informacion të qartë e të plotë; </w:t>
      </w:r>
    </w:p>
    <w:p w:rsidR="00DC6F63" w:rsidRDefault="00DC6F63" w:rsidP="00DC6F63">
      <w:pPr>
        <w:pStyle w:val="Paragrafi"/>
        <w:rPr>
          <w:spacing w:val="-4"/>
          <w:lang w:val="sq-AL"/>
        </w:rPr>
      </w:pPr>
      <w:r>
        <w:rPr>
          <w:spacing w:val="-4"/>
          <w:lang w:val="sq-AL"/>
        </w:rPr>
        <w:tab/>
        <w:t xml:space="preserve">ç) kontribuojnë në eliminimin e praktikave të peshkimit të paligjshëm, të paraportuar dhe të parregulluar. </w:t>
      </w:r>
    </w:p>
    <w:p w:rsidR="00DC6F63" w:rsidRDefault="00DC6F63" w:rsidP="00DC6F63">
      <w:pPr>
        <w:pStyle w:val="Paragrafi"/>
        <w:rPr>
          <w:spacing w:val="-4"/>
          <w:lang w:val="sq-AL"/>
        </w:rPr>
      </w:pPr>
      <w:r>
        <w:rPr>
          <w:spacing w:val="-4"/>
          <w:lang w:val="sq-AL"/>
        </w:rPr>
        <w:tab/>
        <w:t xml:space="preserve">2. Përveç objektivave të përcaktuar në pikën 1, të këtij neni, organizatat prodhuese ndjekin dy ose më shumë objektiva, si më poshtë: </w:t>
      </w:r>
    </w:p>
    <w:p w:rsidR="00DC6F63" w:rsidRDefault="00DC6F63" w:rsidP="00DC6F63">
      <w:pPr>
        <w:pStyle w:val="Paragrafi"/>
        <w:rPr>
          <w:spacing w:val="-4"/>
          <w:lang w:val="sq-AL"/>
        </w:rPr>
      </w:pPr>
      <w:r>
        <w:rPr>
          <w:spacing w:val="-4"/>
          <w:lang w:val="sq-AL"/>
        </w:rPr>
        <w:tab/>
        <w:t>a) përmirësojnë kushtet për vendosjen në treg të produkteve të peshkimit dhe akuakulturës të anëtarëve të tyre;</w:t>
      </w:r>
    </w:p>
    <w:p w:rsidR="00DC6F63" w:rsidRDefault="00DC6F63" w:rsidP="00DC6F63">
      <w:pPr>
        <w:pStyle w:val="Paragrafi"/>
        <w:rPr>
          <w:spacing w:val="-4"/>
          <w:lang w:val="sq-AL"/>
        </w:rPr>
      </w:pPr>
      <w:r>
        <w:rPr>
          <w:spacing w:val="-4"/>
          <w:lang w:val="sq-AL"/>
        </w:rPr>
        <w:tab/>
        <w:t>b) përmirësojnë performancën ekonomike;</w:t>
      </w:r>
    </w:p>
    <w:p w:rsidR="00DC6F63" w:rsidRDefault="00DC6F63" w:rsidP="00DC6F63">
      <w:pPr>
        <w:pStyle w:val="Paragrafi"/>
        <w:rPr>
          <w:spacing w:val="-4"/>
          <w:lang w:val="sq-AL"/>
        </w:rPr>
      </w:pPr>
      <w:r>
        <w:rPr>
          <w:spacing w:val="-4"/>
          <w:lang w:val="sq-AL"/>
        </w:rPr>
        <w:tab/>
        <w:t xml:space="preserve">c) stabilizojnë tregjet; </w:t>
      </w:r>
    </w:p>
    <w:p w:rsidR="00DC6F63" w:rsidRDefault="00DC6F63" w:rsidP="00DC6F63">
      <w:pPr>
        <w:pStyle w:val="Paragrafi"/>
        <w:rPr>
          <w:spacing w:val="-4"/>
          <w:lang w:val="sq-AL"/>
        </w:rPr>
      </w:pPr>
      <w:r>
        <w:rPr>
          <w:spacing w:val="-4"/>
          <w:lang w:val="sq-AL"/>
        </w:rPr>
        <w:tab/>
        <w:t>ç) kontribuojnë në furnizimin me ushqim, promovojnë standarde të larta të cilësisë e sigurisë ushqimore dhe, në të njëjtën kohë, promovojnë punësimin në zonat bregdetare dhe rurale;</w:t>
      </w:r>
    </w:p>
    <w:p w:rsidR="00DC6F63" w:rsidRDefault="00DC6F63" w:rsidP="00DC6F63">
      <w:pPr>
        <w:pStyle w:val="Paragrafi"/>
        <w:rPr>
          <w:spacing w:val="-4"/>
          <w:lang w:val="sq-AL"/>
        </w:rPr>
      </w:pPr>
      <w:r>
        <w:rPr>
          <w:spacing w:val="-4"/>
          <w:lang w:val="sq-AL"/>
        </w:rPr>
        <w:tab/>
        <w:t xml:space="preserve">d) zvogëlojnë ndikimin mjedisor të peshkimit, duke përfshirë masat për përmirësimin e selektivitetit të mjeteve të peshkimit. </w:t>
      </w:r>
    </w:p>
    <w:p w:rsidR="00DC6F63" w:rsidRDefault="00DC6F63" w:rsidP="00DC6F63">
      <w:pPr>
        <w:pStyle w:val="Paragrafi"/>
        <w:rPr>
          <w:spacing w:val="-4"/>
          <w:lang w:val="sq-AL"/>
        </w:rPr>
      </w:pPr>
      <w:r>
        <w:rPr>
          <w:spacing w:val="-4"/>
          <w:lang w:val="sq-AL"/>
        </w:rPr>
        <w:tab/>
        <w:t>3. Organizatat prodhuese mund të ndjekin objektiva të tjerë plotësues.</w:t>
      </w:r>
    </w:p>
    <w:p w:rsidR="00DC6F63" w:rsidRDefault="00DC6F63" w:rsidP="00DC6F63">
      <w:pPr>
        <w:pStyle w:val="Hapesira7"/>
        <w:rPr>
          <w:lang w:val="sq-AL"/>
        </w:rPr>
      </w:pPr>
    </w:p>
    <w:p w:rsidR="00DC6F63" w:rsidRDefault="00DC6F63" w:rsidP="00DC6F63">
      <w:pPr>
        <w:pStyle w:val="Hapesira7"/>
        <w:rPr>
          <w:lang w:val="sq-AL"/>
        </w:rPr>
      </w:pPr>
    </w:p>
    <w:p w:rsidR="00DC6F63" w:rsidRDefault="00DC6F63" w:rsidP="00DC6F63">
      <w:pPr>
        <w:pStyle w:val="NeniNr"/>
        <w:rPr>
          <w:spacing w:val="-4"/>
          <w:lang w:val="sq-AL"/>
        </w:rPr>
      </w:pPr>
      <w:r>
        <w:rPr>
          <w:spacing w:val="-4"/>
          <w:lang w:val="sq-AL"/>
        </w:rPr>
        <w:lastRenderedPageBreak/>
        <w:t>Neni 61/2</w:t>
      </w:r>
    </w:p>
    <w:p w:rsidR="00DC6F63" w:rsidRDefault="00DC6F63" w:rsidP="00DC6F63">
      <w:pPr>
        <w:pStyle w:val="NeniTitull"/>
        <w:rPr>
          <w:spacing w:val="-4"/>
          <w:lang w:val="sq-AL"/>
        </w:rPr>
      </w:pPr>
      <w:r>
        <w:rPr>
          <w:spacing w:val="-4"/>
          <w:lang w:val="sq-AL"/>
        </w:rPr>
        <w:t>Objektivat e organizatave të peshkimit bregdetar artizanal</w:t>
      </w:r>
    </w:p>
    <w:p w:rsidR="00DC6F63" w:rsidRDefault="00DC6F63" w:rsidP="00DC6F63">
      <w:pPr>
        <w:pStyle w:val="Hapesira7"/>
        <w:rPr>
          <w:lang w:val="sq-AL"/>
        </w:rPr>
      </w:pPr>
    </w:p>
    <w:p w:rsidR="00DC6F63" w:rsidRDefault="00DC6F63" w:rsidP="00DC6F63">
      <w:pPr>
        <w:pStyle w:val="Paragrafi"/>
        <w:rPr>
          <w:spacing w:val="-4"/>
          <w:lang w:val="sq-AL"/>
        </w:rPr>
      </w:pPr>
      <w:r>
        <w:rPr>
          <w:spacing w:val="-4"/>
          <w:lang w:val="sq-AL"/>
        </w:rPr>
        <w:tab/>
        <w:t xml:space="preserve">1. Organizatat e peshkimit bregdetar artizanal organizohen në një nga format e parashikuara në këtë ligj dhe kanë këta objektiva: </w:t>
      </w:r>
    </w:p>
    <w:p w:rsidR="00DC6F63" w:rsidRDefault="00DC6F63" w:rsidP="00DC6F63">
      <w:pPr>
        <w:pStyle w:val="Paragrafi"/>
        <w:rPr>
          <w:spacing w:val="-4"/>
          <w:lang w:val="sq-AL"/>
        </w:rPr>
      </w:pPr>
      <w:r>
        <w:rPr>
          <w:spacing w:val="-4"/>
          <w:lang w:val="sq-AL"/>
        </w:rPr>
        <w:tab/>
        <w:t>a) hartojnë dhe zbatojnë një plan menaxhimi për burimet dhe kategoritë ujore, duke mbajtur parasysh edhe specifikat lokale, me ndihmën e kërkimit shkencor, në përputhje me legjislacionin në fuqi, dhe interesat e kategorive të tjera të peshkatarëve ose grupeve të tjera të interesit, që veprojnë në bregdet. Gjithashtu, kryejnë mbikëqyrjen e pajtueshmërisë me standardet e vetërregullimit;</w:t>
      </w:r>
    </w:p>
    <w:p w:rsidR="00DC6F63" w:rsidRDefault="00DC6F63" w:rsidP="00DC6F63">
      <w:pPr>
        <w:pStyle w:val="Paragrafi"/>
        <w:rPr>
          <w:spacing w:val="-4"/>
          <w:lang w:val="sq-AL"/>
        </w:rPr>
      </w:pPr>
      <w:r>
        <w:rPr>
          <w:spacing w:val="-4"/>
          <w:lang w:val="sq-AL"/>
        </w:rPr>
        <w:tab/>
        <w:t>b) kryejnë aktivitete të mbrojtjes së burimeve dhe mbikëqyrjes, duke caktuar personel për këtë qëllim;</w:t>
      </w:r>
    </w:p>
    <w:p w:rsidR="00DC6F63" w:rsidRDefault="00DC6F63" w:rsidP="00DC6F63">
      <w:pPr>
        <w:pStyle w:val="Paragrafi"/>
        <w:rPr>
          <w:spacing w:val="-4"/>
          <w:lang w:val="sq-AL"/>
        </w:rPr>
      </w:pPr>
      <w:r>
        <w:rPr>
          <w:spacing w:val="-4"/>
          <w:lang w:val="sq-AL"/>
        </w:rPr>
        <w:tab/>
        <w:t>c) promovojnë iniciativa që synojnë eliminimin e konflikteve me aktivitetet e tjera të peshkimit të kryera në zonën në fjalë;</w:t>
      </w:r>
    </w:p>
    <w:p w:rsidR="00DC6F63" w:rsidRDefault="00DC6F63" w:rsidP="00DC6F63">
      <w:pPr>
        <w:pStyle w:val="Paragrafi"/>
        <w:rPr>
          <w:spacing w:val="-4"/>
          <w:lang w:val="sq-AL"/>
        </w:rPr>
      </w:pPr>
      <w:r>
        <w:rPr>
          <w:spacing w:val="-4"/>
          <w:lang w:val="sq-AL"/>
        </w:rPr>
        <w:tab/>
        <w:t>ç) zhvillojnë struktura mbështetëse tokësore për aktivitetet prodhuese (tregjet e vogla të peshkut, qendrat e grumbullimit dhe të depozitimit të produkteve, mjetet e transportit etj.);</w:t>
      </w:r>
    </w:p>
    <w:p w:rsidR="00DC6F63" w:rsidRDefault="00DC6F63" w:rsidP="00DC6F63">
      <w:pPr>
        <w:pStyle w:val="Paragrafi"/>
        <w:rPr>
          <w:spacing w:val="-4"/>
          <w:lang w:val="sq-AL"/>
        </w:rPr>
      </w:pPr>
      <w:r>
        <w:rPr>
          <w:spacing w:val="-4"/>
          <w:lang w:val="sq-AL"/>
        </w:rPr>
        <w:tab/>
        <w:t>d) promovojnë nisma për të rritur cilësinë e zënieve nga ana e anëtarëve.</w:t>
      </w:r>
    </w:p>
    <w:p w:rsidR="00DC6F63" w:rsidRDefault="00DC6F63" w:rsidP="00DC6F63">
      <w:pPr>
        <w:pStyle w:val="Paragrafi"/>
        <w:rPr>
          <w:spacing w:val="-4"/>
          <w:lang w:val="sq-AL"/>
        </w:rPr>
      </w:pPr>
      <w:r>
        <w:rPr>
          <w:spacing w:val="-4"/>
          <w:lang w:val="sq-AL"/>
        </w:rPr>
        <w:tab/>
        <w:t>2. Plani i menaxhimit, sipas pikës 1, të këtij neni, miratohet nga ministri.”.</w:t>
      </w:r>
    </w:p>
    <w:p w:rsidR="00DC6F63" w:rsidRDefault="00DC6F63" w:rsidP="00DC6F63">
      <w:pPr>
        <w:pStyle w:val="Hapesira7"/>
        <w:rPr>
          <w:lang w:val="sq-AL"/>
        </w:rPr>
      </w:pPr>
    </w:p>
    <w:p w:rsidR="00DC6F63" w:rsidRDefault="00DC6F63" w:rsidP="00DC6F63">
      <w:pPr>
        <w:pStyle w:val="NeniNr"/>
        <w:rPr>
          <w:spacing w:val="-4"/>
          <w:lang w:val="sq-AL"/>
        </w:rPr>
      </w:pPr>
      <w:r>
        <w:rPr>
          <w:spacing w:val="-4"/>
          <w:lang w:val="sq-AL"/>
        </w:rPr>
        <w:t>Neni 10</w:t>
      </w:r>
    </w:p>
    <w:p w:rsidR="00DC6F63" w:rsidRDefault="00DC6F63" w:rsidP="00DC6F63">
      <w:pPr>
        <w:pStyle w:val="Hapesira7"/>
        <w:rPr>
          <w:lang w:val="sq-AL"/>
        </w:rPr>
      </w:pPr>
    </w:p>
    <w:p w:rsidR="00DC6F63" w:rsidRDefault="00DC6F63" w:rsidP="00DC6F63">
      <w:pPr>
        <w:pStyle w:val="Paragrafi"/>
        <w:rPr>
          <w:spacing w:val="-4"/>
          <w:lang w:val="sq-AL"/>
        </w:rPr>
      </w:pPr>
      <w:r>
        <w:rPr>
          <w:spacing w:val="-4"/>
          <w:lang w:val="sq-AL"/>
        </w:rPr>
        <w:tab/>
        <w:t xml:space="preserve">Në nenin 64 bëhen ndryshimet dhe shtesat e mëposhtme: </w:t>
      </w:r>
    </w:p>
    <w:p w:rsidR="00DC6F63" w:rsidRDefault="00DC6F63" w:rsidP="00DC6F63">
      <w:pPr>
        <w:pStyle w:val="Paragrafi"/>
        <w:rPr>
          <w:spacing w:val="-4"/>
          <w:lang w:val="sq-AL"/>
        </w:rPr>
      </w:pPr>
      <w:r>
        <w:rPr>
          <w:spacing w:val="-4"/>
          <w:lang w:val="sq-AL"/>
        </w:rPr>
        <w:tab/>
        <w:t xml:space="preserve">1. Pika 1 ndryshohet si më poshtë: </w:t>
      </w:r>
    </w:p>
    <w:p w:rsidR="00DC6F63" w:rsidRDefault="00DC6F63" w:rsidP="00DC6F63">
      <w:pPr>
        <w:pStyle w:val="Paragrafi"/>
        <w:rPr>
          <w:spacing w:val="-4"/>
          <w:lang w:val="sq-AL"/>
        </w:rPr>
      </w:pPr>
      <w:r>
        <w:rPr>
          <w:spacing w:val="-4"/>
          <w:lang w:val="sq-AL"/>
        </w:rPr>
        <w:tab/>
        <w:t xml:space="preserve">“1. Infrastrukturat e peshkimit mund t’i transferohen në menaxhim një organizate peshkimi, me kërkesën e kësaj të fundit.”. </w:t>
      </w:r>
    </w:p>
    <w:p w:rsidR="00DC6F63" w:rsidRDefault="00DC6F63" w:rsidP="00DC6F63">
      <w:pPr>
        <w:pStyle w:val="Paragrafi"/>
        <w:rPr>
          <w:spacing w:val="-4"/>
          <w:lang w:val="sq-AL"/>
        </w:rPr>
      </w:pPr>
      <w:r>
        <w:rPr>
          <w:spacing w:val="-4"/>
          <w:lang w:val="sq-AL"/>
        </w:rPr>
        <w:tab/>
        <w:t xml:space="preserve">2. Në pikën 2, paragrafi i parë ndryshohet si më poshtë: </w:t>
      </w:r>
    </w:p>
    <w:p w:rsidR="00DC6F63" w:rsidRDefault="00DC6F63" w:rsidP="00DC6F63">
      <w:pPr>
        <w:pStyle w:val="Paragrafi"/>
        <w:rPr>
          <w:spacing w:val="-4"/>
          <w:lang w:val="sq-AL"/>
        </w:rPr>
      </w:pPr>
      <w:r>
        <w:rPr>
          <w:spacing w:val="-4"/>
          <w:lang w:val="sq-AL"/>
        </w:rPr>
        <w:tab/>
        <w:t xml:space="preserve">“2. Menaxhimi i infrastrukturës së peshkimit nga një organizatë peshkimi realizohet sipas kritereve dhe kushteve të mëposhtme.”. </w:t>
      </w:r>
    </w:p>
    <w:p w:rsidR="00DC6F63" w:rsidRDefault="00DC6F63" w:rsidP="00DC6F63">
      <w:pPr>
        <w:pStyle w:val="Paragrafi"/>
        <w:rPr>
          <w:spacing w:val="-4"/>
          <w:lang w:val="sq-AL"/>
        </w:rPr>
      </w:pPr>
      <w:r>
        <w:rPr>
          <w:spacing w:val="-4"/>
          <w:lang w:val="sq-AL"/>
        </w:rPr>
        <w:tab/>
        <w:t xml:space="preserve">3. Pas pikës 3 shtohet pika 4 me këtë përmbajtje: </w:t>
      </w:r>
    </w:p>
    <w:p w:rsidR="00DC6F63" w:rsidRDefault="00DC6F63" w:rsidP="00DC6F63">
      <w:pPr>
        <w:pStyle w:val="Paragrafi"/>
        <w:rPr>
          <w:spacing w:val="-4"/>
          <w:lang w:val="sq-AL"/>
        </w:rPr>
      </w:pPr>
      <w:r>
        <w:rPr>
          <w:spacing w:val="-4"/>
          <w:lang w:val="sq-AL"/>
        </w:rPr>
        <w:tab/>
        <w:t>“4. Kur infrastrukturat e peshkimit i transferohen në menaxhim një organizate peshkimi, kjo e fundit dorëzon në ministri një kopje të bilancit kontabël, së bashku me anekset e tij, të dorëzuar në administratën tatimore.”.</w:t>
      </w:r>
    </w:p>
    <w:p w:rsidR="00DC6F63" w:rsidRPr="00DC6F63" w:rsidRDefault="00DC6F63" w:rsidP="00DC6F63">
      <w:pPr>
        <w:pStyle w:val="Paragrafi"/>
        <w:rPr>
          <w:spacing w:val="-4"/>
          <w:sz w:val="14"/>
          <w:lang w:val="sq-AL"/>
        </w:rPr>
      </w:pPr>
    </w:p>
    <w:p w:rsidR="00DC6F63" w:rsidRDefault="00DC6F63" w:rsidP="00DC6F63">
      <w:pPr>
        <w:pStyle w:val="NeniNr"/>
        <w:rPr>
          <w:spacing w:val="-4"/>
          <w:lang w:val="sq-AL"/>
        </w:rPr>
      </w:pPr>
      <w:r>
        <w:rPr>
          <w:spacing w:val="-4"/>
          <w:lang w:val="sq-AL"/>
        </w:rPr>
        <w:t>Neni 11</w:t>
      </w:r>
    </w:p>
    <w:p w:rsidR="00DC6F63" w:rsidRDefault="00DC6F63" w:rsidP="00DC6F63">
      <w:pPr>
        <w:pStyle w:val="Hapesira7"/>
        <w:rPr>
          <w:lang w:val="sq-AL"/>
        </w:rPr>
      </w:pPr>
    </w:p>
    <w:p w:rsidR="00DC6F63" w:rsidRDefault="00DC6F63" w:rsidP="00DC6F63">
      <w:pPr>
        <w:pStyle w:val="Paragrafi"/>
        <w:rPr>
          <w:spacing w:val="-4"/>
          <w:lang w:val="sq-AL"/>
        </w:rPr>
      </w:pPr>
      <w:r>
        <w:rPr>
          <w:spacing w:val="-4"/>
          <w:lang w:val="sq-AL"/>
        </w:rPr>
        <w:tab/>
        <w:t xml:space="preserve">Neni 65 ndryshohet si më poshtë: </w:t>
      </w:r>
    </w:p>
    <w:p w:rsidR="00DC6F63" w:rsidRDefault="00DC6F63" w:rsidP="00DC6F63">
      <w:pPr>
        <w:pStyle w:val="Hapesira7"/>
        <w:rPr>
          <w:lang w:val="sq-AL"/>
        </w:rPr>
      </w:pPr>
    </w:p>
    <w:p w:rsidR="00DC6F63" w:rsidRDefault="00DC6F63" w:rsidP="00DC6F63">
      <w:pPr>
        <w:pStyle w:val="NeniNr"/>
        <w:rPr>
          <w:spacing w:val="-4"/>
          <w:lang w:val="sq-AL"/>
        </w:rPr>
      </w:pPr>
      <w:r>
        <w:rPr>
          <w:spacing w:val="-4"/>
          <w:lang w:val="sq-AL"/>
        </w:rPr>
        <w:t>“Neni 65</w:t>
      </w:r>
    </w:p>
    <w:p w:rsidR="00DC6F63" w:rsidRDefault="00DC6F63" w:rsidP="00DC6F63">
      <w:pPr>
        <w:pStyle w:val="NeniTitull"/>
        <w:rPr>
          <w:spacing w:val="-4"/>
          <w:lang w:val="sq-AL"/>
        </w:rPr>
      </w:pPr>
      <w:r>
        <w:rPr>
          <w:spacing w:val="-4"/>
          <w:lang w:val="sq-AL"/>
        </w:rPr>
        <w:t>Menaxhimi i infrastrukturës së peshkimit dhe format e tij</w:t>
      </w:r>
    </w:p>
    <w:p w:rsidR="00DC6F63" w:rsidRDefault="00DC6F63" w:rsidP="00DC6F63">
      <w:pPr>
        <w:pStyle w:val="Hapesira7"/>
        <w:rPr>
          <w:lang w:val="sq-AL"/>
        </w:rPr>
      </w:pPr>
    </w:p>
    <w:p w:rsidR="00DC6F63" w:rsidRDefault="00DC6F63" w:rsidP="00DC6F63">
      <w:pPr>
        <w:pStyle w:val="Paragrafi"/>
        <w:rPr>
          <w:spacing w:val="-4"/>
          <w:lang w:val="sq-AL"/>
        </w:rPr>
      </w:pPr>
      <w:r>
        <w:rPr>
          <w:spacing w:val="-4"/>
          <w:lang w:val="sq-AL"/>
        </w:rPr>
        <w:tab/>
        <w:t xml:space="preserve">1. Menaxhimi i infrastrukturës së peshkimit kryhet sipas rasteve dhe formave të përcaktuara nga ky ligj. </w:t>
      </w:r>
    </w:p>
    <w:p w:rsidR="00DC6F63" w:rsidRDefault="00DC6F63" w:rsidP="00DC6F63">
      <w:pPr>
        <w:pStyle w:val="Paragrafi"/>
        <w:rPr>
          <w:spacing w:val="-4"/>
          <w:lang w:val="sq-AL"/>
        </w:rPr>
      </w:pPr>
      <w:r>
        <w:rPr>
          <w:spacing w:val="-4"/>
          <w:lang w:val="sq-AL"/>
        </w:rPr>
        <w:tab/>
        <w:t>2. Institucioni përgjegjës për shërbimet e peshkimit dhe të akuakulturës menaxhon infrastrukturën e peshkimit, sipas njërës prej mënyrave të mëposhtme:</w:t>
      </w:r>
    </w:p>
    <w:p w:rsidR="00DC6F63" w:rsidRDefault="00DC6F63" w:rsidP="00DC6F63">
      <w:pPr>
        <w:pStyle w:val="Paragrafi"/>
        <w:rPr>
          <w:spacing w:val="-4"/>
          <w:lang w:val="sq-AL"/>
        </w:rPr>
      </w:pPr>
      <w:r>
        <w:rPr>
          <w:spacing w:val="-4"/>
          <w:lang w:val="sq-AL"/>
        </w:rPr>
        <w:tab/>
        <w:t xml:space="preserve">a) menaxhim i drejtpërdrejtë; </w:t>
      </w:r>
    </w:p>
    <w:p w:rsidR="00DC6F63" w:rsidRDefault="00DC6F63" w:rsidP="00DC6F63">
      <w:pPr>
        <w:pStyle w:val="Paragrafi"/>
        <w:rPr>
          <w:spacing w:val="-4"/>
          <w:lang w:val="sq-AL"/>
        </w:rPr>
      </w:pPr>
      <w:r>
        <w:rPr>
          <w:spacing w:val="-4"/>
          <w:lang w:val="sq-AL"/>
        </w:rPr>
        <w:tab/>
        <w:t xml:space="preserve">b) menaxhim nëpërmjet shoqatave të peshkimit, konkretisht të organizatave të prodhuesve, kooperativave ose të menaxhimit të peshkimit; </w:t>
      </w:r>
    </w:p>
    <w:p w:rsidR="00DC6F63" w:rsidRDefault="00DC6F63" w:rsidP="00DC6F63">
      <w:pPr>
        <w:pStyle w:val="Paragrafi"/>
        <w:rPr>
          <w:spacing w:val="-4"/>
          <w:lang w:val="sq-AL"/>
        </w:rPr>
      </w:pPr>
      <w:r>
        <w:rPr>
          <w:spacing w:val="-4"/>
          <w:lang w:val="sq-AL"/>
        </w:rPr>
        <w:tab/>
        <w:t xml:space="preserve">c) menaxhim i infrastrukturave të lidhura me peshkimin nga njësitë e vetëqeverisjes vendore dhe subjektet private; </w:t>
      </w:r>
    </w:p>
    <w:p w:rsidR="00DC6F63" w:rsidRDefault="00DC6F63" w:rsidP="00DC6F63">
      <w:pPr>
        <w:pStyle w:val="Paragrafi"/>
        <w:rPr>
          <w:spacing w:val="-4"/>
          <w:lang w:val="sq-AL"/>
        </w:rPr>
      </w:pPr>
      <w:r>
        <w:rPr>
          <w:spacing w:val="-4"/>
          <w:lang w:val="sq-AL"/>
        </w:rPr>
        <w:tab/>
        <w:t xml:space="preserve">ç) menaxhim i kombinuar i përcaktimeve të bëra në shkronjat “a”, “b” dhe “c” të kësaj pike. </w:t>
      </w:r>
    </w:p>
    <w:p w:rsidR="00DC6F63" w:rsidRDefault="00DC6F63" w:rsidP="00DC6F63">
      <w:pPr>
        <w:pStyle w:val="Paragrafi"/>
        <w:rPr>
          <w:spacing w:val="-4"/>
          <w:lang w:val="sq-AL"/>
        </w:rPr>
      </w:pPr>
      <w:r>
        <w:rPr>
          <w:spacing w:val="-4"/>
          <w:lang w:val="sq-AL"/>
        </w:rPr>
        <w:tab/>
        <w:t xml:space="preserve">3. Kushtet dhe procedurat e transferimit të menaxhimit të infrastrukturës së peshkimit te organizatat e peshkimit, njësitë e vetëqeverisjes vendore dhe subjektet private miratohen me vendim të Këshillit të Ministrave. </w:t>
      </w:r>
    </w:p>
    <w:p w:rsidR="00DC6F63" w:rsidRDefault="00DC6F63" w:rsidP="00DC6F63">
      <w:pPr>
        <w:pStyle w:val="Paragrafi"/>
        <w:rPr>
          <w:spacing w:val="-4"/>
          <w:lang w:val="sq-AL"/>
        </w:rPr>
      </w:pPr>
      <w:r>
        <w:rPr>
          <w:spacing w:val="-4"/>
          <w:lang w:val="sq-AL"/>
        </w:rPr>
        <w:tab/>
        <w:t xml:space="preserve">4. Një organizatë menaxhon dhe mirëmban infrastrukturën e peshkimit që i është transferuar, në përputhje me parimet e mëposhtme: </w:t>
      </w:r>
    </w:p>
    <w:p w:rsidR="00DC6F63" w:rsidRDefault="00DC6F63" w:rsidP="00DC6F63">
      <w:pPr>
        <w:pStyle w:val="Paragrafi"/>
        <w:rPr>
          <w:spacing w:val="-4"/>
          <w:lang w:val="sq-AL"/>
        </w:rPr>
      </w:pPr>
      <w:r>
        <w:rPr>
          <w:spacing w:val="-4"/>
          <w:lang w:val="sq-AL"/>
        </w:rPr>
        <w:tab/>
        <w:t xml:space="preserve">a) menaxhuesi i infrastrukturës së peshkimit përballon kostot e përdorimit e të mirëmbajtjes; </w:t>
      </w:r>
    </w:p>
    <w:p w:rsidR="00DC6F63" w:rsidRDefault="00DC6F63" w:rsidP="00DC6F63">
      <w:pPr>
        <w:pStyle w:val="Paragrafi"/>
        <w:rPr>
          <w:spacing w:val="-4"/>
          <w:lang w:val="sq-AL"/>
        </w:rPr>
      </w:pPr>
      <w:r>
        <w:rPr>
          <w:spacing w:val="-4"/>
          <w:lang w:val="sq-AL"/>
        </w:rPr>
        <w:tab/>
        <w:t xml:space="preserve">b) infrastruktura e peshkimit përdoret në mënyrë të drejtë e të barabartë, për të nxitur dhe mbrojtur interesat e përdoruesve; </w:t>
      </w:r>
    </w:p>
    <w:p w:rsidR="00DC6F63" w:rsidRDefault="00DC6F63" w:rsidP="00DC6F63">
      <w:pPr>
        <w:pStyle w:val="Paragrafi"/>
        <w:rPr>
          <w:spacing w:val="-4"/>
          <w:lang w:val="sq-AL"/>
        </w:rPr>
      </w:pPr>
      <w:r>
        <w:rPr>
          <w:spacing w:val="-4"/>
          <w:lang w:val="sq-AL"/>
        </w:rPr>
        <w:tab/>
        <w:t>c) infrastruktura e peshkimit administrohet në mënyrë racionale, në përputhje me legjislacionin në fuqi për mbrojtjen e mjedisit dhe për të nxitur zhvillim të qëndrueshëm.</w:t>
      </w:r>
    </w:p>
    <w:p w:rsidR="00DC6F63" w:rsidRDefault="00DC6F63" w:rsidP="00DC6F63">
      <w:pPr>
        <w:pStyle w:val="Paragrafi"/>
        <w:rPr>
          <w:spacing w:val="-4"/>
          <w:lang w:val="sq-AL"/>
        </w:rPr>
      </w:pPr>
      <w:r>
        <w:rPr>
          <w:spacing w:val="-4"/>
          <w:lang w:val="sq-AL"/>
        </w:rPr>
        <w:tab/>
        <w:t xml:space="preserve">5. Në rastin kur infrastruktura e peshkimit i është transferuar një organizate, veprohet si më poshtë: </w:t>
      </w:r>
    </w:p>
    <w:p w:rsidR="00DC6F63" w:rsidRDefault="00DC6F63" w:rsidP="00DC6F63">
      <w:pPr>
        <w:pStyle w:val="Paragrafi"/>
        <w:rPr>
          <w:spacing w:val="-4"/>
          <w:lang w:val="sq-AL"/>
        </w:rPr>
      </w:pPr>
      <w:r>
        <w:rPr>
          <w:spacing w:val="-4"/>
          <w:lang w:val="sq-AL"/>
        </w:rPr>
        <w:tab/>
        <w:t xml:space="preserve">a) çdo mjet lundrues, që është pronë ose drejtohet nga një person, i cili nuk është anëtar i organizatës, lejohet të përdorë portin ose qendrën e peshkimit që i është transferuar organizatës; </w:t>
      </w:r>
    </w:p>
    <w:p w:rsidR="00DC6F63" w:rsidRDefault="00DC6F63" w:rsidP="00DC6F63">
      <w:pPr>
        <w:pStyle w:val="Paragrafi"/>
        <w:rPr>
          <w:spacing w:val="-4"/>
          <w:lang w:val="sq-AL"/>
        </w:rPr>
      </w:pPr>
      <w:r>
        <w:rPr>
          <w:spacing w:val="-4"/>
          <w:lang w:val="sq-AL"/>
        </w:rPr>
        <w:tab/>
        <w:t xml:space="preserve">b) personat, të cilët nuk janë anëtarë të organizatës, lejohen të hyjnë në port ose në qendrën e peshkimit; </w:t>
      </w:r>
    </w:p>
    <w:p w:rsidR="00DC6F63" w:rsidRDefault="00DC6F63" w:rsidP="00DC6F63">
      <w:pPr>
        <w:pStyle w:val="Paragrafi"/>
        <w:rPr>
          <w:spacing w:val="-4"/>
          <w:lang w:val="sq-AL"/>
        </w:rPr>
      </w:pPr>
      <w:r>
        <w:rPr>
          <w:spacing w:val="-4"/>
          <w:lang w:val="sq-AL"/>
        </w:rPr>
        <w:tab/>
        <w:t xml:space="preserve">c) çdo person, i cili hyn ose shfrytëzon portin apo qendrën e peshkimit që i është transferuar një organizate dhe që nuk është anëtar i saj, duhet të veprojë në përputhje me aktet ligjore e nënligjore që rregullojnë veprimtarinë e portit ose të qendrës së peshkimit dhe me rregulloret e organizatës; </w:t>
      </w:r>
    </w:p>
    <w:p w:rsidR="00DC6F63" w:rsidRDefault="00DC6F63" w:rsidP="00DC6F63">
      <w:pPr>
        <w:pStyle w:val="Paragrafi"/>
        <w:rPr>
          <w:spacing w:val="-4"/>
          <w:lang w:val="sq-AL"/>
        </w:rPr>
      </w:pPr>
      <w:r>
        <w:rPr>
          <w:spacing w:val="-4"/>
          <w:lang w:val="sq-AL"/>
        </w:rPr>
        <w:tab/>
        <w:t xml:space="preserve">ç) tarifat që organizata ofron për shërbimet për një mjet lundrues, që është pronë a drejtohet nga një person, i cili nuk është anëtar i organizatës, janë më të larta se tarifat për mjetet lundruese të anëtarëve të saj, por, në çdo rast, jo më shumë se dyfishi i tyre. </w:t>
      </w:r>
    </w:p>
    <w:p w:rsidR="00DC6F63" w:rsidRDefault="00DC6F63" w:rsidP="00DC6F63">
      <w:pPr>
        <w:pStyle w:val="Paragrafi"/>
        <w:rPr>
          <w:spacing w:val="-4"/>
          <w:lang w:val="sq-AL"/>
        </w:rPr>
      </w:pPr>
      <w:r>
        <w:rPr>
          <w:spacing w:val="-4"/>
          <w:lang w:val="sq-AL"/>
        </w:rPr>
        <w:tab/>
        <w:t>6. Niveli i tarifave propozohet nga organizata dhe miratohet me urdhër të përbashkët të ministrit përgjegjës për bujqësinë dhe ministrit përgjegjës për financat.”.</w:t>
      </w:r>
    </w:p>
    <w:p w:rsidR="00DC6F63" w:rsidRDefault="00DC6F63" w:rsidP="00DC6F63">
      <w:pPr>
        <w:pStyle w:val="Hapesira7"/>
        <w:rPr>
          <w:lang w:val="sq-AL"/>
        </w:rPr>
      </w:pPr>
    </w:p>
    <w:p w:rsidR="00DC6F63" w:rsidRDefault="00DC6F63" w:rsidP="00DC6F63">
      <w:pPr>
        <w:pStyle w:val="NeniNr"/>
        <w:rPr>
          <w:spacing w:val="-4"/>
          <w:lang w:val="sq-AL"/>
        </w:rPr>
      </w:pPr>
      <w:r>
        <w:rPr>
          <w:spacing w:val="-4"/>
          <w:lang w:val="sq-AL"/>
        </w:rPr>
        <w:t>Neni 12</w:t>
      </w:r>
    </w:p>
    <w:p w:rsidR="00DC6F63" w:rsidRDefault="00DC6F63" w:rsidP="00DC6F63">
      <w:pPr>
        <w:pStyle w:val="Hapesira7"/>
        <w:rPr>
          <w:lang w:val="sq-AL"/>
        </w:rPr>
      </w:pPr>
    </w:p>
    <w:p w:rsidR="00DC6F63" w:rsidRDefault="00DC6F63" w:rsidP="00DC6F63">
      <w:pPr>
        <w:pStyle w:val="Paragrafi"/>
        <w:rPr>
          <w:spacing w:val="-4"/>
          <w:lang w:val="sq-AL"/>
        </w:rPr>
      </w:pPr>
      <w:r>
        <w:rPr>
          <w:spacing w:val="-4"/>
          <w:lang w:val="sq-AL"/>
        </w:rPr>
        <w:tab/>
        <w:t xml:space="preserve">Neni 66 ndryshohet si më poshtë: </w:t>
      </w:r>
    </w:p>
    <w:p w:rsidR="00DC6F63" w:rsidRDefault="00DC6F63" w:rsidP="00DC6F63">
      <w:pPr>
        <w:pStyle w:val="Hapesira7"/>
        <w:rPr>
          <w:lang w:val="sq-AL"/>
        </w:rPr>
      </w:pPr>
    </w:p>
    <w:p w:rsidR="00DC6F63" w:rsidRDefault="00DC6F63" w:rsidP="00DC6F63">
      <w:pPr>
        <w:pStyle w:val="NeniNr"/>
        <w:rPr>
          <w:spacing w:val="-4"/>
          <w:lang w:val="sq-AL"/>
        </w:rPr>
      </w:pPr>
      <w:r>
        <w:rPr>
          <w:spacing w:val="-4"/>
          <w:lang w:val="sq-AL"/>
        </w:rPr>
        <w:t>“Neni 66</w:t>
      </w:r>
    </w:p>
    <w:p w:rsidR="00DC6F63" w:rsidRDefault="00DC6F63" w:rsidP="00DC6F63">
      <w:pPr>
        <w:pStyle w:val="NeniTitull"/>
        <w:rPr>
          <w:spacing w:val="-4"/>
          <w:lang w:val="sq-AL"/>
        </w:rPr>
      </w:pPr>
      <w:r>
        <w:rPr>
          <w:spacing w:val="-4"/>
          <w:lang w:val="sq-AL"/>
        </w:rPr>
        <w:t>Institucioni përgjegjës për shërbimet e peshkimit dhe të akuakulturës</w:t>
      </w:r>
    </w:p>
    <w:p w:rsidR="00DC6F63" w:rsidRDefault="00DC6F63" w:rsidP="00DC6F63">
      <w:pPr>
        <w:pStyle w:val="Hapesira7"/>
        <w:rPr>
          <w:lang w:val="sq-AL"/>
        </w:rPr>
      </w:pPr>
    </w:p>
    <w:p w:rsidR="00DC6F63" w:rsidRDefault="00DC6F63" w:rsidP="00DC6F63">
      <w:pPr>
        <w:pStyle w:val="Paragrafi"/>
        <w:rPr>
          <w:spacing w:val="-4"/>
          <w:lang w:val="sq-AL"/>
        </w:rPr>
      </w:pPr>
      <w:r>
        <w:rPr>
          <w:spacing w:val="-4"/>
          <w:lang w:val="sq-AL"/>
        </w:rPr>
        <w:tab/>
        <w:t xml:space="preserve">1. Në varësi të ministrisë krijohet institucioni përgjegjës për shërbimet e peshkimit dhe të akuakulturës. </w:t>
      </w:r>
    </w:p>
    <w:p w:rsidR="00DC6F63" w:rsidRDefault="00DC6F63" w:rsidP="00DC6F63">
      <w:pPr>
        <w:pStyle w:val="Paragrafi"/>
        <w:rPr>
          <w:spacing w:val="-4"/>
          <w:lang w:val="sq-AL"/>
        </w:rPr>
      </w:pPr>
      <w:r>
        <w:rPr>
          <w:spacing w:val="-4"/>
          <w:lang w:val="sq-AL"/>
        </w:rPr>
        <w:tab/>
        <w:t xml:space="preserve">2. Përveç sa është përcaktuar në pikën 3, të nenit 65, të këtij ligji, institucioni përgjegjës për shërbimet e peshkimit dhe të akuakulturës menaxhon qendrat e ripopullimit të kategorive ujore në varësi të ministrisë. </w:t>
      </w:r>
    </w:p>
    <w:p w:rsidR="00DC6F63" w:rsidRDefault="00DC6F63" w:rsidP="00DC6F63">
      <w:pPr>
        <w:pStyle w:val="Paragrafi"/>
        <w:rPr>
          <w:spacing w:val="-4"/>
          <w:lang w:val="sq-AL"/>
        </w:rPr>
      </w:pPr>
      <w:r>
        <w:rPr>
          <w:spacing w:val="-4"/>
          <w:lang w:val="sq-AL"/>
        </w:rPr>
        <w:tab/>
        <w:t>3. Organizimi dhe funksionimi i institucionit përgjegjës për shërbimet e peshkimit dhe të akuakulturës miratohen me vendim të Këshillit të Ministrave.”.</w:t>
      </w:r>
    </w:p>
    <w:p w:rsidR="00DC6F63" w:rsidRDefault="00DC6F63" w:rsidP="00DC6F63">
      <w:pPr>
        <w:pStyle w:val="Hapesira7"/>
        <w:rPr>
          <w:lang w:val="sq-AL"/>
        </w:rPr>
      </w:pPr>
    </w:p>
    <w:p w:rsidR="00DC6F63" w:rsidRDefault="00DC6F63" w:rsidP="00DC6F63">
      <w:pPr>
        <w:pStyle w:val="NeniNr"/>
        <w:rPr>
          <w:spacing w:val="-4"/>
          <w:lang w:val="sq-AL"/>
        </w:rPr>
      </w:pPr>
      <w:r>
        <w:rPr>
          <w:spacing w:val="-4"/>
          <w:lang w:val="sq-AL"/>
        </w:rPr>
        <w:t>Neni 13</w:t>
      </w:r>
    </w:p>
    <w:p w:rsidR="00DC6F63" w:rsidRDefault="00DC6F63" w:rsidP="00DC6F63">
      <w:pPr>
        <w:pStyle w:val="Hapesira7"/>
        <w:rPr>
          <w:lang w:val="sq-AL"/>
        </w:rPr>
      </w:pPr>
    </w:p>
    <w:p w:rsidR="00DC6F63" w:rsidRDefault="00DC6F63" w:rsidP="00DC6F63">
      <w:pPr>
        <w:pStyle w:val="Paragrafi"/>
        <w:rPr>
          <w:spacing w:val="-4"/>
          <w:lang w:val="sq-AL"/>
        </w:rPr>
      </w:pPr>
      <w:r>
        <w:rPr>
          <w:spacing w:val="-4"/>
          <w:lang w:val="sq-AL"/>
        </w:rPr>
        <w:tab/>
        <w:t xml:space="preserve">Në nenin 135 bëhen ndryshimet dhe shtesat e mëposhtme: </w:t>
      </w:r>
    </w:p>
    <w:p w:rsidR="00DC6F63" w:rsidRDefault="00DC6F63" w:rsidP="00DC6F63">
      <w:pPr>
        <w:pStyle w:val="Paragrafi"/>
        <w:rPr>
          <w:spacing w:val="-4"/>
          <w:lang w:val="sq-AL"/>
        </w:rPr>
      </w:pPr>
      <w:r>
        <w:rPr>
          <w:spacing w:val="-4"/>
          <w:lang w:val="sq-AL"/>
        </w:rPr>
        <w:tab/>
        <w:t>1. Pika 1 ndryshohet si më poshtë:</w:t>
      </w:r>
    </w:p>
    <w:p w:rsidR="00DC6F63" w:rsidRDefault="00DC6F63" w:rsidP="00DC6F63">
      <w:pPr>
        <w:pStyle w:val="Paragrafi"/>
        <w:rPr>
          <w:spacing w:val="-4"/>
          <w:lang w:val="sq-AL"/>
        </w:rPr>
      </w:pPr>
      <w:r>
        <w:rPr>
          <w:spacing w:val="-4"/>
          <w:lang w:val="sq-AL"/>
        </w:rPr>
        <w:tab/>
        <w:t>“1. Ngarkohet Këshilli i Ministrave për nxjerrjen e akteve nënligjore në zbatim të neneve 5, pika 2; 9; 11, pika 1; 18, pika 5; 24, pika 4; 30, pika 7; 37, pika 1; 52, pika 3; 65, pika 3; 66, pika 3; 72, pika 8; 74, pika 4; 77, pika 3; 82, pika 2; 85, pika 2; 93, pikat 4 e 5; 100, pika 1; 101, pika 2; 112, pika 3; 113, pika 1; 116; 118, pika 3; dhe 119, pika 2, të këtij ligji.”.</w:t>
      </w:r>
    </w:p>
    <w:p w:rsidR="00DC6F63" w:rsidRDefault="00DC6F63" w:rsidP="00DC6F63">
      <w:pPr>
        <w:pStyle w:val="Paragrafi"/>
        <w:rPr>
          <w:spacing w:val="-4"/>
          <w:lang w:val="sq-AL"/>
        </w:rPr>
      </w:pPr>
      <w:r>
        <w:rPr>
          <w:spacing w:val="-4"/>
          <w:lang w:val="sq-AL"/>
        </w:rPr>
        <w:tab/>
        <w:t xml:space="preserve">2. Në pikën 2 hiqen fjalët “65, pikat 2 e 4”. </w:t>
      </w:r>
    </w:p>
    <w:p w:rsidR="00DC6F63" w:rsidRDefault="00DC6F63" w:rsidP="00DC6F63">
      <w:pPr>
        <w:pStyle w:val="Paragrafi"/>
        <w:ind w:firstLine="720"/>
        <w:rPr>
          <w:spacing w:val="-4"/>
          <w:lang w:val="sq-AL"/>
        </w:rPr>
      </w:pPr>
      <w:r>
        <w:rPr>
          <w:spacing w:val="-4"/>
          <w:lang w:val="sq-AL"/>
        </w:rPr>
        <w:t xml:space="preserve">3. Pas pikës 2 shtohet pika 3 me këtë përmbajtje: </w:t>
      </w:r>
    </w:p>
    <w:p w:rsidR="00DC6F63" w:rsidRDefault="00DC6F63" w:rsidP="00DC6F63">
      <w:pPr>
        <w:pStyle w:val="Paragrafi"/>
        <w:rPr>
          <w:spacing w:val="-4"/>
          <w:lang w:val="sq-AL"/>
        </w:rPr>
      </w:pPr>
      <w:r>
        <w:rPr>
          <w:spacing w:val="-4"/>
          <w:lang w:val="sq-AL"/>
        </w:rPr>
        <w:tab/>
        <w:t>“3. Ngarkohet ministri përgjegjës për peshkimin dhe ministri përgjegjës për financat për nxjerrjen e aktit nënligjor në zbatim të pikës 6, të nenit 65, të këtij ligji.”.</w:t>
      </w:r>
    </w:p>
    <w:p w:rsidR="00DC6F63" w:rsidRDefault="00DC6F63" w:rsidP="00DC6F63">
      <w:pPr>
        <w:pStyle w:val="Paragrafi"/>
        <w:rPr>
          <w:spacing w:val="-4"/>
          <w:lang w:val="sq-AL"/>
        </w:rPr>
      </w:pPr>
      <w:r>
        <w:rPr>
          <w:spacing w:val="-4"/>
          <w:lang w:val="sq-AL"/>
        </w:rPr>
        <w:tab/>
        <w:t>4. Aktet nënligjore në zbatim të këtij ligji miratohen brenda një afati prej 12 muajsh nga data e hyrjes në fuqi të tij.</w:t>
      </w:r>
    </w:p>
    <w:p w:rsidR="00DC6F63" w:rsidRDefault="00DC6F63" w:rsidP="00DC6F63">
      <w:pPr>
        <w:pStyle w:val="Hapesira7"/>
        <w:rPr>
          <w:lang w:val="sq-AL"/>
        </w:rPr>
      </w:pPr>
    </w:p>
    <w:p w:rsidR="00DC6F63" w:rsidRDefault="00DC6F63" w:rsidP="00DC6F63">
      <w:pPr>
        <w:pStyle w:val="NeniNr"/>
        <w:rPr>
          <w:spacing w:val="-4"/>
          <w:lang w:val="sq-AL"/>
        </w:rPr>
      </w:pPr>
      <w:r>
        <w:rPr>
          <w:spacing w:val="-4"/>
          <w:lang w:val="sq-AL"/>
        </w:rPr>
        <w:t>Neni 14</w:t>
      </w:r>
    </w:p>
    <w:p w:rsidR="00DC6F63" w:rsidRDefault="00DC6F63" w:rsidP="00DC6F63">
      <w:pPr>
        <w:pStyle w:val="NeniTitull"/>
        <w:rPr>
          <w:spacing w:val="-4"/>
          <w:lang w:val="sq-AL"/>
        </w:rPr>
      </w:pPr>
      <w:r>
        <w:rPr>
          <w:spacing w:val="-4"/>
          <w:lang w:val="sq-AL"/>
        </w:rPr>
        <w:t>Hyrja në fuqi</w:t>
      </w:r>
    </w:p>
    <w:p w:rsidR="00DC6F63" w:rsidRDefault="00DC6F63" w:rsidP="00DC6F63">
      <w:pPr>
        <w:pStyle w:val="Hapesira7"/>
        <w:rPr>
          <w:lang w:val="sq-AL"/>
        </w:rPr>
      </w:pPr>
    </w:p>
    <w:p w:rsidR="00DC6F63" w:rsidRDefault="00DC6F63" w:rsidP="00DC6F63">
      <w:pPr>
        <w:pStyle w:val="Paragrafi"/>
        <w:rPr>
          <w:spacing w:val="-4"/>
          <w:lang w:val="sq-AL"/>
        </w:rPr>
      </w:pPr>
      <w:r>
        <w:rPr>
          <w:spacing w:val="-4"/>
          <w:lang w:val="sq-AL"/>
        </w:rPr>
        <w:tab/>
        <w:t>Ky ligj hyn në fuqi 15 ditë pas botimit në Fletoren Zyrtare.</w:t>
      </w:r>
    </w:p>
    <w:p w:rsidR="00DC6F63" w:rsidRPr="00DC6F63" w:rsidRDefault="00DC6F63" w:rsidP="00DC6F63">
      <w:pPr>
        <w:pStyle w:val="Paragrafi"/>
        <w:rPr>
          <w:spacing w:val="-4"/>
          <w:sz w:val="14"/>
          <w:lang w:val="sq-AL"/>
        </w:rPr>
      </w:pPr>
    </w:p>
    <w:p w:rsidR="00DC6F63" w:rsidRDefault="00DC6F63" w:rsidP="00DC6F63">
      <w:pPr>
        <w:pStyle w:val="Paragrafi"/>
        <w:rPr>
          <w:spacing w:val="-4"/>
          <w:lang w:val="sq-AL"/>
        </w:rPr>
      </w:pPr>
      <w:bookmarkStart w:id="0" w:name="_GoBack"/>
      <w:bookmarkEnd w:id="0"/>
      <w:r>
        <w:rPr>
          <w:spacing w:val="-4"/>
          <w:lang w:val="sq-AL"/>
        </w:rPr>
        <w:t>Miratuar në datën 7.2.2019</w:t>
      </w:r>
    </w:p>
    <w:p w:rsidR="00DC6F63" w:rsidRDefault="00DC6F63" w:rsidP="00DC6F63">
      <w:pPr>
        <w:pStyle w:val="Hapesira7"/>
        <w:rPr>
          <w:lang w:val="sq-AL"/>
        </w:rPr>
      </w:pPr>
    </w:p>
    <w:p w:rsidR="00DC6F63" w:rsidRDefault="00DC6F63" w:rsidP="00DC6F63">
      <w:pPr>
        <w:pStyle w:val="Paragrafi"/>
        <w:rPr>
          <w:b/>
          <w:spacing w:val="-4"/>
          <w:lang w:val="sq-AL"/>
        </w:rPr>
      </w:pPr>
      <w:r>
        <w:rPr>
          <w:b/>
          <w:spacing w:val="-4"/>
          <w:lang w:val="sq-AL"/>
        </w:rPr>
        <w:t>Shpallur me dekretin nr. 11080, datë 20.2.2019 të Presidentit të Republikës së Shqipërisë, Ilir Meta</w:t>
      </w:r>
    </w:p>
    <w:p w:rsidR="00DB342E" w:rsidRDefault="00DB342E"/>
    <w:sectPr w:rsidR="00DB342E">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C6F63" w:rsidRDefault="00DC6F63" w:rsidP="00DC6F63">
      <w:pPr>
        <w:spacing w:after="0" w:line="240" w:lineRule="auto"/>
      </w:pPr>
      <w:r>
        <w:separator/>
      </w:r>
    </w:p>
  </w:endnote>
  <w:endnote w:type="continuationSeparator" w:id="0">
    <w:p w:rsidR="00DC6F63" w:rsidRDefault="00DC6F63" w:rsidP="00DC6F6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Garamond">
    <w:panose1 w:val="02020404030301010803"/>
    <w:charset w:val="00"/>
    <w:family w:val="roman"/>
    <w:pitch w:val="variable"/>
    <w:sig w:usb0="00000287" w:usb1="00000000" w:usb2="00000000" w:usb3="00000000" w:csb0="0000009F"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C6F63" w:rsidRDefault="00DC6F63" w:rsidP="00DC6F63">
      <w:pPr>
        <w:spacing w:after="0" w:line="240" w:lineRule="auto"/>
      </w:pPr>
      <w:r>
        <w:separator/>
      </w:r>
    </w:p>
  </w:footnote>
  <w:footnote w:type="continuationSeparator" w:id="0">
    <w:p w:rsidR="00DC6F63" w:rsidRDefault="00DC6F63" w:rsidP="00DC6F63">
      <w:pPr>
        <w:spacing w:after="0" w:line="240" w:lineRule="auto"/>
      </w:pPr>
      <w:r>
        <w:continuationSeparator/>
      </w:r>
    </w:p>
  </w:footnote>
  <w:footnote w:id="1">
    <w:p w:rsidR="00DC6F63" w:rsidRDefault="00DC6F63" w:rsidP="00DC6F63">
      <w:pPr>
        <w:pStyle w:val="FootnoteText"/>
        <w:widowControl w:val="0"/>
        <w:ind w:firstLine="0"/>
        <w:rPr>
          <w:rFonts w:ascii="Garamond" w:hAnsi="Garamond"/>
          <w:bCs/>
          <w:iCs/>
          <w:spacing w:val="-4"/>
        </w:rPr>
      </w:pPr>
      <w:r>
        <w:rPr>
          <w:rFonts w:ascii="Garamond" w:hAnsi="Garamond"/>
          <w:bCs/>
          <w:i/>
          <w:iCs/>
        </w:rPr>
        <w:tab/>
      </w:r>
      <w:r>
        <w:rPr>
          <w:rStyle w:val="FootnoteReference"/>
          <w:rFonts w:ascii="Garamond" w:hAnsi="Garamond"/>
          <w:spacing w:val="-4"/>
        </w:rPr>
        <w:footnoteRef/>
      </w:r>
      <w:r>
        <w:rPr>
          <w:rFonts w:ascii="Garamond" w:hAnsi="Garamond"/>
          <w:bCs/>
          <w:iCs/>
          <w:spacing w:val="-4"/>
        </w:rPr>
        <w:t xml:space="preserve"> Ky ligj është përafruar pjesërisht me:</w:t>
      </w:r>
    </w:p>
    <w:p w:rsidR="00DC6F63" w:rsidRDefault="00DC6F63" w:rsidP="00DC6F63">
      <w:pPr>
        <w:pStyle w:val="FootnoteText"/>
        <w:widowControl w:val="0"/>
        <w:ind w:firstLine="0"/>
        <w:rPr>
          <w:rFonts w:ascii="Garamond" w:hAnsi="Garamond"/>
          <w:spacing w:val="-4"/>
          <w:u w:val="single"/>
        </w:rPr>
      </w:pPr>
      <w:r>
        <w:rPr>
          <w:rFonts w:ascii="Garamond" w:hAnsi="Garamond"/>
          <w:spacing w:val="-4"/>
        </w:rPr>
        <w:t xml:space="preserve">- Rregulloren (BE) nr. 1379/2013, të Parlamentit Evropian dhe të Këshillit, datë 11 dhjetor 2013, “Mbi organizimin e përbashkët të tregjeve për produktet e peshkimit dhe akuakulturës, që ndryshon rregulloret e Këshillit (KE) nr.  1184/2006 dhe (KE) nr. 1224/2009 dhe shfuqizon Rregulloren e Këshillit (KE) nr. 104/2000”, të ndryshuar. Numri CELEX 32013R1379, Fletorja Zyrtare e Bashkimit Evropian, seria L, nr.  354, datë 28.12.2013, faqe 1–21. </w:t>
      </w:r>
    </w:p>
    <w:p w:rsidR="00DC6F63" w:rsidRDefault="00DC6F63" w:rsidP="00DC6F63">
      <w:pPr>
        <w:pStyle w:val="FootnoteText"/>
        <w:widowControl w:val="0"/>
        <w:ind w:firstLine="0"/>
        <w:rPr>
          <w:rFonts w:ascii="Garamond" w:hAnsi="Garamond"/>
        </w:rPr>
      </w:pPr>
      <w:r>
        <w:rPr>
          <w:rFonts w:ascii="Garamond" w:hAnsi="Garamond"/>
          <w:spacing w:val="-4"/>
        </w:rPr>
        <w:t>- Rregulloren (BE) nr. 508/2014, të Parlamentit Evropian dhe të Këshillit, datë 15 maj 2014, “Mbi Fondin Evropian Detar dhe të Peshkimit” dhe që shfuqizon rregulloret e Këshillit (KE) nr. 2328/2003, (KE) nr. 861/2006, (KE) nr. 1198/2006 dhe (KE) nr. 791/2007 dhe Rregulloren (BE) nr. 1255/2011, të Parlamentit Evropian dhe të Këshillit”. Numri CELEX 32014R0508, Fletorja Zyrtare e Bashkimit Evropian, seria L, nr. 149, datë 20.5.2014, faqe 1–66.”.</w:t>
      </w:r>
      <w:r>
        <w:rPr>
          <w:rFonts w:ascii="Garamond" w:hAnsi="Garamond"/>
        </w:rPr>
        <w:t xml:space="preserve"> </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C6F63"/>
    <w:rsid w:val="009E5ACA"/>
    <w:rsid w:val="00DB342E"/>
    <w:rsid w:val="00DC6F6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3C412CF-6DCE-4D62-8CF8-7EDCCAFD21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uiPriority w:val="99"/>
    <w:semiHidden/>
    <w:locked/>
    <w:rsid w:val="00DC6F63"/>
    <w:rPr>
      <w:rFonts w:ascii="Times New Roman" w:eastAsia="MS Mincho" w:hAnsi="Times New Roman" w:cs="Times New Roman"/>
      <w:sz w:val="20"/>
      <w:szCs w:val="20"/>
      <w:lang w:val="sq-AL"/>
    </w:r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
    <w:basedOn w:val="Normal"/>
    <w:link w:val="FootnoteTextChar"/>
    <w:uiPriority w:val="99"/>
    <w:semiHidden/>
    <w:unhideWhenUsed/>
    <w:qFormat/>
    <w:rsid w:val="00DC6F63"/>
    <w:pPr>
      <w:spacing w:after="0" w:line="240" w:lineRule="auto"/>
      <w:ind w:firstLine="284"/>
      <w:jc w:val="both"/>
    </w:pPr>
    <w:rPr>
      <w:rFonts w:ascii="Times New Roman" w:eastAsia="MS Mincho" w:hAnsi="Times New Roman" w:cs="Times New Roman"/>
      <w:sz w:val="20"/>
      <w:szCs w:val="20"/>
      <w:lang w:val="sq-AL"/>
    </w:rPr>
  </w:style>
  <w:style w:type="character" w:customStyle="1" w:styleId="FootnoteTextChar1">
    <w:name w:val="Footnote Text Char1"/>
    <w:basedOn w:val="DefaultParagraphFont"/>
    <w:uiPriority w:val="99"/>
    <w:semiHidden/>
    <w:rsid w:val="00DC6F63"/>
    <w:rPr>
      <w:sz w:val="20"/>
      <w:szCs w:val="20"/>
    </w:rPr>
  </w:style>
  <w:style w:type="character" w:customStyle="1" w:styleId="ParagrafiChar">
    <w:name w:val="Paragrafi Char"/>
    <w:basedOn w:val="DefaultParagraphFont"/>
    <w:link w:val="Paragrafi"/>
    <w:locked/>
    <w:rsid w:val="00DC6F63"/>
    <w:rPr>
      <w:rFonts w:ascii="Garamond" w:eastAsia="MS Mincho" w:hAnsi="Garamond" w:cs="CG Times"/>
      <w:sz w:val="24"/>
    </w:rPr>
  </w:style>
  <w:style w:type="paragraph" w:customStyle="1" w:styleId="Paragrafi">
    <w:name w:val="Paragrafi"/>
    <w:link w:val="ParagrafiChar"/>
    <w:rsid w:val="00DC6F63"/>
    <w:pPr>
      <w:widowControl w:val="0"/>
      <w:spacing w:after="0" w:line="240" w:lineRule="auto"/>
      <w:ind w:firstLine="284"/>
      <w:jc w:val="both"/>
    </w:pPr>
    <w:rPr>
      <w:rFonts w:ascii="Garamond" w:eastAsia="MS Mincho" w:hAnsi="Garamond" w:cs="CG Times"/>
      <w:sz w:val="24"/>
    </w:rPr>
  </w:style>
  <w:style w:type="character" w:customStyle="1" w:styleId="NeniNrChar">
    <w:name w:val="Neni_Nr Char"/>
    <w:basedOn w:val="DefaultParagraphFont"/>
    <w:link w:val="NeniNr"/>
    <w:locked/>
    <w:rsid w:val="00DC6F63"/>
    <w:rPr>
      <w:rFonts w:ascii="Garamond" w:eastAsia="MS Mincho" w:hAnsi="Garamond" w:cs="CG Times"/>
      <w:sz w:val="24"/>
      <w:lang w:val="en-GB"/>
    </w:rPr>
  </w:style>
  <w:style w:type="paragraph" w:customStyle="1" w:styleId="NeniNr">
    <w:name w:val="Neni_Nr"/>
    <w:next w:val="Normal"/>
    <w:link w:val="NeniNrChar"/>
    <w:rsid w:val="00DC6F63"/>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DC6F63"/>
    <w:pPr>
      <w:keepNext/>
      <w:widowControl w:val="0"/>
      <w:spacing w:after="0" w:line="240" w:lineRule="auto"/>
      <w:jc w:val="center"/>
      <w:outlineLvl w:val="2"/>
    </w:pPr>
    <w:rPr>
      <w:rFonts w:ascii="Garamond" w:eastAsia="MS Mincho" w:hAnsi="Garamond" w:cs="CG Times"/>
      <w:b/>
      <w:bCs/>
      <w:sz w:val="24"/>
      <w:lang w:val="en-GB"/>
    </w:rPr>
  </w:style>
  <w:style w:type="paragraph" w:customStyle="1" w:styleId="Hapesira7">
    <w:name w:val="Hapesira 7"/>
    <w:basedOn w:val="Paragrafi"/>
    <w:qFormat/>
    <w:rsid w:val="00DC6F63"/>
    <w:rPr>
      <w:sz w:val="14"/>
      <w:szCs w:val="24"/>
    </w:rPr>
  </w:style>
  <w:style w:type="character" w:styleId="FootnoteReference">
    <w:name w:val="footnote reference"/>
    <w:aliases w:val="ftref,BVI fnr,16 Point,Superscript 6 Point,Fußnotenzeichen DISS,Footnote,Footnote symbol,Char1 Char Char Char Char,Odwołanie przypisu,fr,Rimando nota a piè di pagina2,Footnote Reference Arial,callout"/>
    <w:link w:val="Char2"/>
    <w:uiPriority w:val="99"/>
    <w:unhideWhenUsed/>
    <w:qFormat/>
    <w:rsid w:val="00DC6F63"/>
    <w:rPr>
      <w:vertAlign w:val="superscript"/>
    </w:rPr>
  </w:style>
  <w:style w:type="paragraph" w:customStyle="1" w:styleId="Char2">
    <w:name w:val="Char2"/>
    <w:basedOn w:val="Normal"/>
    <w:link w:val="FootnoteReference"/>
    <w:uiPriority w:val="99"/>
    <w:rsid w:val="00DC6F63"/>
    <w:pPr>
      <w:spacing w:line="240" w:lineRule="exact"/>
    </w:pPr>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656464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6</Pages>
  <Words>1995</Words>
  <Characters>11373</Characters>
  <Application>Microsoft Office Word</Application>
  <DocSecurity>0</DocSecurity>
  <Lines>94</Lines>
  <Paragraphs>26</Paragraphs>
  <ScaleCrop>false</ScaleCrop>
  <Company/>
  <LinksUpToDate>false</LinksUpToDate>
  <CharactersWithSpaces>13342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bruna aliaj</dc:creator>
  <cp:keywords/>
  <dc:description/>
  <cp:lastModifiedBy>bruna aliaj</cp:lastModifiedBy>
  <cp:revision>2</cp:revision>
  <dcterms:created xsi:type="dcterms:W3CDTF">2019-02-25T08:19:00Z</dcterms:created>
  <dcterms:modified xsi:type="dcterms:W3CDTF">2019-02-25T08:23:00Z</dcterms:modified>
</cp:coreProperties>
</file>