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EA828" w14:textId="77777777" w:rsidR="003952C7" w:rsidRPr="00B702C5" w:rsidRDefault="001610D1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02C5">
        <w:rPr>
          <w:rFonts w:ascii="Garamond" w:hAnsi="Garamond" w:cs="Times New Roman"/>
          <w:b/>
          <w:sz w:val="24"/>
          <w:szCs w:val="24"/>
        </w:rPr>
        <w:t>LI</w:t>
      </w:r>
      <w:r w:rsidR="00BD7E8A" w:rsidRPr="00B702C5">
        <w:rPr>
          <w:rFonts w:ascii="Garamond" w:hAnsi="Garamond" w:cs="Times New Roman"/>
          <w:b/>
          <w:sz w:val="24"/>
          <w:szCs w:val="24"/>
        </w:rPr>
        <w:t>GJ</w:t>
      </w:r>
    </w:p>
    <w:p w14:paraId="6D2EA82A" w14:textId="77777777" w:rsidR="003952C7" w:rsidRPr="00B702C5" w:rsidRDefault="001610D1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02C5">
        <w:rPr>
          <w:rFonts w:ascii="Garamond" w:hAnsi="Garamond" w:cs="Times New Roman"/>
          <w:b/>
          <w:sz w:val="24"/>
          <w:szCs w:val="24"/>
        </w:rPr>
        <w:t xml:space="preserve">Nr. </w:t>
      </w:r>
      <w:r w:rsidR="00300606" w:rsidRPr="00B702C5">
        <w:rPr>
          <w:rFonts w:ascii="Garamond" w:hAnsi="Garamond" w:cs="Times New Roman"/>
          <w:b/>
          <w:sz w:val="24"/>
          <w:szCs w:val="24"/>
        </w:rPr>
        <w:t>5</w:t>
      </w:r>
      <w:r w:rsidR="00477DCB" w:rsidRPr="00B702C5">
        <w:rPr>
          <w:rFonts w:ascii="Garamond" w:hAnsi="Garamond" w:cs="Times New Roman"/>
          <w:b/>
          <w:sz w:val="24"/>
          <w:szCs w:val="24"/>
        </w:rPr>
        <w:t>/2020</w:t>
      </w:r>
    </w:p>
    <w:p w14:paraId="6D2EA82B" w14:textId="77777777" w:rsidR="003952C7" w:rsidRPr="00B702C5" w:rsidRDefault="003952C7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6D2EA82C" w14:textId="77777777" w:rsidR="003952C7" w:rsidRPr="00B702C5" w:rsidRDefault="00BD7E8A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02C5">
        <w:rPr>
          <w:rFonts w:ascii="Garamond" w:hAnsi="Garamond" w:cs="Times New Roman"/>
          <w:b/>
          <w:sz w:val="24"/>
          <w:szCs w:val="24"/>
        </w:rPr>
        <w:t>PËR DHËNIE AMNISTIE</w:t>
      </w:r>
    </w:p>
    <w:p w14:paraId="6D2EA82D" w14:textId="77777777" w:rsidR="003952C7" w:rsidRPr="00B702C5" w:rsidRDefault="00BD7E8A" w:rsidP="00B702C5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  <w:r w:rsidRPr="00B702C5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6D2EA82E" w14:textId="77777777" w:rsidR="001610D1" w:rsidRPr="00B702C5" w:rsidRDefault="008A372E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</w:r>
      <w:r w:rsidR="00BD7E8A" w:rsidRPr="00B702C5">
        <w:rPr>
          <w:rFonts w:ascii="Garamond" w:hAnsi="Garamond" w:cs="Times New Roman"/>
          <w:sz w:val="24"/>
          <w:szCs w:val="24"/>
        </w:rPr>
        <w:t xml:space="preserve">Në mbështetje të neneve 81, pikat 1 e 2, shkronja “ë”, dhe 83, pika 1, të Kushtetutës, me propozimin e Këshillit të Ministrave, </w:t>
      </w:r>
    </w:p>
    <w:p w14:paraId="6D2EA82F" w14:textId="77777777" w:rsidR="001610D1" w:rsidRPr="00B702C5" w:rsidRDefault="001610D1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A84C877" w14:textId="77777777" w:rsidR="001610D1" w:rsidRPr="00B702C5" w:rsidRDefault="00B702C5" w:rsidP="00B702C5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KUVEND</w:t>
      </w:r>
      <w:r w:rsidR="001610D1" w:rsidRPr="00B702C5">
        <w:rPr>
          <w:rFonts w:ascii="Garamond" w:hAnsi="Garamond" w:cs="Times New Roman"/>
          <w:sz w:val="24"/>
          <w:szCs w:val="24"/>
        </w:rPr>
        <w:t>I</w:t>
      </w:r>
    </w:p>
    <w:p w14:paraId="6D2EA833" w14:textId="77777777" w:rsidR="003952C7" w:rsidRPr="00B702C5" w:rsidRDefault="001610D1" w:rsidP="00B702C5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>I REPUBLIKËS SË SHQIPËRISË</w:t>
      </w:r>
    </w:p>
    <w:p w14:paraId="6D2EA834" w14:textId="77777777" w:rsidR="003952C7" w:rsidRPr="00B702C5" w:rsidRDefault="003952C7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6E18D8F" w14:textId="77777777" w:rsidR="003952C7" w:rsidRPr="00B702C5" w:rsidRDefault="00B702C5" w:rsidP="00B702C5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VENDOS</w:t>
      </w:r>
      <w:r w:rsidR="00BD7E8A" w:rsidRPr="00B702C5">
        <w:rPr>
          <w:rFonts w:ascii="Garamond" w:hAnsi="Garamond" w:cs="Times New Roman"/>
          <w:sz w:val="24"/>
          <w:szCs w:val="24"/>
        </w:rPr>
        <w:t>I:</w:t>
      </w:r>
    </w:p>
    <w:p w14:paraId="6D2EA837" w14:textId="77777777" w:rsidR="003952C7" w:rsidRPr="00B702C5" w:rsidRDefault="003952C7" w:rsidP="00B702C5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</w:p>
    <w:p w14:paraId="6D2EA838" w14:textId="77777777" w:rsidR="003952C7" w:rsidRPr="00B702C5" w:rsidRDefault="00BD7E8A" w:rsidP="00B702C5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>Neni 1</w:t>
      </w:r>
    </w:p>
    <w:p w14:paraId="6D2EA83A" w14:textId="77777777" w:rsidR="003952C7" w:rsidRPr="00B702C5" w:rsidRDefault="00BD7E8A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02C5">
        <w:rPr>
          <w:rFonts w:ascii="Garamond" w:hAnsi="Garamond" w:cs="Times New Roman"/>
          <w:b/>
          <w:sz w:val="24"/>
          <w:szCs w:val="24"/>
        </w:rPr>
        <w:t>Qëllimi dhe parimet e ligjit</w:t>
      </w:r>
    </w:p>
    <w:p w14:paraId="6D2EA83B" w14:textId="77777777" w:rsidR="003952C7" w:rsidRPr="00B702C5" w:rsidRDefault="003952C7" w:rsidP="00B702C5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</w:p>
    <w:p w14:paraId="6D2EA83C" w14:textId="77777777" w:rsidR="003952C7" w:rsidRPr="00B702C5" w:rsidRDefault="008A372E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1.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Qëllimi i këtij ligji është të përjashtojë nga vuajtja e dënimit, tërësisht ose pjesërisht, të gjithë personat që plotësojnë kriteret, sipas dispozitave të këtij ligji.  </w:t>
      </w:r>
    </w:p>
    <w:p w14:paraId="6D2EA83D" w14:textId="77777777" w:rsidR="003952C7" w:rsidRPr="00B702C5" w:rsidRDefault="008A372E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2. </w:t>
      </w:r>
      <w:r w:rsidR="00BD7E8A" w:rsidRPr="00B702C5">
        <w:rPr>
          <w:rFonts w:ascii="Garamond" w:hAnsi="Garamond" w:cs="Times New Roman"/>
          <w:sz w:val="24"/>
          <w:szCs w:val="24"/>
        </w:rPr>
        <w:t>Dhënia e amnistisë, sipas këtij ligji, udhëhiqet nga parimet e:</w:t>
      </w:r>
    </w:p>
    <w:p w14:paraId="6D2EA83E" w14:textId="77777777" w:rsidR="003952C7" w:rsidRPr="00B702C5" w:rsidRDefault="008A372E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a) </w:t>
      </w:r>
      <w:r w:rsidR="00BD7E8A" w:rsidRPr="00B702C5">
        <w:rPr>
          <w:rFonts w:ascii="Garamond" w:hAnsi="Garamond" w:cs="Times New Roman"/>
          <w:sz w:val="24"/>
          <w:szCs w:val="24"/>
        </w:rPr>
        <w:t>humanizmit;</w:t>
      </w:r>
    </w:p>
    <w:p w14:paraId="6D2EA83F" w14:textId="77777777" w:rsidR="003952C7" w:rsidRPr="00B702C5" w:rsidRDefault="008A372E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b) </w:t>
      </w:r>
      <w:r w:rsidR="00BD7E8A" w:rsidRPr="00B702C5">
        <w:rPr>
          <w:rFonts w:ascii="Garamond" w:hAnsi="Garamond" w:cs="Times New Roman"/>
          <w:sz w:val="24"/>
          <w:szCs w:val="24"/>
        </w:rPr>
        <w:t>arritjes së qëllimit të dënimit;</w:t>
      </w:r>
    </w:p>
    <w:p w14:paraId="6D2EA840" w14:textId="77777777" w:rsidR="003952C7" w:rsidRPr="00B702C5" w:rsidRDefault="008A372E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c)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rrezikshmërisë së ulët të personave që amnistohen; </w:t>
      </w:r>
    </w:p>
    <w:p w14:paraId="6D2EA841" w14:textId="77777777" w:rsidR="003952C7" w:rsidRPr="00B702C5" w:rsidRDefault="008A372E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ç)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edukimit dhe të rehabilitimit;  </w:t>
      </w:r>
    </w:p>
    <w:p w14:paraId="6D2EA842" w14:textId="77777777" w:rsidR="003952C7" w:rsidRPr="00B702C5" w:rsidRDefault="008A372E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d)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mbrojtjes së interesit publik; </w:t>
      </w:r>
    </w:p>
    <w:p w14:paraId="6D2EA843" w14:textId="77777777" w:rsidR="003952C7" w:rsidRPr="00B702C5" w:rsidRDefault="008A372E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dh) </w:t>
      </w:r>
      <w:r w:rsidR="00BD7E8A" w:rsidRPr="00B702C5">
        <w:rPr>
          <w:rFonts w:ascii="Garamond" w:hAnsi="Garamond" w:cs="Times New Roman"/>
          <w:sz w:val="24"/>
          <w:szCs w:val="24"/>
        </w:rPr>
        <w:t>dhënies së mundësisë së integrimit më të lehtë dhe më të shpejtë të të dënuarve, të mitur dhe femra.</w:t>
      </w:r>
    </w:p>
    <w:p w14:paraId="6D2EA844" w14:textId="77777777" w:rsidR="003952C7" w:rsidRPr="00B702C5" w:rsidRDefault="003952C7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6D2EA845" w14:textId="77777777" w:rsidR="003952C7" w:rsidRPr="00B702C5" w:rsidRDefault="00BD7E8A" w:rsidP="00B702C5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>Neni 2</w:t>
      </w:r>
    </w:p>
    <w:p w14:paraId="6D2EA847" w14:textId="77777777" w:rsidR="003952C7" w:rsidRPr="00B702C5" w:rsidRDefault="00BD7E8A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02C5">
        <w:rPr>
          <w:rFonts w:ascii="Garamond" w:hAnsi="Garamond" w:cs="Times New Roman"/>
          <w:b/>
          <w:sz w:val="24"/>
          <w:szCs w:val="24"/>
        </w:rPr>
        <w:t>Përkufizime</w:t>
      </w:r>
    </w:p>
    <w:p w14:paraId="6D2EA848" w14:textId="77777777" w:rsidR="003952C7" w:rsidRPr="00B702C5" w:rsidRDefault="003952C7" w:rsidP="00B702C5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</w:p>
    <w:p w14:paraId="6D2EA849" w14:textId="77777777" w:rsidR="003952C7" w:rsidRPr="00B702C5" w:rsidRDefault="008A372E" w:rsidP="00B702C5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>Në këtë ligj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 termat e mëposhtëm </w:t>
      </w:r>
      <w:r w:rsidRPr="00B702C5">
        <w:rPr>
          <w:rFonts w:ascii="Garamond" w:hAnsi="Garamond" w:cs="Times New Roman"/>
          <w:sz w:val="24"/>
          <w:szCs w:val="24"/>
        </w:rPr>
        <w:t>kanë këto kuptime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:   </w:t>
      </w:r>
    </w:p>
    <w:p w14:paraId="6D2EA84A" w14:textId="77777777" w:rsidR="003952C7" w:rsidRPr="00B702C5" w:rsidRDefault="008A372E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1. </w:t>
      </w:r>
      <w:r w:rsidR="00BD7E8A" w:rsidRPr="00B702C5">
        <w:rPr>
          <w:rFonts w:ascii="Garamond" w:hAnsi="Garamond" w:cs="Times New Roman"/>
          <w:sz w:val="24"/>
          <w:szCs w:val="24"/>
        </w:rPr>
        <w:t>“I dënuar</w:t>
      </w:r>
      <w:r w:rsidRPr="00B702C5">
        <w:rPr>
          <w:rFonts w:ascii="Garamond" w:hAnsi="Garamond" w:cs="Times New Roman"/>
          <w:sz w:val="24"/>
          <w:szCs w:val="24"/>
        </w:rPr>
        <w:t>”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 konsiderohet:</w:t>
      </w:r>
    </w:p>
    <w:p w14:paraId="6D2EA84B" w14:textId="77777777" w:rsidR="003952C7" w:rsidRPr="00B702C5" w:rsidRDefault="008A372E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a) </w:t>
      </w:r>
      <w:r w:rsidR="00BD7E8A" w:rsidRPr="00B702C5">
        <w:rPr>
          <w:rFonts w:ascii="Garamond" w:hAnsi="Garamond" w:cs="Times New Roman"/>
          <w:sz w:val="24"/>
          <w:szCs w:val="24"/>
        </w:rPr>
        <w:t>personi i dënuar nga gjykatat e shkallës së parë të juridiksionit të përgjithshëm dhe gjykatat e shkallës</w:t>
      </w:r>
      <w:r w:rsidR="00477DCB" w:rsidRPr="00B702C5">
        <w:rPr>
          <w:rFonts w:ascii="Garamond" w:hAnsi="Garamond" w:cs="Times New Roman"/>
          <w:sz w:val="24"/>
          <w:szCs w:val="24"/>
        </w:rPr>
        <w:t xml:space="preserve"> së parë për krime të rënda dhe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 që, brenda afatit ligjor</w:t>
      </w:r>
      <w:r w:rsidR="00477DCB" w:rsidRPr="00B702C5">
        <w:rPr>
          <w:rFonts w:ascii="Garamond" w:hAnsi="Garamond" w:cs="Times New Roman"/>
          <w:sz w:val="24"/>
          <w:szCs w:val="24"/>
        </w:rPr>
        <w:t>,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 nuk është bërë ankim në gjykatat respektive të apelit, duke marrë formë të prerë brenda datës 31.12.2019;  </w:t>
      </w:r>
    </w:p>
    <w:p w14:paraId="6D2EA84C" w14:textId="77777777" w:rsidR="003952C7" w:rsidRPr="00B702C5" w:rsidRDefault="008A372E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b) </w:t>
      </w:r>
      <w:r w:rsidR="00BD7E8A" w:rsidRPr="00B702C5">
        <w:rPr>
          <w:rFonts w:ascii="Garamond" w:hAnsi="Garamond" w:cs="Times New Roman"/>
          <w:sz w:val="24"/>
          <w:szCs w:val="24"/>
        </w:rPr>
        <w:t>personi i dënuar deri në datën 31.12.2019 nga gjykatat respektive të apelit;</w:t>
      </w:r>
    </w:p>
    <w:p w14:paraId="6D2EA84D" w14:textId="77777777" w:rsidR="003952C7" w:rsidRPr="00B702C5" w:rsidRDefault="008A372E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c) </w:t>
      </w:r>
      <w:r w:rsidR="00BD7E8A" w:rsidRPr="00B702C5">
        <w:rPr>
          <w:rFonts w:ascii="Garamond" w:hAnsi="Garamond" w:cs="Times New Roman"/>
          <w:sz w:val="24"/>
          <w:szCs w:val="24"/>
        </w:rPr>
        <w:t>personi i dënuar deri në datën 31.7.2017 nga Gjykata e Lartë, kur kjo e fundit ka shqyrtuar çështjen në themel dhe ka disponuar me vendim, sipas parashikimeve të shkronjave “b”, “c” dhe “d”, të nenit 441, të Kodit të Procedurës Penale</w:t>
      </w:r>
      <w:r w:rsidR="00477DCB" w:rsidRPr="00B702C5">
        <w:rPr>
          <w:rFonts w:ascii="Garamond" w:hAnsi="Garamond" w:cs="Times New Roman"/>
          <w:sz w:val="24"/>
          <w:szCs w:val="24"/>
        </w:rPr>
        <w:t>,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 dhe për personat e dënuar deri në datën 31.12.2019 nga Gjykata e Lartë, e cila ka disponuar me vendim, sipas parashikimeve të shkronjës “b”,</w:t>
      </w:r>
      <w:r w:rsidR="00BD7E8A" w:rsidRPr="00B702C5">
        <w:rPr>
          <w:rFonts w:ascii="Garamond" w:hAnsi="Garamond" w:cs="Times New Roman"/>
          <w:sz w:val="24"/>
          <w:szCs w:val="24"/>
          <w:vertAlign w:val="superscript"/>
        </w:rPr>
        <w:t xml:space="preserve"> </w:t>
      </w:r>
      <w:r w:rsidR="00BD7E8A" w:rsidRPr="00B702C5">
        <w:rPr>
          <w:rFonts w:ascii="Garamond" w:hAnsi="Garamond" w:cs="Times New Roman"/>
          <w:sz w:val="24"/>
          <w:szCs w:val="24"/>
        </w:rPr>
        <w:t>të nenit 441, të Kodit të Procedurës Penale;</w:t>
      </w:r>
    </w:p>
    <w:p w14:paraId="6D2EA84E" w14:textId="77777777" w:rsidR="003952C7" w:rsidRPr="00B702C5" w:rsidRDefault="008A372E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ç) </w:t>
      </w:r>
      <w:r w:rsidR="00BD7E8A" w:rsidRPr="00B702C5">
        <w:rPr>
          <w:rFonts w:ascii="Garamond" w:hAnsi="Garamond" w:cs="Times New Roman"/>
          <w:sz w:val="24"/>
          <w:szCs w:val="24"/>
        </w:rPr>
        <w:t>personi i</w:t>
      </w:r>
      <w:r w:rsidR="0062223A" w:rsidRPr="00B702C5">
        <w:rPr>
          <w:rFonts w:ascii="Garamond" w:hAnsi="Garamond" w:cs="Times New Roman"/>
          <w:sz w:val="24"/>
          <w:szCs w:val="24"/>
        </w:rPr>
        <w:t xml:space="preserve"> dënuar deri në datën 31.7.2017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 nga Gjykata e Lartë, kur kjo e fundit ka gjykuar si shkallë e parë. </w:t>
      </w:r>
    </w:p>
    <w:p w14:paraId="6D2EA84F" w14:textId="77777777" w:rsidR="003952C7" w:rsidRPr="00B702C5" w:rsidRDefault="008A372E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2. </w:t>
      </w:r>
      <w:r w:rsidR="00BD7E8A" w:rsidRPr="00B702C5">
        <w:rPr>
          <w:rFonts w:ascii="Garamond" w:hAnsi="Garamond" w:cs="Times New Roman"/>
          <w:sz w:val="24"/>
          <w:szCs w:val="24"/>
        </w:rPr>
        <w:t>“Person që i është shmangur drejtësisë</w:t>
      </w:r>
      <w:r w:rsidRPr="00B702C5">
        <w:rPr>
          <w:rFonts w:ascii="Garamond" w:hAnsi="Garamond" w:cs="Times New Roman"/>
          <w:sz w:val="24"/>
          <w:szCs w:val="24"/>
        </w:rPr>
        <w:t>” është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 shtetasi, i cili i është shmangur ekzekutimit të vendimit gjyqësor të formës së prerë të dënimit deri në datën 31.12.2019.</w:t>
      </w:r>
    </w:p>
    <w:p w14:paraId="6D2EA850" w14:textId="77777777" w:rsidR="003952C7" w:rsidRPr="00B702C5" w:rsidRDefault="003952C7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6D2EA851" w14:textId="77777777" w:rsidR="003952C7" w:rsidRPr="00B702C5" w:rsidRDefault="00BD7E8A" w:rsidP="00B702C5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>Neni 3</w:t>
      </w:r>
    </w:p>
    <w:p w14:paraId="6D2EA853" w14:textId="77777777" w:rsidR="003952C7" w:rsidRPr="00B702C5" w:rsidRDefault="00BD7E8A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02C5">
        <w:rPr>
          <w:rFonts w:ascii="Garamond" w:hAnsi="Garamond" w:cs="Times New Roman"/>
          <w:b/>
          <w:sz w:val="24"/>
          <w:szCs w:val="24"/>
        </w:rPr>
        <w:t>Kriteret për përfitimin e amnistisë</w:t>
      </w:r>
    </w:p>
    <w:p w14:paraId="0B2981D1" w14:textId="77777777" w:rsidR="00C86D3C" w:rsidRDefault="00474771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</w:r>
    </w:p>
    <w:p w14:paraId="6D2EA855" w14:textId="5265E480" w:rsidR="003952C7" w:rsidRPr="00B702C5" w:rsidRDefault="00474771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 xml:space="preserve">1.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Amnistohen personat meshkuj, dënuar me vendim gjyqësor të formës së prerë, me burgim deri në 2 vjet ose çdolloj dënimi tjetër më të butë, duke përfshirë gjobën ose një nga llojet e </w:t>
      </w:r>
      <w:r w:rsidR="00BD7E8A" w:rsidRPr="00B702C5">
        <w:rPr>
          <w:rFonts w:ascii="Garamond" w:hAnsi="Garamond" w:cs="Times New Roman"/>
          <w:sz w:val="24"/>
          <w:szCs w:val="24"/>
        </w:rPr>
        <w:lastRenderedPageBreak/>
        <w:t xml:space="preserve">alternativave të dënimit me burgim, për dënime të dhëna deri në datën 31.12.2019, pavarësisht nga koha e mbetur nga dënimi.  </w:t>
      </w:r>
    </w:p>
    <w:p w14:paraId="6D2EA856" w14:textId="77777777" w:rsidR="003952C7" w:rsidRPr="00B702C5" w:rsidRDefault="00474771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2.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Amnistohen personat femra dhe të mitur, dënuar me vendim gjyqësor të formës së prerë, me burgim deri në 3 vjet ose çdolloj dënimi tjetër më të butë, duke përfshirë gjobën ose një nga llojet e alternativave të dënimit me burgim, për dënime të dhëna deri në datën 31.12.2019, pavarësisht nga koha e mbetur nga dënimi. </w:t>
      </w:r>
    </w:p>
    <w:p w14:paraId="6D2EA857" w14:textId="77777777" w:rsidR="003952C7" w:rsidRPr="00B702C5" w:rsidRDefault="00474771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3.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Amnistohen personat meshkuj, dënuar me burgim, të cilëve, deri në datën e hyrjes në fuqi të këtij ligji, u ka mbetur pa vuajtur nga ky dënim deri në 2 vjet.  </w:t>
      </w:r>
    </w:p>
    <w:p w14:paraId="6D2EA858" w14:textId="77777777" w:rsidR="003952C7" w:rsidRPr="00B702C5" w:rsidRDefault="00474771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4.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Amnistohen personat femra dhe të mitur, dënuar me burgim, të cilëve, deri në datën e hyrjes në fuqi të këtij ligji, u ka mbetur pa vuajtur nga ky dënim deri në 3 vjet.  </w:t>
      </w:r>
    </w:p>
    <w:p w14:paraId="6D2EA859" w14:textId="77777777" w:rsidR="003952C7" w:rsidRPr="00B702C5" w:rsidRDefault="00474771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5.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Amnistohen personat e dënuar femra, të cilat, në datën e hyrjes në fuqi të këtij ligji, janë baras ose mbi moshën 50 vjeç. </w:t>
      </w:r>
    </w:p>
    <w:p w14:paraId="6D2EA85A" w14:textId="77777777" w:rsidR="003952C7" w:rsidRPr="00B702C5" w:rsidRDefault="00474771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6.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Amnistohen personat e dënuar meshkuj, të cilët, në datën e hyrjes në fuqi të këtij ligji, janë baras ose mbi moshën 60 vjeç.  </w:t>
      </w:r>
    </w:p>
    <w:p w14:paraId="6D2EA85B" w14:textId="77777777" w:rsidR="003952C7" w:rsidRPr="00B702C5" w:rsidRDefault="00474771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7.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Amnistohen personat e dënuar me burgim, të cilët, në kohën e kryerjes së veprës penale, kanë qenë baras ose nën moshën 18 vjeç. </w:t>
      </w:r>
    </w:p>
    <w:p w14:paraId="6D2EA85C" w14:textId="77777777" w:rsidR="003952C7" w:rsidRPr="00B702C5" w:rsidRDefault="00474771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8. </w:t>
      </w:r>
      <w:r w:rsidR="00BD7E8A" w:rsidRPr="00B702C5">
        <w:rPr>
          <w:rFonts w:ascii="Garamond" w:hAnsi="Garamond" w:cs="Times New Roman"/>
          <w:sz w:val="24"/>
          <w:szCs w:val="24"/>
        </w:rPr>
        <w:t>Të gjithë të dënuarve femra dhe të mitur, të cilët nuk plotësojnë kriteret për të përfituar amnisti, sipas pikave 2, 4, 5 dhe 7, të këtij neni, u zbritet 1/3 e dënimit të mbetur, pavarësisht kritereve ndal</w:t>
      </w:r>
      <w:r w:rsidR="00477DCB" w:rsidRPr="00B702C5">
        <w:rPr>
          <w:rFonts w:ascii="Garamond" w:hAnsi="Garamond" w:cs="Times New Roman"/>
          <w:sz w:val="24"/>
          <w:szCs w:val="24"/>
        </w:rPr>
        <w:t>uese të parashikuara në nenin 4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 të këtij ligji.</w:t>
      </w:r>
    </w:p>
    <w:p w14:paraId="6D2EA85D" w14:textId="77777777" w:rsidR="003952C7" w:rsidRPr="00B702C5" w:rsidRDefault="003952C7" w:rsidP="00B702C5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</w:p>
    <w:p w14:paraId="6D2EA85E" w14:textId="77777777" w:rsidR="003952C7" w:rsidRPr="00B702C5" w:rsidRDefault="00BD7E8A" w:rsidP="00B702C5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>Neni 4</w:t>
      </w:r>
    </w:p>
    <w:p w14:paraId="6D2EA860" w14:textId="77777777" w:rsidR="003952C7" w:rsidRPr="00B702C5" w:rsidRDefault="00BD7E8A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02C5">
        <w:rPr>
          <w:rFonts w:ascii="Garamond" w:hAnsi="Garamond" w:cs="Times New Roman"/>
          <w:b/>
          <w:sz w:val="24"/>
          <w:szCs w:val="24"/>
        </w:rPr>
        <w:t>Kriteri ndalues për përfitimin e amnistisë</w:t>
      </w:r>
    </w:p>
    <w:p w14:paraId="6D2EA861" w14:textId="77777777" w:rsidR="003952C7" w:rsidRPr="00B702C5" w:rsidRDefault="003952C7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6D2EA862" w14:textId="55028109" w:rsidR="003952C7" w:rsidRPr="00B702C5" w:rsidRDefault="00474771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1. </w:t>
      </w:r>
      <w:r w:rsidR="00BD7E8A" w:rsidRPr="00B702C5">
        <w:rPr>
          <w:rFonts w:ascii="Garamond" w:hAnsi="Garamond" w:cs="Times New Roman"/>
          <w:sz w:val="24"/>
          <w:szCs w:val="24"/>
        </w:rPr>
        <w:t>Pavarësisht nga parashikimet e pikave 1, 3 dhe 6, të nenit 3, të këtij ligji, nuk përfitojnë nga kjo amnisti personat e dënuar</w:t>
      </w:r>
      <w:r w:rsidR="00E95133">
        <w:rPr>
          <w:rFonts w:ascii="Garamond" w:hAnsi="Garamond" w:cs="Times New Roman"/>
          <w:sz w:val="24"/>
          <w:szCs w:val="24"/>
        </w:rPr>
        <w:t>,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 për:  </w:t>
      </w:r>
    </w:p>
    <w:p w14:paraId="6D2EA863" w14:textId="77777777" w:rsidR="003952C7" w:rsidRPr="00B702C5" w:rsidRDefault="00474771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a)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krime kundër njerëzimit, të parashikuara në nenet 73, 74, 74/a e 75, të Kodit Penal;  </w:t>
      </w:r>
    </w:p>
    <w:p w14:paraId="6D2EA864" w14:textId="77777777" w:rsidR="003952C7" w:rsidRPr="00B702C5" w:rsidRDefault="00474771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b)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krime kundër jetës, të kryera me dashje, të parashikuara në nenet 76, 77, 78, 78/a, 79, 79/a, 79/b, 79/c, 81, 82, 83, 83/a, 83/b e 84/a, të Kodit Penal, si dhe në nenin 77, të Kodit Penal Ushtarak; </w:t>
      </w:r>
    </w:p>
    <w:p w14:paraId="6D2EA865" w14:textId="77777777" w:rsidR="003952C7" w:rsidRPr="00B702C5" w:rsidRDefault="00474771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c)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vepra penale të kryera me dashje kundër shëndetit, të parashikuara në nenet 86, 87, 88, 89/a, 96 e 99, të Kodit Penal;  </w:t>
      </w:r>
    </w:p>
    <w:p w14:paraId="6D2EA866" w14:textId="77777777" w:rsidR="003952C7" w:rsidRPr="00B702C5" w:rsidRDefault="00474771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ç)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krime seksuale, të parashikuara në nenet 100, 101, 102, 102/a, 103, 104, 105, 106, 107/a, 108 dhe 108/a, të Kodit Penal;  </w:t>
      </w:r>
    </w:p>
    <w:p w14:paraId="6D2EA867" w14:textId="77777777" w:rsidR="003952C7" w:rsidRPr="00B702C5" w:rsidRDefault="00474771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d)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vepra penale kundër lirisë së personit, të parashikuara në nenin 109, 109/b, 109/c, në paragrafin e dytë të nenit 110, në nenet 110/a, 110/b, 110/c dhe 111, të Kodit Penal;  </w:t>
      </w:r>
    </w:p>
    <w:p w14:paraId="6D2EA868" w14:textId="77777777" w:rsidR="003952C7" w:rsidRPr="00B702C5" w:rsidRDefault="00474771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</w:r>
      <w:r w:rsidR="00BD7E8A" w:rsidRPr="00B702C5">
        <w:rPr>
          <w:rFonts w:ascii="Garamond" w:hAnsi="Garamond" w:cs="Times New Roman"/>
          <w:sz w:val="24"/>
          <w:szCs w:val="24"/>
        </w:rPr>
        <w:t xml:space="preserve">dh) vepra penale kundër moralit dhe dinjitetit, të parashikuara në nenin 114, në paragrafët e dytë dhe të tretë të nenit 117, në nenet 119, 120, 121, të Kodit Penal;  </w:t>
      </w:r>
    </w:p>
    <w:p w14:paraId="6D2EA869" w14:textId="77777777" w:rsidR="003952C7" w:rsidRPr="00B702C5" w:rsidRDefault="00474771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e)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vepra penale kundër fëmijëve, martesës dhe familjes, të parashikuara në paragrafin e dytë të nenit 124, në paragrafët e dytë e të tretë të nenit 124/b, në nenet 128/a,128/b, 129 e 130/a, të Kodit Penal;  </w:t>
      </w:r>
    </w:p>
    <w:p w14:paraId="6D2EA86A" w14:textId="77777777" w:rsidR="003952C7" w:rsidRPr="00B702C5" w:rsidRDefault="00474771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ë)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vepra penale kundër pasurisë dhe në sferën ekonomike, të parashikuara në nenin 134, në nenet 135, 136, në paragrafin e dytë të nenit 137/a, në paragrafin e dytë të nenit 138, në nenet 138/a, 139, 140, 141, 141/a, në paragrafët e dytë dhe të tretë të nenit 143, në nenet 143/a, 143/b, 144/a, 151, 152, në paragrafin e dytë të nenit 156, në paragrafin e dytë të nenit 159, në nenet 164/a, 164/b, 175, në paragrafët e dytë dhe të tretë të nenit 180 e në nenin 181/a, të Kodit Penal, si dhe në paragrafët </w:t>
      </w:r>
      <w:r w:rsidR="00477DCB" w:rsidRPr="00B702C5">
        <w:rPr>
          <w:rFonts w:ascii="Garamond" w:hAnsi="Garamond" w:cs="Times New Roman"/>
          <w:sz w:val="24"/>
          <w:szCs w:val="24"/>
        </w:rPr>
        <w:t>e dytë dhe të tretë të nenit 59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 të Kodit Penal Ushtarak;  </w:t>
      </w:r>
    </w:p>
    <w:p w14:paraId="6D2EA86B" w14:textId="77777777" w:rsidR="003952C7" w:rsidRPr="00B702C5" w:rsidRDefault="00474771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f)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vepra penale kundër falsifikimit të monedhave dhe letrave me vlerë, të parashikuara në nenet 183, 184, në paragrafin e dytë të nenit 185, të Kodit Penal;  </w:t>
      </w:r>
    </w:p>
    <w:p w14:paraId="6D2EA86C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</w:r>
      <w:r w:rsidR="00BD7E8A" w:rsidRPr="00B702C5">
        <w:rPr>
          <w:rFonts w:ascii="Garamond" w:hAnsi="Garamond" w:cs="Times New Roman"/>
          <w:sz w:val="24"/>
          <w:szCs w:val="24"/>
        </w:rPr>
        <w:t xml:space="preserve">g) </w:t>
      </w:r>
      <w:r w:rsidR="00BD7E8A" w:rsidRPr="00B702C5">
        <w:rPr>
          <w:rFonts w:ascii="Garamond" w:hAnsi="Garamond" w:cs="Times New Roman"/>
          <w:sz w:val="24"/>
          <w:szCs w:val="24"/>
        </w:rPr>
        <w:tab/>
        <w:t xml:space="preserve">vepra penale kundër falsifikimit të dokumenteve, të parashikuara në nenin 186, në paragrafin e dytë të nenit 186/a, në paragrafin e dytë të nenit 187, në nenet 188, 189 e 191, në paragrafin e dytë të nenit 192/b, të Kodit Penal;  </w:t>
      </w:r>
    </w:p>
    <w:p w14:paraId="6D2EA86D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lastRenderedPageBreak/>
        <w:tab/>
        <w:t xml:space="preserve">gj) </w:t>
      </w:r>
      <w:r w:rsidR="00BD7E8A" w:rsidRPr="00B702C5">
        <w:rPr>
          <w:rFonts w:ascii="Garamond" w:hAnsi="Garamond" w:cs="Times New Roman"/>
          <w:sz w:val="24"/>
          <w:szCs w:val="24"/>
        </w:rPr>
        <w:t>veprat penale kundër zhvillimit të palejuar të lojërave të fati</w:t>
      </w:r>
      <w:r w:rsidR="00477DCB" w:rsidRPr="00B702C5">
        <w:rPr>
          <w:rFonts w:ascii="Garamond" w:hAnsi="Garamond" w:cs="Times New Roman"/>
          <w:sz w:val="24"/>
          <w:szCs w:val="24"/>
        </w:rPr>
        <w:t>t, të parashikuara në nenin 197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 të Kodit Penal;</w:t>
      </w:r>
    </w:p>
    <w:p w14:paraId="6D2EA86E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h) </w:t>
      </w:r>
      <w:r w:rsidR="00BD7E8A" w:rsidRPr="00B702C5">
        <w:rPr>
          <w:rFonts w:ascii="Garamond" w:hAnsi="Garamond" w:cs="Times New Roman"/>
          <w:sz w:val="24"/>
          <w:szCs w:val="24"/>
        </w:rPr>
        <w:t>veprat penale që cenojnë regjimin juridik të tokës dhe të ndërtimeve, të parashikuara në paragrafët e dytë dhe të tretë të nenit 199/a, të Kodit Penal;</w:t>
      </w:r>
    </w:p>
    <w:p w14:paraId="6D2EA86F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</w:r>
      <w:r w:rsidR="00BD7E8A" w:rsidRPr="00B702C5">
        <w:rPr>
          <w:rFonts w:ascii="Garamond" w:hAnsi="Garamond" w:cs="Times New Roman"/>
          <w:sz w:val="24"/>
          <w:szCs w:val="24"/>
        </w:rPr>
        <w:t xml:space="preserve">i) vepra penale kundër mjedisit, të parashikuara në nenet 201, 202, 203, 206/a, në paragrafin e dytë të nenit 206/b, të Kodit Penal;  </w:t>
      </w:r>
    </w:p>
    <w:p w14:paraId="6D2EA870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j)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krime kundër pavarësisë dhe rendit kushtetues, të parashikuara në nenet 208, 209, 210, 211, 212, 213, 214, 215, 216, 217, 218, 219, 220, 221, 222, 223, 224 e 225, të Kodit Penal; </w:t>
      </w:r>
    </w:p>
    <w:p w14:paraId="6D2EA871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</w:r>
      <w:r w:rsidR="00BD7E8A" w:rsidRPr="00B702C5">
        <w:rPr>
          <w:rFonts w:ascii="Garamond" w:hAnsi="Garamond" w:cs="Times New Roman"/>
          <w:sz w:val="24"/>
          <w:szCs w:val="24"/>
        </w:rPr>
        <w:t xml:space="preserve">k) krime që cenojnë marrëdhëniet me shtetet e tjera, të parashikuara në nenet 226 e 228, të Kodit Penal;  </w:t>
      </w:r>
    </w:p>
    <w:p w14:paraId="6D2EA872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l)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vepra me qëllime terroriste, të parashikuara në nenet 230, 230/a, 230/b, 230/c, 230/ç, 230/d, 231, 232, 232/a, 232/b, 233, 234, 234/a dhe 234/b, të Kodit Penal; </w:t>
      </w:r>
    </w:p>
    <w:p w14:paraId="6D2EA873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</w:r>
      <w:r w:rsidR="00BD7E8A" w:rsidRPr="00B702C5">
        <w:rPr>
          <w:rFonts w:ascii="Garamond" w:hAnsi="Garamond" w:cs="Times New Roman"/>
          <w:sz w:val="24"/>
          <w:szCs w:val="24"/>
        </w:rPr>
        <w:t xml:space="preserve">ll) krime kundër autoritetit të shtetit, të parashikuara në paragrafin e dytë të nenit 235, në paragrafin e dytë të nenit 236, në nenet 237, 238, 243, 244, 244/a, 245, 245/1, 248, 248/a, 250, 257/a, 258, 259, 259/a, 260, 265, 265/a, 265/b, 265/c, 266, 267, 270, 274, në paragrafët e parë, të katërt, të pestë, të gjashtë dhe të shtatë të nenit 278, në nenin 278/a, në paragrafin e dytë të nenit 282, në nenin 282/a, në paragrafët e dytë dhe të tretë të nenit 283, në nenet 283/a, 284, 284/a, 284/c, 284/ç, 285, 286, 287, 287/a, 287/b, 288, në paragrafin e dytë të nenit 289, në paragrafët e dytë, të tretë, të katërt të nenit 290, në nenet 293, 293/a, 293/b, 293/c, 294, në paragrafët e parë, të tretë, të pestë dhe të gjashtë të nenit 295/a, në nenet 297, 298, 299, të Kodit Penal, dhe në nenin 70, të Kodit Penal Ushtarak; </w:t>
      </w:r>
    </w:p>
    <w:p w14:paraId="6D2EA874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</w:r>
      <w:r w:rsidR="00BD7E8A" w:rsidRPr="00B702C5">
        <w:rPr>
          <w:rFonts w:ascii="Garamond" w:hAnsi="Garamond" w:cs="Times New Roman"/>
          <w:sz w:val="24"/>
          <w:szCs w:val="24"/>
        </w:rPr>
        <w:t>m)</w:t>
      </w:r>
      <w:r w:rsidR="00BD7E8A" w:rsidRPr="00B702C5">
        <w:rPr>
          <w:rFonts w:ascii="Garamond" w:hAnsi="Garamond" w:cs="Times New Roman"/>
          <w:sz w:val="24"/>
          <w:szCs w:val="24"/>
        </w:rPr>
        <w:tab/>
        <w:t xml:space="preserve">vepra penale kundër drejtësisë, të parashikuara në paragrafin e dytë të nenit 302, në nenet 305, 305/a, 305/b, 306, në paragrafin e dytë të nenit 309, në nenet 312, 312/a, 313/a, në paragrafët e dytë dhe të tretë të nenit 313/b, në nenet 314, 316, 319, 319/a, 319/b, 319/c, 319/ç, 319/d, 319/dh, 319/e, në nenet 323, 324, </w:t>
      </w:r>
      <w:r w:rsidR="00BD7E8A" w:rsidRPr="00B702C5">
        <w:rPr>
          <w:rFonts w:ascii="Garamond" w:hAnsi="Garamond" w:cs="Times New Roman"/>
          <w:color w:val="000000" w:themeColor="text1"/>
          <w:sz w:val="24"/>
          <w:szCs w:val="24"/>
        </w:rPr>
        <w:t xml:space="preserve">324/a, të Kodit Penal; </w:t>
      </w:r>
    </w:p>
    <w:p w14:paraId="6D2EA875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n)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vepra penale që prekin zgjedhjet e lira dhe sistemin demokratik të zgjedhjeve, të parashikuara në nenet 326, 326/a, 327/a, 328, 328/a, 328/b, 329, 330/a, 331, 331/a, 332 dhe 332/a, të Kodit Penal;  </w:t>
      </w:r>
    </w:p>
    <w:p w14:paraId="6D2EA876" w14:textId="22688CCA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</w:r>
      <w:r w:rsidR="00BD7E8A" w:rsidRPr="00B702C5">
        <w:rPr>
          <w:rFonts w:ascii="Garamond" w:hAnsi="Garamond" w:cs="Times New Roman"/>
          <w:sz w:val="24"/>
          <w:szCs w:val="24"/>
        </w:rPr>
        <w:t>nj)</w:t>
      </w:r>
      <w:r w:rsidR="00F375B9">
        <w:rPr>
          <w:rFonts w:ascii="Garamond" w:hAnsi="Garamond" w:cs="Times New Roman"/>
          <w:sz w:val="24"/>
          <w:szCs w:val="24"/>
        </w:rPr>
        <w:t xml:space="preserve"> </w:t>
      </w:r>
      <w:r w:rsidR="00BD7E8A" w:rsidRPr="00B702C5">
        <w:rPr>
          <w:rFonts w:ascii="Garamond" w:hAnsi="Garamond" w:cs="Times New Roman"/>
          <w:sz w:val="24"/>
          <w:szCs w:val="24"/>
        </w:rPr>
        <w:tab/>
        <w:t xml:space="preserve">vepra penale të kryera nga banda të armatosura dhe organizata kriminale, të parashikuara në nenet 333, 333/a dhe 334, të Kodit Penal.  </w:t>
      </w:r>
    </w:p>
    <w:p w14:paraId="6D2EA877" w14:textId="77777777" w:rsidR="003952C7" w:rsidRPr="00B702C5" w:rsidRDefault="00DE3F94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2.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Pavarësisht nga parashikimet e pikave 2, 4, 5 dhe 7, të nenit 3, të këtij ligji, nuk përfitojnë nga kjo amnisti personat e dënuar për:  </w:t>
      </w:r>
    </w:p>
    <w:p w14:paraId="6D2EA878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a)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krime kundër njerëzimit, të parashikuara në nenet 73, 74, 74/a e 75 të Kodit Penal;  </w:t>
      </w:r>
    </w:p>
    <w:p w14:paraId="6D2EA879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b)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krime kundër jetës, të kryera me dashje, të parashikuara në nenet 76, 77, 78, 78/a, 79, 79/a, 79/b, 79/c dhe 81 të Kodit Penal; </w:t>
      </w:r>
    </w:p>
    <w:p w14:paraId="6D2EA87A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c)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vepra penale të kryera me dashje kundër shëndetit, të parashikuara në nenet 86, 87, në paragrafin e dytë të nenit 88 dhe 89/a, të Kodit Penal; </w:t>
      </w:r>
    </w:p>
    <w:p w14:paraId="6D2EA87B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</w:r>
      <w:r w:rsidR="00BD7E8A" w:rsidRPr="00B702C5">
        <w:rPr>
          <w:rFonts w:ascii="Garamond" w:hAnsi="Garamond" w:cs="Times New Roman"/>
          <w:sz w:val="24"/>
          <w:szCs w:val="24"/>
        </w:rPr>
        <w:t>ç) krime seksuale, të parashikuara në nenet 100, 101, 103, 104, 106, 107/a dhe 108 të Kodit Penal;</w:t>
      </w:r>
    </w:p>
    <w:p w14:paraId="6D2EA87C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d) </w:t>
      </w:r>
      <w:r w:rsidR="00BD7E8A" w:rsidRPr="00B702C5">
        <w:rPr>
          <w:rFonts w:ascii="Garamond" w:hAnsi="Garamond" w:cs="Times New Roman"/>
          <w:sz w:val="24"/>
          <w:szCs w:val="24"/>
        </w:rPr>
        <w:t>vepra penale kundër lirisë së personit, të parashikuara në nenet 109, 109/b dhe 110/a, të Kodit Penal;</w:t>
      </w:r>
    </w:p>
    <w:p w14:paraId="6D2EA87D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dh)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vepra penale kundër fëmijëve, martesës dhe familjes, të parashikuara në paragrafët e dytë dhe të tretë të nenit 124/b, në nenet 128/a dhe 128/b, të Kodit Penal; </w:t>
      </w:r>
    </w:p>
    <w:p w14:paraId="6D2EA87E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e)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vepra penale kundër pasurisë dhe në sferën ekonomike, të parashikuara në nenet 139, 140, 141, 151, 152, në paragrafin e dytë të nenit 156 dhe në paragrafin e dytë të nenit 159, të Kodit Penal; </w:t>
      </w:r>
    </w:p>
    <w:p w14:paraId="6D2EA87F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ë)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krime kundër pavarësisë dhe rendit kushtetues, të parashikuara në nenet 208, 209, 210, 211, 212, 213, 214, 215, 216, 217, 218, 219, 220, 221, 222, 223, 224 e 225, të Kodit Penal; </w:t>
      </w:r>
    </w:p>
    <w:p w14:paraId="6D2EA880" w14:textId="77777777" w:rsidR="004F6DCB" w:rsidRPr="00B702C5" w:rsidRDefault="004F6DCB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>f) krime që cenojnë marrëdhëniet me shtetet e tjera, të parashikuara në nenet 226 e 228, të Kodit Penal;</w:t>
      </w:r>
    </w:p>
    <w:p w14:paraId="6D2EA881" w14:textId="77777777" w:rsidR="004F6DCB" w:rsidRPr="00B702C5" w:rsidRDefault="004F6DCB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lastRenderedPageBreak/>
        <w:tab/>
        <w:t>g) vepra me qëllime terroriste, të parashikuara në nenet 233, 234, 234/a dhe 234/b, të Kodit Penal;</w:t>
      </w:r>
    </w:p>
    <w:p w14:paraId="6D2EA882" w14:textId="77777777" w:rsidR="004F6DCB" w:rsidRPr="00B702C5" w:rsidRDefault="004F6DCB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>gj) krime kundër autoritetit të shtetit, të parashikuara në nenet 237, 238, 265, 265/a, 265/b, 265/c, 266, 274, 278, 278/a ,282/a, 283/a</w:t>
      </w:r>
      <w:r w:rsidRPr="00B702C5">
        <w:rPr>
          <w:rStyle w:val="CommentReference"/>
          <w:rFonts w:ascii="Garamond" w:hAnsi="Garamond" w:cs="Times New Roman"/>
          <w:sz w:val="24"/>
          <w:szCs w:val="24"/>
        </w:rPr>
        <w:t xml:space="preserve">, </w:t>
      </w:r>
      <w:r w:rsidRPr="00B702C5">
        <w:rPr>
          <w:rFonts w:ascii="Garamond" w:hAnsi="Garamond" w:cs="Times New Roman"/>
          <w:sz w:val="24"/>
          <w:szCs w:val="24"/>
        </w:rPr>
        <w:t xml:space="preserve"> 284/a, 288 dhe 293, të Kodit Penal; </w:t>
      </w:r>
    </w:p>
    <w:p w14:paraId="6D2EA883" w14:textId="77777777" w:rsidR="004F6DCB" w:rsidRPr="00B702C5" w:rsidRDefault="004F6DCB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>h) vepra penale të kryera nga banda e armatosur dhe organizata kriminale, të parashikuara në nenet 333, 333/a dhe 334, të Kodit Penal.</w:t>
      </w:r>
    </w:p>
    <w:p w14:paraId="6D2EA884" w14:textId="77777777" w:rsidR="003952C7" w:rsidRPr="00B702C5" w:rsidRDefault="00DE3F94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3. </w:t>
      </w:r>
      <w:r w:rsidR="00BD7E8A" w:rsidRPr="00B702C5">
        <w:rPr>
          <w:rFonts w:ascii="Garamond" w:hAnsi="Garamond" w:cs="Times New Roman"/>
          <w:sz w:val="24"/>
          <w:szCs w:val="24"/>
        </w:rPr>
        <w:t>Nuk përfitojnë nga kjo amnisti personat, të cilët i janë shmangur drejtësisë, sipas përcaktimit të shkronjës “b”, të nenit 2, të këtij ligji.</w:t>
      </w:r>
    </w:p>
    <w:p w14:paraId="6D2EA885" w14:textId="77777777" w:rsidR="003952C7" w:rsidRPr="00B702C5" w:rsidRDefault="00DE3F94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  <w:t xml:space="preserve">4. </w:t>
      </w:r>
      <w:r w:rsidR="00BD7E8A" w:rsidRPr="00B702C5">
        <w:rPr>
          <w:rFonts w:ascii="Garamond" w:hAnsi="Garamond" w:cs="Times New Roman"/>
          <w:sz w:val="24"/>
          <w:szCs w:val="24"/>
        </w:rPr>
        <w:t xml:space="preserve">Nuk përfitojnë nga kjo amnisti subjektet e përcaktuara në pikat 1, 3 dhe 6, të nenit 3, të këtij ligji, në rast se janë përsëritës të së njëjtës vepër penale. </w:t>
      </w:r>
    </w:p>
    <w:p w14:paraId="6D2EA886" w14:textId="77777777" w:rsidR="003952C7" w:rsidRPr="00B702C5" w:rsidRDefault="003952C7" w:rsidP="00B702C5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</w:p>
    <w:p w14:paraId="6D2EA887" w14:textId="77777777" w:rsidR="003952C7" w:rsidRPr="00B702C5" w:rsidRDefault="00BD7E8A" w:rsidP="00B702C5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>Neni 5</w:t>
      </w:r>
    </w:p>
    <w:p w14:paraId="6D2EA889" w14:textId="77777777" w:rsidR="003952C7" w:rsidRPr="00B702C5" w:rsidRDefault="00BD7E8A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02C5">
        <w:rPr>
          <w:rFonts w:ascii="Garamond" w:hAnsi="Garamond" w:cs="Times New Roman"/>
          <w:b/>
          <w:sz w:val="24"/>
          <w:szCs w:val="24"/>
        </w:rPr>
        <w:t>Të drejtat civile në procesin penal</w:t>
      </w:r>
    </w:p>
    <w:p w14:paraId="6D2EA88A" w14:textId="77777777" w:rsidR="003952C7" w:rsidRPr="00B702C5" w:rsidRDefault="00BD7E8A" w:rsidP="00B702C5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  <w:r w:rsidRPr="00B702C5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6D2EA88B" w14:textId="77777777" w:rsidR="003952C7" w:rsidRPr="00B702C5" w:rsidRDefault="00DE3F94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</w:r>
      <w:r w:rsidR="00BD7E8A" w:rsidRPr="00B702C5">
        <w:rPr>
          <w:rFonts w:ascii="Garamond" w:hAnsi="Garamond" w:cs="Times New Roman"/>
          <w:sz w:val="24"/>
          <w:szCs w:val="24"/>
        </w:rPr>
        <w:t>Nga zbatimi i këtij ligji nuk cenohen të drejtat civile në procesin penal dhe as shpenzimet gjyqësore të kryera gjatë gjykimit deri në momentin e hyrjes në fuqi të këtij ligji.</w:t>
      </w:r>
    </w:p>
    <w:p w14:paraId="6D2EA88C" w14:textId="77777777" w:rsidR="00C427F8" w:rsidRPr="00B702C5" w:rsidRDefault="00C427F8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6D2EA89B" w14:textId="77777777" w:rsidR="003952C7" w:rsidRPr="00B702C5" w:rsidRDefault="00BD7E8A" w:rsidP="00B702C5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>Neni 6</w:t>
      </w:r>
    </w:p>
    <w:p w14:paraId="6D2EA89D" w14:textId="77777777" w:rsidR="003952C7" w:rsidRPr="00B702C5" w:rsidRDefault="00BD7E8A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02C5">
        <w:rPr>
          <w:rFonts w:ascii="Garamond" w:hAnsi="Garamond" w:cs="Times New Roman"/>
          <w:b/>
          <w:sz w:val="24"/>
          <w:szCs w:val="24"/>
        </w:rPr>
        <w:t xml:space="preserve"> Hyrja në fuqi</w:t>
      </w:r>
    </w:p>
    <w:p w14:paraId="6D2EA89E" w14:textId="77777777" w:rsidR="003952C7" w:rsidRPr="00B702C5" w:rsidRDefault="003952C7" w:rsidP="00B702C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6D2EA89F" w14:textId="77777777" w:rsidR="003952C7" w:rsidRPr="00B702C5" w:rsidRDefault="00DE3F94" w:rsidP="00B702C5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  <w:r w:rsidRPr="00B702C5">
        <w:rPr>
          <w:rFonts w:ascii="Garamond" w:hAnsi="Garamond" w:cs="Times New Roman"/>
          <w:sz w:val="24"/>
          <w:szCs w:val="24"/>
        </w:rPr>
        <w:tab/>
      </w:r>
      <w:r w:rsidR="00BD7E8A" w:rsidRPr="00B702C5">
        <w:rPr>
          <w:rFonts w:ascii="Garamond" w:hAnsi="Garamond" w:cs="Times New Roman"/>
          <w:sz w:val="24"/>
          <w:szCs w:val="24"/>
        </w:rPr>
        <w:t xml:space="preserve">Ky ligj hyn </w:t>
      </w:r>
      <w:r w:rsidR="00C427F8" w:rsidRPr="00B702C5">
        <w:rPr>
          <w:rFonts w:ascii="Garamond" w:hAnsi="Garamond" w:cs="Times New Roman"/>
          <w:sz w:val="24"/>
          <w:szCs w:val="24"/>
        </w:rPr>
        <w:t>në fuqi 15 ditë pas botimit në Fletoren Zyrtare</w:t>
      </w:r>
      <w:r w:rsidR="00BD7E8A" w:rsidRPr="00B702C5">
        <w:rPr>
          <w:rFonts w:ascii="Garamond" w:hAnsi="Garamond" w:cs="Times New Roman"/>
          <w:sz w:val="24"/>
          <w:szCs w:val="24"/>
        </w:rPr>
        <w:t>.</w:t>
      </w:r>
    </w:p>
    <w:p w14:paraId="6D2EA8A0" w14:textId="77777777" w:rsidR="003952C7" w:rsidRPr="00B702C5" w:rsidRDefault="003952C7" w:rsidP="00B702C5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</w:p>
    <w:p w14:paraId="3F61E775" w14:textId="4AC848A1" w:rsidR="003952C7" w:rsidRPr="00B702C5" w:rsidRDefault="00FE795B" w:rsidP="00F375B9">
      <w:pPr>
        <w:spacing w:after="0" w:line="240" w:lineRule="auto"/>
        <w:ind w:firstLine="284"/>
        <w:jc w:val="right"/>
        <w:rPr>
          <w:rFonts w:ascii="Garamond" w:eastAsia="Calibri" w:hAnsi="Garamond" w:cs="Times New Roman"/>
          <w:b/>
          <w:sz w:val="24"/>
          <w:szCs w:val="24"/>
        </w:rPr>
      </w:pP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  <w:r w:rsidRPr="00B702C5">
        <w:rPr>
          <w:rFonts w:ascii="Garamond" w:eastAsia="Calibri" w:hAnsi="Garamond" w:cs="Times New Roman"/>
          <w:sz w:val="24"/>
          <w:szCs w:val="24"/>
        </w:rPr>
        <w:tab/>
      </w:r>
    </w:p>
    <w:p w14:paraId="6D2EA8A5" w14:textId="77777777" w:rsidR="00FE795B" w:rsidRPr="00B702C5" w:rsidRDefault="00FE795B" w:rsidP="00B702C5">
      <w:pPr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6D2EA8A6" w14:textId="635A2292" w:rsidR="00FE795B" w:rsidRPr="00B702C5" w:rsidRDefault="00FE795B" w:rsidP="00B702C5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  <w:r w:rsidRPr="00B702C5">
        <w:rPr>
          <w:rFonts w:ascii="Garamond" w:eastAsia="Calibri" w:hAnsi="Garamond" w:cs="Times New Roman"/>
          <w:sz w:val="24"/>
          <w:szCs w:val="24"/>
        </w:rPr>
        <w:t xml:space="preserve">Miratuar në datën </w:t>
      </w:r>
      <w:r w:rsidR="00300606" w:rsidRPr="00B702C5">
        <w:rPr>
          <w:rFonts w:ascii="Garamond" w:eastAsia="Calibri" w:hAnsi="Garamond" w:cs="Times New Roman"/>
          <w:sz w:val="24"/>
          <w:szCs w:val="24"/>
        </w:rPr>
        <w:t>30.1.</w:t>
      </w:r>
      <w:r w:rsidRPr="00B702C5">
        <w:rPr>
          <w:rFonts w:ascii="Garamond" w:eastAsia="Calibri" w:hAnsi="Garamond" w:cs="Times New Roman"/>
          <w:sz w:val="24"/>
          <w:szCs w:val="24"/>
        </w:rPr>
        <w:t>2020</w:t>
      </w:r>
      <w:r w:rsidR="00A7292D">
        <w:rPr>
          <w:rFonts w:ascii="Garamond" w:eastAsia="Calibri" w:hAnsi="Garamond" w:cs="Times New Roman"/>
          <w:sz w:val="24"/>
          <w:szCs w:val="24"/>
        </w:rPr>
        <w:t>.</w:t>
      </w:r>
    </w:p>
    <w:p w14:paraId="6D2EA8A7" w14:textId="77777777" w:rsidR="00FE795B" w:rsidRPr="00B702C5" w:rsidRDefault="00FE795B" w:rsidP="00B702C5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D2EA8A8" w14:textId="77777777" w:rsidR="00FE795B" w:rsidRPr="003959F2" w:rsidRDefault="00FE795B" w:rsidP="00FE7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A0E03" w14:textId="4F0970AC" w:rsidR="00F375B9" w:rsidRPr="00F375B9" w:rsidRDefault="00F375B9" w:rsidP="00F375B9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Shpallur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dekretin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nr.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11439</w:t>
      </w: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datë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14.2.2020</w:t>
      </w:r>
      <w:bookmarkStart w:id="0" w:name="_GoBack"/>
      <w:bookmarkEnd w:id="0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Presidentit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Republikës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së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Shqipërisë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Ilir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Meta.</w:t>
      </w:r>
    </w:p>
    <w:p w14:paraId="6D2EA8A9" w14:textId="77777777" w:rsidR="00FE795B" w:rsidRPr="003959F2" w:rsidRDefault="00FE795B" w:rsidP="00FE7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EA8AA" w14:textId="77777777" w:rsidR="00FE795B" w:rsidRDefault="00FE795B" w:rsidP="00FE7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EA8AB" w14:textId="77777777" w:rsidR="00FE795B" w:rsidRDefault="00FE795B" w:rsidP="00FE7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EA8AC" w14:textId="77777777" w:rsidR="00FE795B" w:rsidRPr="00FE795B" w:rsidRDefault="00FE795B" w:rsidP="00FE7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E795B" w:rsidRPr="00FE795B" w:rsidSect="00C7627A">
      <w:footerReference w:type="default" r:id="rId13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F7834" w14:textId="77777777" w:rsidR="00F375B9" w:rsidRDefault="00F375B9">
      <w:pPr>
        <w:spacing w:after="0" w:line="240" w:lineRule="auto"/>
      </w:pPr>
      <w:r>
        <w:separator/>
      </w:r>
    </w:p>
  </w:endnote>
  <w:endnote w:type="continuationSeparator" w:id="0">
    <w:p w14:paraId="168DA7DC" w14:textId="77777777" w:rsidR="00F375B9" w:rsidRDefault="00F375B9">
      <w:pPr>
        <w:spacing w:after="0" w:line="240" w:lineRule="auto"/>
      </w:pPr>
      <w:r>
        <w:continuationSeparator/>
      </w:r>
    </w:p>
  </w:endnote>
  <w:endnote w:type="continuationNotice" w:id="1">
    <w:p w14:paraId="26A94C6F" w14:textId="77777777" w:rsidR="00F375B9" w:rsidRDefault="00F375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021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D2EA8B1" w14:textId="77777777" w:rsidR="00F375B9" w:rsidRPr="00C7627A" w:rsidRDefault="00F375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7627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627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7627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3114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7627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D2EA8B2" w14:textId="77777777" w:rsidR="00F375B9" w:rsidRDefault="00F375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A1625" w14:textId="77777777" w:rsidR="00F375B9" w:rsidRDefault="00F375B9">
      <w:pPr>
        <w:spacing w:after="0" w:line="240" w:lineRule="auto"/>
      </w:pPr>
      <w:r>
        <w:separator/>
      </w:r>
    </w:p>
  </w:footnote>
  <w:footnote w:type="continuationSeparator" w:id="0">
    <w:p w14:paraId="41DF73CA" w14:textId="77777777" w:rsidR="00F375B9" w:rsidRDefault="00F375B9">
      <w:pPr>
        <w:spacing w:after="0" w:line="240" w:lineRule="auto"/>
      </w:pPr>
      <w:r>
        <w:continuationSeparator/>
      </w:r>
    </w:p>
  </w:footnote>
  <w:footnote w:type="continuationNotice" w:id="1">
    <w:p w14:paraId="5EE29CAB" w14:textId="77777777" w:rsidR="00F375B9" w:rsidRDefault="00F375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C0479"/>
    <w:multiLevelType w:val="hybridMultilevel"/>
    <w:tmpl w:val="2BCA72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B75E51"/>
    <w:multiLevelType w:val="hybridMultilevel"/>
    <w:tmpl w:val="46BE547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CB4BB0"/>
    <w:multiLevelType w:val="hybridMultilevel"/>
    <w:tmpl w:val="D59ECB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45791D"/>
    <w:multiLevelType w:val="hybridMultilevel"/>
    <w:tmpl w:val="53B25B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F13F45"/>
    <w:multiLevelType w:val="hybridMultilevel"/>
    <w:tmpl w:val="C4EC100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90E0162"/>
    <w:multiLevelType w:val="hybridMultilevel"/>
    <w:tmpl w:val="7E96AF9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4D5C0E"/>
    <w:multiLevelType w:val="multilevel"/>
    <w:tmpl w:val="BA9EBF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E4A4DB8"/>
    <w:multiLevelType w:val="hybridMultilevel"/>
    <w:tmpl w:val="4558C0EA"/>
    <w:lvl w:ilvl="0" w:tplc="8B26DCA4">
      <w:start w:val="1"/>
      <w:numFmt w:val="lowerLetter"/>
      <w:lvlText w:val="%1)"/>
      <w:lvlJc w:val="righ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00668"/>
    <w:multiLevelType w:val="hybridMultilevel"/>
    <w:tmpl w:val="CFB02D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2C7"/>
    <w:rsid w:val="00010C36"/>
    <w:rsid w:val="00111910"/>
    <w:rsid w:val="001610D1"/>
    <w:rsid w:val="002073D0"/>
    <w:rsid w:val="002E238D"/>
    <w:rsid w:val="00300606"/>
    <w:rsid w:val="00322995"/>
    <w:rsid w:val="00324624"/>
    <w:rsid w:val="003952C7"/>
    <w:rsid w:val="003959F2"/>
    <w:rsid w:val="003B6917"/>
    <w:rsid w:val="00474771"/>
    <w:rsid w:val="00474A61"/>
    <w:rsid w:val="00477DCB"/>
    <w:rsid w:val="004F6DCB"/>
    <w:rsid w:val="005E2D26"/>
    <w:rsid w:val="006158B4"/>
    <w:rsid w:val="0062223A"/>
    <w:rsid w:val="006F3036"/>
    <w:rsid w:val="008A372E"/>
    <w:rsid w:val="0093114B"/>
    <w:rsid w:val="00A7292D"/>
    <w:rsid w:val="00B65464"/>
    <w:rsid w:val="00B702C5"/>
    <w:rsid w:val="00BB15FC"/>
    <w:rsid w:val="00BD7E8A"/>
    <w:rsid w:val="00BE49E9"/>
    <w:rsid w:val="00C13446"/>
    <w:rsid w:val="00C427F8"/>
    <w:rsid w:val="00C7627A"/>
    <w:rsid w:val="00C86D3C"/>
    <w:rsid w:val="00DD6879"/>
    <w:rsid w:val="00DE3F94"/>
    <w:rsid w:val="00E95133"/>
    <w:rsid w:val="00F375B9"/>
    <w:rsid w:val="00F501D7"/>
    <w:rsid w:val="00FE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A821"/>
  <w15:docId w15:val="{1299816E-D1E8-4FD4-9CAC-2B5ED62C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sq-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sq-AL"/>
    </w:rPr>
  </w:style>
  <w:style w:type="paragraph" w:styleId="FootnoteText">
    <w:name w:val="footnote text"/>
    <w:basedOn w:val="Normal"/>
    <w:link w:val="FootnoteTextChar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Pr>
      <w:rFonts w:ascii="MS Sans Serif" w:eastAsia="Times New Roman" w:hAnsi="MS Sans Serif" w:cs="Times New Roman"/>
      <w:sz w:val="20"/>
      <w:szCs w:val="20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3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3C9268E4D344EBD9963B7F935A6DC9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</Nr_x002e__x0020_akti>
    <Data_x0020_e_x0020_Krijimit xmlns="0e656187-b300-4fb0-8bf4-3a50f872073c">2020-02-03T12:11:43Z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2020-02-02T23:00:00Z</Date_x0020_protokolli>
    <Titulli xmlns="0e656187-b300-4fb0-8bf4-3a50f872073c">Për dhënie amnistie</Titulli>
    <Modifikuesi xmlns="0e656187-b300-4fb0-8bf4-3a50f872073c">jorina.kryeziu</Modifikuesi>
    <Nr_x002e__x0020_prot_x0020_QBZ xmlns="0e656187-b300-4fb0-8bf4-3a50f872073c">182/5</Nr_x002e__x0020_prot_x0020_QBZ>
    <Data_x0020_e_x0020_Modifikimit xmlns="0e656187-b300-4fb0-8bf4-3a50f872073c">2020-02-17T10:39:20Z</Data_x0020_e_x0020_Modifikimit>
    <Dekretuar xmlns="0e656187-b300-4fb0-8bf4-3a50f872073c">false</Dekretuar>
    <Data xmlns="0e656187-b300-4fb0-8bf4-3a50f872073c">2020-01-29T23:00:00Z</Data>
    <Nr_x002e__x0020_protokolli_x0020_i_x0020_aktit xmlns="0e656187-b300-4fb0-8bf4-3a50f872073c">409/1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3C9268E4D344EBD9963B7F935A6DC9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FB25F-AC1D-4058-8B18-DD138AA807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BBCB57-CF23-4D26-A345-F5740C37F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BAB8470-E096-40CD-BDC5-1A2E9274AB77}">
  <ds:schemaRefs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D1905EC-195B-4970-B77E-6BD4BDBEF4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B97BBB-327E-4061-8C00-F1627B222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6D54AD1-D0B6-4265-80ED-D34C5D59D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 amnistie</vt:lpstr>
    </vt:vector>
  </TitlesOfParts>
  <Company/>
  <LinksUpToDate>false</LinksUpToDate>
  <CharactersWithSpaces>10809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 amnistie</dc:title>
  <dc:creator>Periand Teta</dc:creator>
  <cp:lastModifiedBy>Entela Suli</cp:lastModifiedBy>
  <cp:revision>21</cp:revision>
  <cp:lastPrinted>2020-01-31T08:02:00Z</cp:lastPrinted>
  <dcterms:created xsi:type="dcterms:W3CDTF">2020-01-28T10:34:00Z</dcterms:created>
  <dcterms:modified xsi:type="dcterms:W3CDTF">2020-02-17T11:16:00Z</dcterms:modified>
</cp:coreProperties>
</file>