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6C8CA9" w14:textId="77777777" w:rsidR="00837FE6" w:rsidRPr="007E21D3" w:rsidRDefault="0038569C" w:rsidP="007E21D3">
      <w:pPr>
        <w:spacing w:after="0" w:line="240" w:lineRule="auto"/>
        <w:ind w:firstLine="284"/>
        <w:jc w:val="center"/>
        <w:rPr>
          <w:rFonts w:ascii="Garamond" w:hAnsi="Garamond"/>
          <w:b/>
          <w:sz w:val="24"/>
          <w:szCs w:val="24"/>
        </w:rPr>
      </w:pPr>
      <w:r w:rsidRPr="007E21D3">
        <w:rPr>
          <w:rFonts w:ascii="Garamond" w:hAnsi="Garamond"/>
          <w:b/>
          <w:sz w:val="24"/>
          <w:szCs w:val="24"/>
        </w:rPr>
        <w:t>LI</w:t>
      </w:r>
      <w:r w:rsidR="00837FE6" w:rsidRPr="007E21D3">
        <w:rPr>
          <w:rFonts w:ascii="Garamond" w:hAnsi="Garamond"/>
          <w:b/>
          <w:sz w:val="24"/>
          <w:szCs w:val="24"/>
        </w:rPr>
        <w:t>GJ</w:t>
      </w:r>
    </w:p>
    <w:p w14:paraId="7D6C8CAB" w14:textId="77777777" w:rsidR="00837FE6" w:rsidRPr="007E21D3" w:rsidRDefault="0038569C" w:rsidP="007E21D3">
      <w:pPr>
        <w:spacing w:after="0" w:line="240" w:lineRule="auto"/>
        <w:ind w:firstLine="284"/>
        <w:jc w:val="center"/>
        <w:rPr>
          <w:rFonts w:ascii="Garamond" w:hAnsi="Garamond"/>
          <w:b/>
          <w:sz w:val="24"/>
          <w:szCs w:val="24"/>
        </w:rPr>
      </w:pPr>
      <w:r w:rsidRPr="007E21D3">
        <w:rPr>
          <w:rFonts w:ascii="Garamond" w:hAnsi="Garamond"/>
          <w:b/>
          <w:sz w:val="24"/>
          <w:szCs w:val="24"/>
        </w:rPr>
        <w:t xml:space="preserve">Nr. </w:t>
      </w:r>
      <w:r w:rsidR="00A50784" w:rsidRPr="007E21D3">
        <w:rPr>
          <w:rFonts w:ascii="Garamond" w:hAnsi="Garamond"/>
          <w:b/>
          <w:sz w:val="24"/>
          <w:szCs w:val="24"/>
        </w:rPr>
        <w:t>15</w:t>
      </w:r>
      <w:r w:rsidRPr="007E21D3">
        <w:rPr>
          <w:rFonts w:ascii="Garamond" w:hAnsi="Garamond"/>
          <w:b/>
          <w:sz w:val="24"/>
          <w:szCs w:val="24"/>
        </w:rPr>
        <w:t>/</w:t>
      </w:r>
      <w:r w:rsidR="00837FE6" w:rsidRPr="007E21D3">
        <w:rPr>
          <w:rFonts w:ascii="Garamond" w:hAnsi="Garamond"/>
          <w:b/>
          <w:sz w:val="24"/>
          <w:szCs w:val="24"/>
        </w:rPr>
        <w:t>2020</w:t>
      </w:r>
    </w:p>
    <w:p w14:paraId="7D6C8CAC" w14:textId="77777777" w:rsidR="00837FE6" w:rsidRPr="007E21D3" w:rsidRDefault="00837FE6" w:rsidP="007E21D3">
      <w:pPr>
        <w:spacing w:after="0" w:line="240" w:lineRule="auto"/>
        <w:ind w:firstLine="284"/>
        <w:jc w:val="center"/>
        <w:rPr>
          <w:rFonts w:ascii="Garamond" w:hAnsi="Garamond"/>
          <w:b/>
          <w:sz w:val="24"/>
          <w:szCs w:val="24"/>
        </w:rPr>
      </w:pPr>
    </w:p>
    <w:p w14:paraId="7D6C8CAD" w14:textId="01818768" w:rsidR="00DF1493" w:rsidRPr="007E21D3" w:rsidRDefault="00837FE6" w:rsidP="007E21D3">
      <w:pPr>
        <w:spacing w:after="0" w:line="240" w:lineRule="auto"/>
        <w:ind w:firstLine="284"/>
        <w:jc w:val="center"/>
        <w:rPr>
          <w:rFonts w:ascii="Garamond" w:hAnsi="Garamond"/>
          <w:b/>
          <w:sz w:val="24"/>
          <w:szCs w:val="24"/>
        </w:rPr>
      </w:pPr>
      <w:r w:rsidRPr="007E21D3">
        <w:rPr>
          <w:rFonts w:ascii="Garamond" w:hAnsi="Garamond"/>
          <w:b/>
          <w:sz w:val="24"/>
          <w:szCs w:val="24"/>
        </w:rPr>
        <w:t>PËR DISA SHTESA DHE NDRYSHIME NË LIGJIN NR. 96/2016, “PËR STATUSIN E GJYQTARËVE DHE PROKURORËVE NË REPUBLIKËN E SHQIPËRISË</w:t>
      </w:r>
      <w:r w:rsidR="00287CAE" w:rsidRPr="007E21D3">
        <w:rPr>
          <w:rFonts w:ascii="Garamond" w:hAnsi="Garamond"/>
          <w:b/>
          <w:sz w:val="24"/>
          <w:szCs w:val="24"/>
        </w:rPr>
        <w:t>”,</w:t>
      </w:r>
    </w:p>
    <w:p w14:paraId="7D6C8CAE" w14:textId="77777777" w:rsidR="00837FE6" w:rsidRPr="007E21D3" w:rsidRDefault="00287CAE" w:rsidP="007E21D3">
      <w:pPr>
        <w:spacing w:after="0" w:line="240" w:lineRule="auto"/>
        <w:ind w:firstLine="284"/>
        <w:jc w:val="center"/>
        <w:rPr>
          <w:rFonts w:ascii="Garamond" w:hAnsi="Garamond"/>
          <w:b/>
          <w:sz w:val="24"/>
          <w:szCs w:val="24"/>
        </w:rPr>
      </w:pPr>
      <w:r w:rsidRPr="007E21D3">
        <w:rPr>
          <w:rFonts w:ascii="Garamond" w:hAnsi="Garamond"/>
          <w:b/>
          <w:sz w:val="24"/>
          <w:szCs w:val="24"/>
        </w:rPr>
        <w:t>TË NDRYSHUAR</w:t>
      </w:r>
    </w:p>
    <w:p w14:paraId="7D6C8CAF" w14:textId="77777777" w:rsidR="00837FE6" w:rsidRPr="007E21D3" w:rsidRDefault="00837FE6" w:rsidP="007E21D3">
      <w:pPr>
        <w:spacing w:after="0" w:line="240" w:lineRule="auto"/>
        <w:ind w:firstLine="284"/>
        <w:jc w:val="both"/>
        <w:rPr>
          <w:rFonts w:ascii="Garamond" w:hAnsi="Garamond"/>
          <w:sz w:val="24"/>
          <w:szCs w:val="24"/>
        </w:rPr>
      </w:pPr>
    </w:p>
    <w:p w14:paraId="7D6C8CB0" w14:textId="57AAFC79" w:rsidR="00837FE6" w:rsidRPr="007E21D3" w:rsidRDefault="00837FE6" w:rsidP="007E21D3">
      <w:pPr>
        <w:spacing w:after="0" w:line="240" w:lineRule="auto"/>
        <w:ind w:firstLine="284"/>
        <w:jc w:val="both"/>
        <w:rPr>
          <w:rFonts w:ascii="Garamond" w:hAnsi="Garamond"/>
          <w:sz w:val="24"/>
          <w:szCs w:val="24"/>
        </w:rPr>
      </w:pPr>
      <w:r w:rsidRPr="007E21D3">
        <w:rPr>
          <w:rFonts w:ascii="Garamond" w:hAnsi="Garamond"/>
          <w:sz w:val="24"/>
          <w:szCs w:val="24"/>
        </w:rPr>
        <w:t xml:space="preserve">Në mbështetje të </w:t>
      </w:r>
      <w:r w:rsidR="003559C9" w:rsidRPr="007E21D3">
        <w:rPr>
          <w:rFonts w:ascii="Garamond" w:hAnsi="Garamond"/>
          <w:sz w:val="24"/>
          <w:szCs w:val="24"/>
        </w:rPr>
        <w:t>neneve 81 dhe 83</w:t>
      </w:r>
      <w:r w:rsidR="009624F0" w:rsidRPr="007E21D3">
        <w:rPr>
          <w:rFonts w:ascii="Garamond" w:hAnsi="Garamond"/>
          <w:sz w:val="24"/>
          <w:szCs w:val="24"/>
        </w:rPr>
        <w:t>,</w:t>
      </w:r>
      <w:r w:rsidRPr="007E21D3">
        <w:rPr>
          <w:rFonts w:ascii="Garamond" w:hAnsi="Garamond"/>
          <w:sz w:val="24"/>
          <w:szCs w:val="24"/>
        </w:rPr>
        <w:t xml:space="preserve"> pika 1, të Kushtetutës, me propozimin e një grupi deputetësh, </w:t>
      </w:r>
    </w:p>
    <w:p w14:paraId="7D6C8CB1" w14:textId="77777777" w:rsidR="00837FE6" w:rsidRPr="007E21D3" w:rsidRDefault="00837FE6" w:rsidP="007E21D3">
      <w:pPr>
        <w:spacing w:after="0" w:line="240" w:lineRule="auto"/>
        <w:ind w:firstLine="284"/>
        <w:jc w:val="both"/>
        <w:rPr>
          <w:rFonts w:ascii="Garamond" w:hAnsi="Garamond"/>
          <w:sz w:val="24"/>
          <w:szCs w:val="24"/>
        </w:rPr>
      </w:pPr>
    </w:p>
    <w:p w14:paraId="23F4AF0B"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KUVENDI</w:t>
      </w:r>
    </w:p>
    <w:p w14:paraId="7D6C8CB4"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I REPUBLIKËS SË SHQIPËRISË:</w:t>
      </w:r>
    </w:p>
    <w:p w14:paraId="7D6C8CB5" w14:textId="77777777" w:rsidR="00837FE6" w:rsidRPr="007E21D3" w:rsidRDefault="00837FE6" w:rsidP="007E21D3">
      <w:pPr>
        <w:spacing w:after="0" w:line="240" w:lineRule="auto"/>
        <w:ind w:firstLine="284"/>
        <w:jc w:val="center"/>
        <w:rPr>
          <w:rFonts w:ascii="Garamond" w:hAnsi="Garamond"/>
          <w:sz w:val="24"/>
          <w:szCs w:val="24"/>
        </w:rPr>
      </w:pPr>
    </w:p>
    <w:p w14:paraId="308891A8" w14:textId="77777777" w:rsidR="00837FE6" w:rsidRPr="007E21D3" w:rsidRDefault="007E21D3" w:rsidP="007E21D3">
      <w:pPr>
        <w:spacing w:after="0" w:line="240" w:lineRule="auto"/>
        <w:ind w:firstLine="284"/>
        <w:jc w:val="center"/>
        <w:rPr>
          <w:rFonts w:ascii="Garamond" w:hAnsi="Garamond"/>
          <w:sz w:val="24"/>
          <w:szCs w:val="24"/>
        </w:rPr>
      </w:pPr>
      <w:r>
        <w:rPr>
          <w:rFonts w:ascii="Garamond" w:hAnsi="Garamond"/>
          <w:sz w:val="24"/>
          <w:szCs w:val="24"/>
        </w:rPr>
        <w:t>VEN</w:t>
      </w:r>
      <w:r w:rsidR="00837FE6" w:rsidRPr="007E21D3">
        <w:rPr>
          <w:rFonts w:ascii="Garamond" w:hAnsi="Garamond"/>
          <w:sz w:val="24"/>
          <w:szCs w:val="24"/>
        </w:rPr>
        <w:t>DO</w:t>
      </w:r>
      <w:r>
        <w:rPr>
          <w:rFonts w:ascii="Garamond" w:hAnsi="Garamond"/>
          <w:sz w:val="24"/>
          <w:szCs w:val="24"/>
        </w:rPr>
        <w:t>S</w:t>
      </w:r>
      <w:r w:rsidR="00837FE6" w:rsidRPr="007E21D3">
        <w:rPr>
          <w:rFonts w:ascii="Garamond" w:hAnsi="Garamond"/>
          <w:sz w:val="24"/>
          <w:szCs w:val="24"/>
        </w:rPr>
        <w:t>I:</w:t>
      </w:r>
    </w:p>
    <w:p w14:paraId="7D6C8CB7" w14:textId="77777777" w:rsidR="00837FE6" w:rsidRPr="007E21D3" w:rsidRDefault="00837FE6" w:rsidP="007E21D3">
      <w:pPr>
        <w:spacing w:after="0" w:line="240" w:lineRule="auto"/>
        <w:ind w:firstLine="284"/>
        <w:jc w:val="both"/>
        <w:rPr>
          <w:rFonts w:ascii="Garamond" w:hAnsi="Garamond"/>
          <w:sz w:val="24"/>
          <w:szCs w:val="24"/>
        </w:rPr>
      </w:pPr>
    </w:p>
    <w:p w14:paraId="7D6C8CB8" w14:textId="77777777" w:rsidR="00837FE6" w:rsidRPr="007E21D3" w:rsidRDefault="00A50784"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Në ligji</w:t>
      </w:r>
      <w:r w:rsidR="00C230BB" w:rsidRPr="007E21D3">
        <w:rPr>
          <w:rFonts w:ascii="Garamond" w:hAnsi="Garamond"/>
          <w:sz w:val="24"/>
          <w:szCs w:val="24"/>
        </w:rPr>
        <w:t xml:space="preserve">n nr. 96/2016, </w:t>
      </w:r>
      <w:r w:rsidR="00837FE6" w:rsidRPr="007E21D3">
        <w:rPr>
          <w:rFonts w:ascii="Garamond" w:hAnsi="Garamond"/>
          <w:sz w:val="24"/>
          <w:szCs w:val="24"/>
        </w:rPr>
        <w:t>“Për statusin e gjyqtarëve dhe prokurorëve në Republikën e Shqipërisë</w:t>
      </w:r>
      <w:r w:rsidR="00C230BB" w:rsidRPr="007E21D3">
        <w:rPr>
          <w:rFonts w:ascii="Garamond" w:hAnsi="Garamond"/>
          <w:sz w:val="24"/>
          <w:szCs w:val="24"/>
        </w:rPr>
        <w:t xml:space="preserve">”, </w:t>
      </w:r>
      <w:r w:rsidR="00837FE6" w:rsidRPr="007E21D3">
        <w:rPr>
          <w:rFonts w:ascii="Garamond" w:hAnsi="Garamond"/>
          <w:sz w:val="24"/>
          <w:szCs w:val="24"/>
        </w:rPr>
        <w:t>të ndryshuar, bëhen shtesat dhe ndryshimet e mëposhtme:</w:t>
      </w:r>
    </w:p>
    <w:p w14:paraId="7D6C8CB9" w14:textId="77777777" w:rsidR="00837FE6" w:rsidRPr="007E21D3" w:rsidRDefault="00837FE6" w:rsidP="007E21D3">
      <w:pPr>
        <w:spacing w:after="0" w:line="240" w:lineRule="auto"/>
        <w:ind w:firstLine="284"/>
        <w:jc w:val="both"/>
        <w:rPr>
          <w:rFonts w:ascii="Garamond" w:hAnsi="Garamond"/>
          <w:sz w:val="24"/>
          <w:szCs w:val="24"/>
        </w:rPr>
      </w:pPr>
    </w:p>
    <w:p w14:paraId="7D6C8CBA"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1</w:t>
      </w:r>
    </w:p>
    <w:p w14:paraId="7D6C8CBB" w14:textId="77777777" w:rsidR="008079DF" w:rsidRPr="007E21D3" w:rsidRDefault="008079DF" w:rsidP="007E21D3">
      <w:pPr>
        <w:spacing w:after="0" w:line="240" w:lineRule="auto"/>
        <w:ind w:firstLine="284"/>
        <w:jc w:val="both"/>
        <w:rPr>
          <w:rFonts w:ascii="Garamond" w:hAnsi="Garamond"/>
          <w:sz w:val="24"/>
          <w:szCs w:val="24"/>
        </w:rPr>
      </w:pPr>
    </w:p>
    <w:p w14:paraId="7D6C8CBC" w14:textId="77777777" w:rsidR="00837FE6" w:rsidRPr="007E21D3" w:rsidRDefault="00A50784"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Në nenin 12, pika 5</w:t>
      </w:r>
      <w:r w:rsidR="00042F42" w:rsidRPr="007E21D3">
        <w:rPr>
          <w:rFonts w:ascii="Garamond" w:hAnsi="Garamond"/>
          <w:sz w:val="24"/>
          <w:szCs w:val="24"/>
        </w:rPr>
        <w:t>,</w:t>
      </w:r>
      <w:r w:rsidRPr="007E21D3">
        <w:rPr>
          <w:rFonts w:ascii="Garamond" w:hAnsi="Garamond"/>
          <w:sz w:val="24"/>
          <w:szCs w:val="24"/>
        </w:rPr>
        <w:t xml:space="preserve"> shkronja “d”</w:t>
      </w:r>
      <w:r w:rsidR="00837FE6" w:rsidRPr="007E21D3">
        <w:rPr>
          <w:rFonts w:ascii="Garamond" w:hAnsi="Garamond"/>
          <w:sz w:val="24"/>
          <w:szCs w:val="24"/>
        </w:rPr>
        <w:t xml:space="preserve"> ndryshohet</w:t>
      </w:r>
      <w:r w:rsidR="00042F42" w:rsidRPr="007E21D3">
        <w:rPr>
          <w:rFonts w:ascii="Garamond" w:hAnsi="Garamond"/>
          <w:sz w:val="24"/>
          <w:szCs w:val="24"/>
        </w:rPr>
        <w:t xml:space="preserve"> si më poshtë</w:t>
      </w:r>
      <w:r w:rsidR="00837FE6" w:rsidRPr="007E21D3">
        <w:rPr>
          <w:rFonts w:ascii="Garamond" w:hAnsi="Garamond"/>
          <w:sz w:val="24"/>
          <w:szCs w:val="24"/>
        </w:rPr>
        <w:t>:</w:t>
      </w:r>
    </w:p>
    <w:p w14:paraId="7D6C8CBD" w14:textId="77777777" w:rsidR="00837FE6" w:rsidRPr="007E21D3" w:rsidRDefault="00A50784" w:rsidP="007E21D3">
      <w:pPr>
        <w:spacing w:after="0" w:line="240" w:lineRule="auto"/>
        <w:ind w:firstLine="284"/>
        <w:jc w:val="both"/>
        <w:rPr>
          <w:rFonts w:ascii="Garamond" w:hAnsi="Garamond"/>
          <w:sz w:val="24"/>
          <w:szCs w:val="24"/>
        </w:rPr>
      </w:pPr>
      <w:r w:rsidRPr="007E21D3">
        <w:rPr>
          <w:rFonts w:ascii="Garamond" w:hAnsi="Garamond"/>
          <w:sz w:val="24"/>
          <w:szCs w:val="24"/>
        </w:rPr>
        <w:tab/>
        <w:t>“d)</w:t>
      </w:r>
      <w:r w:rsidR="00A22E71" w:rsidRPr="007E21D3">
        <w:rPr>
          <w:rFonts w:ascii="Garamond" w:hAnsi="Garamond"/>
          <w:sz w:val="24"/>
          <w:szCs w:val="24"/>
        </w:rPr>
        <w:t xml:space="preserve"> s</w:t>
      </w:r>
      <w:r w:rsidR="00837FE6" w:rsidRPr="007E21D3">
        <w:rPr>
          <w:rFonts w:ascii="Garamond" w:hAnsi="Garamond"/>
          <w:sz w:val="24"/>
          <w:szCs w:val="24"/>
        </w:rPr>
        <w:t>htesë për vështirësi pune, në masën 60 për</w:t>
      </w:r>
      <w:r w:rsidRPr="007E21D3">
        <w:rPr>
          <w:rFonts w:ascii="Garamond" w:hAnsi="Garamond"/>
          <w:sz w:val="24"/>
          <w:szCs w:val="24"/>
        </w:rPr>
        <w:t xml:space="preserve"> </w:t>
      </w:r>
      <w:r w:rsidR="00837FE6" w:rsidRPr="007E21D3">
        <w:rPr>
          <w:rFonts w:ascii="Garamond" w:hAnsi="Garamond"/>
          <w:sz w:val="24"/>
          <w:szCs w:val="24"/>
        </w:rPr>
        <w:t>qind të pagës bruto fillestare, për mag</w:t>
      </w:r>
      <w:r w:rsidRPr="007E21D3">
        <w:rPr>
          <w:rFonts w:ascii="Garamond" w:hAnsi="Garamond"/>
          <w:sz w:val="24"/>
          <w:szCs w:val="24"/>
        </w:rPr>
        <w:t>jistratët që ushtrojnë</w:t>
      </w:r>
      <w:r w:rsidR="00837FE6" w:rsidRPr="007E21D3">
        <w:rPr>
          <w:rFonts w:ascii="Garamond" w:hAnsi="Garamond"/>
          <w:sz w:val="24"/>
          <w:szCs w:val="24"/>
        </w:rPr>
        <w:t xml:space="preserve"> funksionin pranë Prokurorisë së Posaçme kundër korrupsionit dhe krimit të organizuar, Gjykatës së Shkallës së Parë kundër korrupsionit dhe krimit të organizuar</w:t>
      </w:r>
      <w:r w:rsidR="00A22E71" w:rsidRPr="007E21D3">
        <w:rPr>
          <w:rFonts w:ascii="Garamond" w:hAnsi="Garamond"/>
          <w:sz w:val="24"/>
          <w:szCs w:val="24"/>
        </w:rPr>
        <w:t>,</w:t>
      </w:r>
      <w:r w:rsidR="00837FE6" w:rsidRPr="007E21D3">
        <w:rPr>
          <w:rFonts w:ascii="Garamond" w:hAnsi="Garamond"/>
          <w:sz w:val="24"/>
          <w:szCs w:val="24"/>
        </w:rPr>
        <w:t xml:space="preserve"> si dhe Gjykatës së Apelit kundër korrupsionit dhe krimit të organizuar.</w:t>
      </w:r>
      <w:r w:rsidR="00D0504B" w:rsidRPr="007E21D3">
        <w:rPr>
          <w:rFonts w:ascii="Garamond" w:hAnsi="Garamond"/>
          <w:sz w:val="24"/>
          <w:szCs w:val="24"/>
        </w:rPr>
        <w:t>”.</w:t>
      </w:r>
      <w:r w:rsidR="00837FE6" w:rsidRPr="007E21D3">
        <w:rPr>
          <w:rFonts w:ascii="Garamond" w:hAnsi="Garamond"/>
          <w:sz w:val="24"/>
          <w:szCs w:val="24"/>
        </w:rPr>
        <w:t xml:space="preserve"> </w:t>
      </w:r>
    </w:p>
    <w:p w14:paraId="7D6C8CBE" w14:textId="77777777" w:rsidR="00837FE6" w:rsidRPr="007E21D3" w:rsidRDefault="00837FE6" w:rsidP="007E21D3">
      <w:pPr>
        <w:spacing w:after="0" w:line="240" w:lineRule="auto"/>
        <w:ind w:firstLine="284"/>
        <w:jc w:val="both"/>
        <w:rPr>
          <w:rFonts w:ascii="Garamond" w:hAnsi="Garamond"/>
          <w:sz w:val="24"/>
          <w:szCs w:val="24"/>
        </w:rPr>
      </w:pPr>
      <w:r w:rsidRPr="007E21D3">
        <w:rPr>
          <w:rFonts w:ascii="Garamond" w:hAnsi="Garamond"/>
          <w:sz w:val="24"/>
          <w:szCs w:val="24"/>
        </w:rPr>
        <w:tab/>
        <w:t xml:space="preserve"> </w:t>
      </w:r>
    </w:p>
    <w:p w14:paraId="7D6C8CBF" w14:textId="4BAA6932"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2</w:t>
      </w:r>
    </w:p>
    <w:p w14:paraId="7D6C8CC0" w14:textId="77777777" w:rsidR="008079DF" w:rsidRPr="007E21D3" w:rsidRDefault="008079DF" w:rsidP="007E21D3">
      <w:pPr>
        <w:spacing w:after="0" w:line="240" w:lineRule="auto"/>
        <w:ind w:firstLine="284"/>
        <w:jc w:val="both"/>
        <w:rPr>
          <w:rFonts w:ascii="Garamond" w:hAnsi="Garamond"/>
          <w:sz w:val="24"/>
          <w:szCs w:val="24"/>
        </w:rPr>
      </w:pPr>
    </w:p>
    <w:p w14:paraId="7D6C8CC1" w14:textId="77777777" w:rsidR="00837FE6" w:rsidRPr="007E21D3" w:rsidRDefault="00A22E71"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Në nenin 37 bëhet ndryshimi dhe shtesa si më poshtë:</w:t>
      </w:r>
    </w:p>
    <w:p w14:paraId="7D6C8CC2" w14:textId="77777777" w:rsidR="00837FE6" w:rsidRPr="007E21D3" w:rsidRDefault="00A22E71"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1. Në  pikën 2, pas fj</w:t>
      </w:r>
      <w:r w:rsidRPr="007E21D3">
        <w:rPr>
          <w:rFonts w:ascii="Garamond" w:hAnsi="Garamond"/>
          <w:sz w:val="24"/>
          <w:szCs w:val="24"/>
        </w:rPr>
        <w:t>alëve “ceremoni publike” shtohen fjalët</w:t>
      </w:r>
      <w:r w:rsidR="00837FE6" w:rsidRPr="007E21D3">
        <w:rPr>
          <w:rFonts w:ascii="Garamond" w:hAnsi="Garamond"/>
          <w:sz w:val="24"/>
          <w:szCs w:val="24"/>
        </w:rPr>
        <w:t xml:space="preserve"> “përpara Këshillit të Lartë Gjyqësor ose Këshillit të Lartë të Prokurorisë. Këshilli organizon ceremoninë e betimit jo më vonë se 10 ditë nga data e emërimit të magjistratëve.”. </w:t>
      </w:r>
    </w:p>
    <w:p w14:paraId="7D6C8CC3" w14:textId="77777777" w:rsidR="00837FE6" w:rsidRPr="007E21D3" w:rsidRDefault="00A22E71" w:rsidP="007E21D3">
      <w:pPr>
        <w:spacing w:after="0" w:line="240" w:lineRule="auto"/>
        <w:ind w:firstLine="284"/>
        <w:jc w:val="both"/>
        <w:rPr>
          <w:rFonts w:ascii="Garamond" w:hAnsi="Garamond"/>
          <w:sz w:val="24"/>
          <w:szCs w:val="24"/>
        </w:rPr>
      </w:pPr>
      <w:r w:rsidRPr="007E21D3">
        <w:rPr>
          <w:rFonts w:ascii="Garamond" w:hAnsi="Garamond"/>
          <w:sz w:val="24"/>
          <w:szCs w:val="24"/>
        </w:rPr>
        <w:tab/>
        <w:t>2. Pas pikës 2 shtohet pika 3 me këtë përmbajtje</w:t>
      </w:r>
      <w:r w:rsidR="00837FE6" w:rsidRPr="007E21D3">
        <w:rPr>
          <w:rFonts w:ascii="Garamond" w:hAnsi="Garamond"/>
          <w:sz w:val="24"/>
          <w:szCs w:val="24"/>
        </w:rPr>
        <w:t xml:space="preserve">: </w:t>
      </w:r>
    </w:p>
    <w:p w14:paraId="7D6C8CC4" w14:textId="77777777" w:rsidR="00837FE6" w:rsidRPr="007E21D3" w:rsidRDefault="00A22E71"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“3. Nëse magjistrati nuk është thirrur për të bërë betimin, pas përfundimit të afatit të parashikuar në pikën 2</w:t>
      </w:r>
      <w:r w:rsidRPr="007E21D3">
        <w:rPr>
          <w:rFonts w:ascii="Garamond" w:hAnsi="Garamond"/>
          <w:sz w:val="24"/>
          <w:szCs w:val="24"/>
        </w:rPr>
        <w:t>,</w:t>
      </w:r>
      <w:r w:rsidR="00837FE6" w:rsidRPr="007E21D3">
        <w:rPr>
          <w:rFonts w:ascii="Garamond" w:hAnsi="Garamond"/>
          <w:sz w:val="24"/>
          <w:szCs w:val="24"/>
        </w:rPr>
        <w:t xml:space="preserve"> të këtij neni, ai betohet me shkrim</w:t>
      </w:r>
      <w:r w:rsidRPr="007E21D3">
        <w:rPr>
          <w:rFonts w:ascii="Garamond" w:hAnsi="Garamond"/>
          <w:sz w:val="24"/>
          <w:szCs w:val="24"/>
        </w:rPr>
        <w:t>, sipas formulës s</w:t>
      </w:r>
      <w:r w:rsidR="00837FE6" w:rsidRPr="007E21D3">
        <w:rPr>
          <w:rFonts w:ascii="Garamond" w:hAnsi="Garamond"/>
          <w:sz w:val="24"/>
          <w:szCs w:val="24"/>
        </w:rPr>
        <w:t>ë parashikuar në pikën 1</w:t>
      </w:r>
      <w:r w:rsidRPr="007E21D3">
        <w:rPr>
          <w:rFonts w:ascii="Garamond" w:hAnsi="Garamond"/>
          <w:sz w:val="24"/>
          <w:szCs w:val="24"/>
        </w:rPr>
        <w:t>,</w:t>
      </w:r>
      <w:r w:rsidR="00837FE6" w:rsidRPr="007E21D3">
        <w:rPr>
          <w:rFonts w:ascii="Garamond" w:hAnsi="Garamond"/>
          <w:sz w:val="24"/>
          <w:szCs w:val="24"/>
        </w:rPr>
        <w:t xml:space="preserve"> të këtij neni</w:t>
      </w:r>
      <w:r w:rsidRPr="007E21D3">
        <w:rPr>
          <w:rFonts w:ascii="Garamond" w:hAnsi="Garamond"/>
          <w:sz w:val="24"/>
          <w:szCs w:val="24"/>
        </w:rPr>
        <w:t>,</w:t>
      </w:r>
      <w:r w:rsidR="00837FE6" w:rsidRPr="007E21D3">
        <w:rPr>
          <w:rFonts w:ascii="Garamond" w:hAnsi="Garamond"/>
          <w:sz w:val="24"/>
          <w:szCs w:val="24"/>
        </w:rPr>
        <w:t xml:space="preserve"> dhe ia dërgon atë të nënshkruar personalisht Këshillit. Data e ceremonisë së betimit ose data </w:t>
      </w:r>
      <w:r w:rsidRPr="007E21D3">
        <w:rPr>
          <w:rFonts w:ascii="Garamond" w:hAnsi="Garamond"/>
          <w:sz w:val="24"/>
          <w:szCs w:val="24"/>
        </w:rPr>
        <w:t>e dërgimit të betimit me shkrim</w:t>
      </w:r>
      <w:r w:rsidR="00837FE6" w:rsidRPr="007E21D3">
        <w:rPr>
          <w:rFonts w:ascii="Garamond" w:hAnsi="Garamond"/>
          <w:sz w:val="24"/>
          <w:szCs w:val="24"/>
        </w:rPr>
        <w:t xml:space="preserve"> pranë Këshillit konsiderohet si data e betimit dhe e fillimit të ushtrimit të funksionit të magjistratit.</w:t>
      </w:r>
      <w:r w:rsidRPr="007E21D3">
        <w:rPr>
          <w:rFonts w:ascii="Garamond" w:hAnsi="Garamond"/>
          <w:sz w:val="24"/>
          <w:szCs w:val="24"/>
        </w:rPr>
        <w:t>”.</w:t>
      </w:r>
      <w:r w:rsidR="00837FE6" w:rsidRPr="007E21D3">
        <w:rPr>
          <w:rFonts w:ascii="Garamond" w:hAnsi="Garamond"/>
          <w:sz w:val="24"/>
          <w:szCs w:val="24"/>
        </w:rPr>
        <w:t xml:space="preserve"> </w:t>
      </w:r>
    </w:p>
    <w:p w14:paraId="7D6C8CC5" w14:textId="77777777" w:rsidR="00837FE6" w:rsidRPr="007E21D3" w:rsidRDefault="00837FE6" w:rsidP="007E21D3">
      <w:pPr>
        <w:spacing w:after="0" w:line="240" w:lineRule="auto"/>
        <w:ind w:firstLine="284"/>
        <w:jc w:val="both"/>
        <w:rPr>
          <w:rFonts w:ascii="Garamond" w:hAnsi="Garamond"/>
          <w:sz w:val="24"/>
          <w:szCs w:val="24"/>
        </w:rPr>
      </w:pPr>
    </w:p>
    <w:p w14:paraId="7D6C8CC6"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3</w:t>
      </w:r>
    </w:p>
    <w:p w14:paraId="7D6C8CC7" w14:textId="77777777" w:rsidR="00837FE6" w:rsidRPr="007E21D3" w:rsidRDefault="00837FE6" w:rsidP="007E21D3">
      <w:pPr>
        <w:spacing w:after="0" w:line="240" w:lineRule="auto"/>
        <w:ind w:firstLine="284"/>
        <w:jc w:val="both"/>
        <w:rPr>
          <w:rFonts w:ascii="Garamond" w:hAnsi="Garamond"/>
          <w:sz w:val="24"/>
          <w:szCs w:val="24"/>
        </w:rPr>
      </w:pPr>
    </w:p>
    <w:p w14:paraId="7D6C8CC8"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Në nenin 38, pika 2, pas shkronjës “ç” sht</w:t>
      </w:r>
      <w:r w:rsidRPr="007E21D3">
        <w:rPr>
          <w:rFonts w:ascii="Garamond" w:hAnsi="Garamond"/>
          <w:sz w:val="24"/>
          <w:szCs w:val="24"/>
        </w:rPr>
        <w:t>ohet shkronja “ç/1” me këtë përmbajtje</w:t>
      </w:r>
      <w:r w:rsidR="00837FE6" w:rsidRPr="007E21D3">
        <w:rPr>
          <w:rFonts w:ascii="Garamond" w:hAnsi="Garamond"/>
          <w:sz w:val="24"/>
          <w:szCs w:val="24"/>
        </w:rPr>
        <w:t>:</w:t>
      </w:r>
    </w:p>
    <w:p w14:paraId="7D6C8CC9"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lastRenderedPageBreak/>
        <w:tab/>
      </w:r>
      <w:r w:rsidR="00837FE6" w:rsidRPr="007E21D3">
        <w:rPr>
          <w:rFonts w:ascii="Garamond" w:hAnsi="Garamond"/>
          <w:sz w:val="24"/>
          <w:szCs w:val="24"/>
        </w:rPr>
        <w:t>“ç/1) aktin e betimit sipas pikës 3 të nenit 37 të këtij ligji</w:t>
      </w:r>
      <w:r w:rsidRPr="007E21D3">
        <w:rPr>
          <w:rFonts w:ascii="Garamond" w:hAnsi="Garamond"/>
          <w:sz w:val="24"/>
          <w:szCs w:val="24"/>
        </w:rPr>
        <w:t>;</w:t>
      </w:r>
      <w:r w:rsidR="00837FE6" w:rsidRPr="007E21D3">
        <w:rPr>
          <w:rFonts w:ascii="Garamond" w:hAnsi="Garamond"/>
          <w:sz w:val="24"/>
          <w:szCs w:val="24"/>
        </w:rPr>
        <w:t xml:space="preserve">”.  </w:t>
      </w:r>
    </w:p>
    <w:p w14:paraId="7D6C8CCA" w14:textId="77777777" w:rsidR="00837FE6" w:rsidRPr="007E21D3" w:rsidRDefault="00837FE6" w:rsidP="007E21D3">
      <w:pPr>
        <w:spacing w:after="0" w:line="240" w:lineRule="auto"/>
        <w:ind w:firstLine="284"/>
        <w:jc w:val="both"/>
        <w:rPr>
          <w:rFonts w:ascii="Garamond" w:hAnsi="Garamond"/>
          <w:sz w:val="24"/>
          <w:szCs w:val="24"/>
        </w:rPr>
      </w:pPr>
    </w:p>
    <w:p w14:paraId="7D6C8CCB"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4</w:t>
      </w:r>
    </w:p>
    <w:p w14:paraId="7D6C8CCC" w14:textId="77777777" w:rsidR="00837FE6" w:rsidRPr="007E21D3" w:rsidRDefault="00837FE6" w:rsidP="007E21D3">
      <w:pPr>
        <w:spacing w:after="0" w:line="240" w:lineRule="auto"/>
        <w:ind w:firstLine="284"/>
        <w:jc w:val="both"/>
        <w:rPr>
          <w:rFonts w:ascii="Garamond" w:hAnsi="Garamond"/>
          <w:sz w:val="24"/>
          <w:szCs w:val="24"/>
        </w:rPr>
      </w:pPr>
    </w:p>
    <w:p w14:paraId="7D6C8CCD"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042F42" w:rsidRPr="007E21D3">
        <w:rPr>
          <w:rFonts w:ascii="Garamond" w:hAnsi="Garamond"/>
          <w:sz w:val="24"/>
          <w:szCs w:val="24"/>
        </w:rPr>
        <w:t>Në nenin 61</w:t>
      </w:r>
      <w:r w:rsidR="008F5324" w:rsidRPr="007E21D3">
        <w:rPr>
          <w:rFonts w:ascii="Garamond" w:hAnsi="Garamond"/>
          <w:sz w:val="24"/>
          <w:szCs w:val="24"/>
        </w:rPr>
        <w:t xml:space="preserve"> </w:t>
      </w:r>
      <w:r w:rsidR="007E10A1" w:rsidRPr="007E21D3">
        <w:rPr>
          <w:rFonts w:ascii="Garamond" w:hAnsi="Garamond"/>
          <w:sz w:val="24"/>
          <w:szCs w:val="24"/>
        </w:rPr>
        <w:t>bëhet ndryshimi dhe</w:t>
      </w:r>
      <w:r w:rsidR="00837FE6" w:rsidRPr="007E21D3">
        <w:rPr>
          <w:rFonts w:ascii="Garamond" w:hAnsi="Garamond"/>
          <w:sz w:val="24"/>
          <w:szCs w:val="24"/>
        </w:rPr>
        <w:t xml:space="preserve"> shtesat </w:t>
      </w:r>
      <w:r w:rsidR="00042F42" w:rsidRPr="007E21D3">
        <w:rPr>
          <w:rFonts w:ascii="Garamond" w:hAnsi="Garamond"/>
          <w:sz w:val="24"/>
          <w:szCs w:val="24"/>
        </w:rPr>
        <w:t>si më poshtë</w:t>
      </w:r>
      <w:r w:rsidR="00837FE6" w:rsidRPr="007E21D3">
        <w:rPr>
          <w:rFonts w:ascii="Garamond" w:hAnsi="Garamond"/>
          <w:sz w:val="24"/>
          <w:szCs w:val="24"/>
        </w:rPr>
        <w:t>:</w:t>
      </w:r>
    </w:p>
    <w:p w14:paraId="7D6C8CCE"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t>1. Pika 2</w:t>
      </w:r>
      <w:r w:rsidR="00042F42" w:rsidRPr="007E21D3">
        <w:rPr>
          <w:rFonts w:ascii="Garamond" w:hAnsi="Garamond"/>
          <w:sz w:val="24"/>
          <w:szCs w:val="24"/>
        </w:rPr>
        <w:t xml:space="preserve"> ndryshohet</w:t>
      </w:r>
      <w:r w:rsidR="00837FE6" w:rsidRPr="007E21D3">
        <w:rPr>
          <w:rFonts w:ascii="Garamond" w:hAnsi="Garamond"/>
          <w:sz w:val="24"/>
          <w:szCs w:val="24"/>
        </w:rPr>
        <w:t xml:space="preserve"> si</w:t>
      </w:r>
      <w:r w:rsidR="00042F42" w:rsidRPr="007E21D3">
        <w:rPr>
          <w:rFonts w:ascii="Garamond" w:hAnsi="Garamond"/>
          <w:sz w:val="24"/>
          <w:szCs w:val="24"/>
        </w:rPr>
        <w:t xml:space="preserve"> më poshtë</w:t>
      </w:r>
      <w:r w:rsidR="00837FE6" w:rsidRPr="007E21D3">
        <w:rPr>
          <w:rFonts w:ascii="Garamond" w:hAnsi="Garamond"/>
          <w:sz w:val="24"/>
          <w:szCs w:val="24"/>
        </w:rPr>
        <w:t xml:space="preserve">: </w:t>
      </w:r>
    </w:p>
    <w:p w14:paraId="7D6C8CCF"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 xml:space="preserve">“2. Mandati i anëtarit të Gjykatës së Lartë që përzgjidhet mes juristëve të spikatur fillon në ditën e betimit. Këshilli i Lartë Gjyqësor organizon ceremoninë e betimit jo më vonë se 10 ditë nga data e emërimit ose e shpalljes i emëruar. Nëse anëtari i Gjykatës së Lartë nuk thirret për të bërë betimin, pas përfundimit të këtij afati, ai kryen betimin në formë të shkruar dhe ia dërgon atë të nënshkruar personalisht Këshillit të Lartë Gjyqësor. Data e ceremonisë së betimit ose data e dërgimit të betimit me shkrim pranë Këshillit të Lartë Gjyqësor konsiderohet si dita e betimit dhe e fillimit të detyrës së gjyqtarit të Gjykatës së Lartë. Akti i betimit përfshihet në dosjen personale të gjyqtarit të Gjykatës së Lartë.  </w:t>
      </w:r>
    </w:p>
    <w:p w14:paraId="7D6C8CD0"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t>2. Pas pikës 2</w:t>
      </w:r>
      <w:r w:rsidR="00837FE6" w:rsidRPr="007E21D3">
        <w:rPr>
          <w:rFonts w:ascii="Garamond" w:hAnsi="Garamond"/>
          <w:sz w:val="24"/>
          <w:szCs w:val="24"/>
        </w:rPr>
        <w:t xml:space="preserve"> shtohen pik</w:t>
      </w:r>
      <w:r w:rsidRPr="007E21D3">
        <w:rPr>
          <w:rFonts w:ascii="Garamond" w:hAnsi="Garamond"/>
          <w:sz w:val="24"/>
          <w:szCs w:val="24"/>
        </w:rPr>
        <w:t>at 2/1, 2/2 dhe 2/3 me këtë përmbajtje</w:t>
      </w:r>
      <w:r w:rsidR="00837FE6" w:rsidRPr="007E21D3">
        <w:rPr>
          <w:rFonts w:ascii="Garamond" w:hAnsi="Garamond"/>
          <w:sz w:val="24"/>
          <w:szCs w:val="24"/>
        </w:rPr>
        <w:t>:</w:t>
      </w:r>
    </w:p>
    <w:p w14:paraId="7D6C8CD1"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 xml:space="preserve">“2/1. Mandati i Prokurorit të Përgjithshëm fillon në ditën e betimit. Ceremonia e betimit organizohet nga Kuvendi jo më vonë se 10 ditë nga data e zgjedhjes ose shpalljes i emëruar. Nëse Prokurori i Përgjithshëm nuk është thirrur për të bërë betimin, pas përfundimit të këtij afati, ai kryen betimin në formë të shkruar dhe ia dërgon atë Kuvendit dhe Këshillit të Lartë të Prokurorisë. Data e ceremonisë së betimit ose data e dërgimit të betimit me shkrim pranë Kuvendit konsiderohet si dita e betimit dhe e fillimit të detyrës </w:t>
      </w:r>
      <w:r w:rsidRPr="007E21D3">
        <w:rPr>
          <w:rFonts w:ascii="Garamond" w:hAnsi="Garamond"/>
          <w:sz w:val="24"/>
          <w:szCs w:val="24"/>
        </w:rPr>
        <w:t xml:space="preserve">së Prokurorit të Përgjithshëm. </w:t>
      </w:r>
      <w:r w:rsidR="00837FE6" w:rsidRPr="007E21D3">
        <w:rPr>
          <w:rFonts w:ascii="Garamond" w:hAnsi="Garamond"/>
          <w:sz w:val="24"/>
          <w:szCs w:val="24"/>
        </w:rPr>
        <w:t xml:space="preserve">Akti i betimit përfshihet në dosjen personale të Prokurorit të Përgjithshëm.  </w:t>
      </w:r>
    </w:p>
    <w:p w14:paraId="7D6C8CD2"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2/2. Mandati i anëtarëve të Gjykatës së Lartë që ngrihen në detyrë nga radhët e gjyqtarëve fillon në datën e emërimit ose shpalljes i emëruar.</w:t>
      </w:r>
    </w:p>
    <w:p w14:paraId="7D6C8CD3"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2/3. Mandati i prokurorëve në Prokurorinë e Posaçme fillon në datën e ngritjes së tyre në detyrë nga Këshilli i Lartë i Prokurorisë.”</w:t>
      </w:r>
      <w:r w:rsidRPr="007E21D3">
        <w:rPr>
          <w:rFonts w:ascii="Garamond" w:hAnsi="Garamond"/>
          <w:sz w:val="24"/>
          <w:szCs w:val="24"/>
        </w:rPr>
        <w:t>.</w:t>
      </w:r>
    </w:p>
    <w:p w14:paraId="7D6C8CD4" w14:textId="77777777" w:rsidR="00A50784" w:rsidRPr="007E21D3" w:rsidRDefault="00A50784" w:rsidP="007E21D3">
      <w:pPr>
        <w:spacing w:after="0" w:line="240" w:lineRule="auto"/>
        <w:ind w:firstLine="284"/>
        <w:jc w:val="both"/>
        <w:rPr>
          <w:rFonts w:ascii="Garamond" w:hAnsi="Garamond"/>
          <w:sz w:val="24"/>
          <w:szCs w:val="24"/>
        </w:rPr>
      </w:pPr>
    </w:p>
    <w:p w14:paraId="7D6C8CD5"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5</w:t>
      </w:r>
    </w:p>
    <w:p w14:paraId="7D6C8CD6" w14:textId="77777777" w:rsidR="00A50784" w:rsidRPr="007E21D3" w:rsidRDefault="00A50784" w:rsidP="007E21D3">
      <w:pPr>
        <w:spacing w:after="0" w:line="240" w:lineRule="auto"/>
        <w:ind w:firstLine="284"/>
        <w:jc w:val="both"/>
        <w:rPr>
          <w:rFonts w:ascii="Garamond" w:hAnsi="Garamond"/>
          <w:sz w:val="24"/>
          <w:szCs w:val="24"/>
        </w:rPr>
      </w:pPr>
    </w:p>
    <w:p w14:paraId="7D6C8CD7"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 xml:space="preserve">Pas nenit 124 shtohet </w:t>
      </w:r>
      <w:r w:rsidR="00042F42" w:rsidRPr="007E21D3">
        <w:rPr>
          <w:rFonts w:ascii="Garamond" w:hAnsi="Garamond"/>
          <w:sz w:val="24"/>
          <w:szCs w:val="24"/>
        </w:rPr>
        <w:t>n</w:t>
      </w:r>
      <w:r w:rsidR="00837FE6" w:rsidRPr="007E21D3">
        <w:rPr>
          <w:rFonts w:ascii="Garamond" w:hAnsi="Garamond"/>
          <w:sz w:val="24"/>
          <w:szCs w:val="24"/>
        </w:rPr>
        <w:t>eni 124/1 me këtë përmbajtje:</w:t>
      </w:r>
    </w:p>
    <w:p w14:paraId="7D6C8CD8" w14:textId="77777777" w:rsidR="00A50784" w:rsidRPr="007E21D3" w:rsidRDefault="00A50784" w:rsidP="007E21D3">
      <w:pPr>
        <w:spacing w:after="0" w:line="240" w:lineRule="auto"/>
        <w:ind w:firstLine="284"/>
        <w:jc w:val="both"/>
        <w:rPr>
          <w:rFonts w:ascii="Garamond" w:hAnsi="Garamond"/>
          <w:sz w:val="24"/>
          <w:szCs w:val="24"/>
        </w:rPr>
      </w:pPr>
    </w:p>
    <w:p w14:paraId="7D6C8CD9" w14:textId="77777777" w:rsidR="00837FE6" w:rsidRPr="007E21D3" w:rsidRDefault="00042F42" w:rsidP="007E21D3">
      <w:pPr>
        <w:spacing w:after="0" w:line="240" w:lineRule="auto"/>
        <w:ind w:firstLine="284"/>
        <w:jc w:val="center"/>
        <w:rPr>
          <w:rFonts w:ascii="Garamond" w:hAnsi="Garamond"/>
          <w:sz w:val="24"/>
          <w:szCs w:val="24"/>
        </w:rPr>
      </w:pPr>
      <w:r w:rsidRPr="007E21D3">
        <w:rPr>
          <w:rFonts w:ascii="Garamond" w:hAnsi="Garamond"/>
          <w:sz w:val="24"/>
          <w:szCs w:val="24"/>
        </w:rPr>
        <w:t>“</w:t>
      </w:r>
      <w:r w:rsidR="00837FE6" w:rsidRPr="007E21D3">
        <w:rPr>
          <w:rFonts w:ascii="Garamond" w:hAnsi="Garamond"/>
          <w:sz w:val="24"/>
          <w:szCs w:val="24"/>
        </w:rPr>
        <w:t>Neni 124/1</w:t>
      </w:r>
    </w:p>
    <w:p w14:paraId="7D6C8CDB" w14:textId="77777777" w:rsidR="00837FE6" w:rsidRPr="007E21D3" w:rsidRDefault="00837FE6" w:rsidP="007E21D3">
      <w:pPr>
        <w:spacing w:after="0" w:line="240" w:lineRule="auto"/>
        <w:ind w:firstLine="284"/>
        <w:jc w:val="center"/>
        <w:rPr>
          <w:rFonts w:ascii="Garamond" w:hAnsi="Garamond"/>
          <w:b/>
          <w:sz w:val="24"/>
          <w:szCs w:val="24"/>
        </w:rPr>
      </w:pPr>
      <w:r w:rsidRPr="007E21D3">
        <w:rPr>
          <w:rFonts w:ascii="Garamond" w:hAnsi="Garamond"/>
          <w:b/>
          <w:sz w:val="24"/>
          <w:szCs w:val="24"/>
        </w:rPr>
        <w:t>Verifikimi i pasurisë dhe figurës</w:t>
      </w:r>
    </w:p>
    <w:p w14:paraId="7D6C8CDC" w14:textId="77777777" w:rsidR="00A50784" w:rsidRPr="007E21D3" w:rsidRDefault="00A50784" w:rsidP="007E21D3">
      <w:pPr>
        <w:spacing w:after="0" w:line="240" w:lineRule="auto"/>
        <w:ind w:firstLine="284"/>
        <w:jc w:val="both"/>
        <w:rPr>
          <w:rFonts w:ascii="Garamond" w:hAnsi="Garamond"/>
          <w:sz w:val="24"/>
          <w:szCs w:val="24"/>
        </w:rPr>
      </w:pPr>
    </w:p>
    <w:p w14:paraId="7D6C8CDD"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1. Inspektori i Lartë i Drejtësisë</w:t>
      </w:r>
      <w:r w:rsidRPr="007E21D3">
        <w:rPr>
          <w:rFonts w:ascii="Garamond" w:hAnsi="Garamond"/>
          <w:sz w:val="24"/>
          <w:szCs w:val="24"/>
        </w:rPr>
        <w:t>,</w:t>
      </w:r>
      <w:r w:rsidR="00837FE6" w:rsidRPr="007E21D3">
        <w:rPr>
          <w:rFonts w:ascii="Garamond" w:hAnsi="Garamond"/>
          <w:sz w:val="24"/>
          <w:szCs w:val="24"/>
        </w:rPr>
        <w:t xml:space="preserve"> brenda një jave nga vendimi për fillimin e hetimeve, sipas nenit 123 dhe 124, të këtij ligji, kërkon informacion nga Inspektorati i Lartë i Deklarimit dhe Kontrollit të Pasurive dhe Konfliktit të Interesave, prokuroria, Policia e Shtetit, organet e administratës tatimore dhe doganore, Drejtoria e Përgjithshme e Parandalimit të Pastrimit të Parave, Byroja Kombëtare e Hetimit, shërbimet shtetërore informative, çdo organ disiplinor që ka mbikëqyrur disiplinën në marrëdhëniet e punës të magjistratit</w:t>
      </w:r>
      <w:r w:rsidRPr="007E21D3">
        <w:rPr>
          <w:rFonts w:ascii="Garamond" w:hAnsi="Garamond"/>
          <w:sz w:val="24"/>
          <w:szCs w:val="24"/>
        </w:rPr>
        <w:t>,</w:t>
      </w:r>
      <w:r w:rsidR="00837FE6" w:rsidRPr="007E21D3">
        <w:rPr>
          <w:rFonts w:ascii="Garamond" w:hAnsi="Garamond"/>
          <w:sz w:val="24"/>
          <w:szCs w:val="24"/>
        </w:rPr>
        <w:t xml:space="preserve"> si dhe çdo institucion tjetër kompetent për verifikimin e pasurisë dhe të figurës në lidhje me çdo shkelje tjetër disiplinore. </w:t>
      </w:r>
    </w:p>
    <w:p w14:paraId="7D6C8CDE"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2. Inspektori i Lartë i Drejtësisë mund të kërkojë informacion shtesë nga institucionet e përmendura pikën 1</w:t>
      </w:r>
      <w:r w:rsidRPr="007E21D3">
        <w:rPr>
          <w:rFonts w:ascii="Garamond" w:hAnsi="Garamond"/>
          <w:sz w:val="24"/>
          <w:szCs w:val="24"/>
        </w:rPr>
        <w:t>,</w:t>
      </w:r>
      <w:r w:rsidR="00837FE6" w:rsidRPr="007E21D3">
        <w:rPr>
          <w:rFonts w:ascii="Garamond" w:hAnsi="Garamond"/>
          <w:sz w:val="24"/>
          <w:szCs w:val="24"/>
        </w:rPr>
        <w:t xml:space="preserve"> të këtij neni, si dhe nga çdo institucion tjetër publik apo subjekt privat. </w:t>
      </w:r>
    </w:p>
    <w:p w14:paraId="7D6C8CDF"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3. Çdo institucion publik apo subjekt privat duhet të përmbushë kërkesat e In</w:t>
      </w:r>
      <w:r w:rsidRPr="007E21D3">
        <w:rPr>
          <w:rFonts w:ascii="Garamond" w:hAnsi="Garamond"/>
          <w:sz w:val="24"/>
          <w:szCs w:val="24"/>
        </w:rPr>
        <w:t>spektorit të Lartë të Drejtësisë</w:t>
      </w:r>
      <w:r w:rsidR="00837FE6" w:rsidRPr="007E21D3">
        <w:rPr>
          <w:rFonts w:ascii="Garamond" w:hAnsi="Garamond"/>
          <w:sz w:val="24"/>
          <w:szCs w:val="24"/>
        </w:rPr>
        <w:t xml:space="preserve"> për informacion, dokumentacion, ose materiale të tjera në lidhje me një hetim, brenda afatit ligjor të arsyeshëm të përcaktuar nga Inspektori i Lartë i Drejtësisë në kërkesën e tij, me përjashtim të rasteve të kufizuara me ligj. </w:t>
      </w:r>
    </w:p>
    <w:p w14:paraId="7D6C8CE0" w14:textId="77777777" w:rsidR="00837FE6" w:rsidRPr="007E21D3" w:rsidRDefault="00D0504B" w:rsidP="007E21D3">
      <w:pPr>
        <w:spacing w:after="0" w:line="240" w:lineRule="auto"/>
        <w:ind w:firstLine="284"/>
        <w:jc w:val="both"/>
        <w:rPr>
          <w:rFonts w:ascii="Garamond" w:hAnsi="Garamond"/>
          <w:sz w:val="24"/>
          <w:szCs w:val="24"/>
        </w:rPr>
      </w:pPr>
      <w:r w:rsidRPr="007E21D3">
        <w:rPr>
          <w:rFonts w:ascii="Garamond" w:hAnsi="Garamond"/>
          <w:sz w:val="24"/>
          <w:szCs w:val="24"/>
        </w:rPr>
        <w:lastRenderedPageBreak/>
        <w:tab/>
      </w:r>
      <w:r w:rsidR="00837FE6" w:rsidRPr="007E21D3">
        <w:rPr>
          <w:rFonts w:ascii="Garamond" w:hAnsi="Garamond"/>
          <w:sz w:val="24"/>
          <w:szCs w:val="24"/>
        </w:rPr>
        <w:t>4. Inspektori i Lartë i Drejtësisë në rast se nga verifikimi i pasurisë dhe figurës rezulton se ka dyshime të arsyeshme për kry</w:t>
      </w:r>
      <w:r w:rsidRPr="007E21D3">
        <w:rPr>
          <w:rFonts w:ascii="Garamond" w:hAnsi="Garamond"/>
          <w:sz w:val="24"/>
          <w:szCs w:val="24"/>
        </w:rPr>
        <w:t>e</w:t>
      </w:r>
      <w:r w:rsidR="00837FE6" w:rsidRPr="007E21D3">
        <w:rPr>
          <w:rFonts w:ascii="Garamond" w:hAnsi="Garamond"/>
          <w:sz w:val="24"/>
          <w:szCs w:val="24"/>
        </w:rPr>
        <w:t>rjen e ndonjë shkelje</w:t>
      </w:r>
      <w:r w:rsidRPr="007E21D3">
        <w:rPr>
          <w:rFonts w:ascii="Garamond" w:hAnsi="Garamond"/>
          <w:sz w:val="24"/>
          <w:szCs w:val="24"/>
        </w:rPr>
        <w:t>je</w:t>
      </w:r>
      <w:r w:rsidR="00837FE6" w:rsidRPr="007E21D3">
        <w:rPr>
          <w:rFonts w:ascii="Garamond" w:hAnsi="Garamond"/>
          <w:sz w:val="24"/>
          <w:szCs w:val="24"/>
        </w:rPr>
        <w:t xml:space="preserve"> tjetër disiplinore, përveç rastit kur shkelja përbën vepër penale, merr vendim për të shtuar ose ndryshuar objektin e hetimit</w:t>
      </w:r>
      <w:r w:rsidRPr="007E21D3">
        <w:rPr>
          <w:rFonts w:ascii="Garamond" w:hAnsi="Garamond"/>
          <w:sz w:val="24"/>
          <w:szCs w:val="24"/>
        </w:rPr>
        <w:t>,</w:t>
      </w:r>
      <w:r w:rsidR="00837FE6" w:rsidRPr="007E21D3">
        <w:rPr>
          <w:rFonts w:ascii="Garamond" w:hAnsi="Garamond"/>
          <w:sz w:val="24"/>
          <w:szCs w:val="24"/>
        </w:rPr>
        <w:t xml:space="preserve"> sipas përcaktimeve të nenit 125 të këtij ligji.”</w:t>
      </w:r>
      <w:r w:rsidRPr="007E21D3">
        <w:rPr>
          <w:rFonts w:ascii="Garamond" w:hAnsi="Garamond"/>
          <w:sz w:val="24"/>
          <w:szCs w:val="24"/>
        </w:rPr>
        <w:t>.</w:t>
      </w:r>
      <w:r w:rsidR="00837FE6" w:rsidRPr="007E21D3">
        <w:rPr>
          <w:rFonts w:ascii="Garamond" w:hAnsi="Garamond"/>
          <w:sz w:val="24"/>
          <w:szCs w:val="24"/>
        </w:rPr>
        <w:t xml:space="preserve"> </w:t>
      </w:r>
    </w:p>
    <w:p w14:paraId="7D6C8CE1" w14:textId="77777777" w:rsidR="00837FE6" w:rsidRPr="007E21D3" w:rsidRDefault="00837FE6" w:rsidP="007E21D3">
      <w:pPr>
        <w:spacing w:after="0" w:line="240" w:lineRule="auto"/>
        <w:ind w:firstLine="284"/>
        <w:jc w:val="both"/>
        <w:rPr>
          <w:rFonts w:ascii="Garamond" w:hAnsi="Garamond"/>
          <w:sz w:val="24"/>
          <w:szCs w:val="24"/>
        </w:rPr>
      </w:pPr>
    </w:p>
    <w:p w14:paraId="7D6C8CE2"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6</w:t>
      </w:r>
    </w:p>
    <w:p w14:paraId="7D6C8CE3" w14:textId="77777777" w:rsidR="00A50784" w:rsidRPr="007E21D3" w:rsidRDefault="00A50784" w:rsidP="007E21D3">
      <w:pPr>
        <w:spacing w:after="0" w:line="240" w:lineRule="auto"/>
        <w:ind w:firstLine="284"/>
        <w:jc w:val="both"/>
        <w:rPr>
          <w:rFonts w:ascii="Garamond" w:hAnsi="Garamond"/>
          <w:sz w:val="24"/>
          <w:szCs w:val="24"/>
        </w:rPr>
      </w:pPr>
    </w:p>
    <w:p w14:paraId="7D6C8CE4"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Në nenin 130,</w:t>
      </w:r>
      <w:r w:rsidRPr="007E21D3">
        <w:rPr>
          <w:rFonts w:ascii="Garamond" w:hAnsi="Garamond"/>
          <w:sz w:val="24"/>
          <w:szCs w:val="24"/>
        </w:rPr>
        <w:t xml:space="preserve"> pika 2, fjalët</w:t>
      </w:r>
      <w:r w:rsidR="00837FE6" w:rsidRPr="007E21D3">
        <w:rPr>
          <w:rFonts w:ascii="Garamond" w:hAnsi="Garamond"/>
          <w:sz w:val="24"/>
          <w:szCs w:val="24"/>
        </w:rPr>
        <w:t xml:space="preserve"> “institucione të tjera shte</w:t>
      </w:r>
      <w:r w:rsidRPr="007E21D3">
        <w:rPr>
          <w:rFonts w:ascii="Garamond" w:hAnsi="Garamond"/>
          <w:sz w:val="24"/>
          <w:szCs w:val="24"/>
        </w:rPr>
        <w:t>tërore, organizata” zëvendësohen me fjalët</w:t>
      </w:r>
      <w:r w:rsidR="00837FE6" w:rsidRPr="007E21D3">
        <w:rPr>
          <w:rFonts w:ascii="Garamond" w:hAnsi="Garamond"/>
          <w:sz w:val="24"/>
          <w:szCs w:val="24"/>
        </w:rPr>
        <w:t xml:space="preserve"> “institucion</w:t>
      </w:r>
      <w:r w:rsidR="00EE1A4C" w:rsidRPr="007E21D3">
        <w:rPr>
          <w:rFonts w:ascii="Garamond" w:hAnsi="Garamond"/>
          <w:sz w:val="24"/>
          <w:szCs w:val="24"/>
        </w:rPr>
        <w:t>e</w:t>
      </w:r>
      <w:r w:rsidR="00837FE6" w:rsidRPr="007E21D3">
        <w:rPr>
          <w:rFonts w:ascii="Garamond" w:hAnsi="Garamond"/>
          <w:sz w:val="24"/>
          <w:szCs w:val="24"/>
        </w:rPr>
        <w:t xml:space="preserve"> publik</w:t>
      </w:r>
      <w:r w:rsidR="00EE1A4C" w:rsidRPr="007E21D3">
        <w:rPr>
          <w:rFonts w:ascii="Garamond" w:hAnsi="Garamond"/>
          <w:sz w:val="24"/>
          <w:szCs w:val="24"/>
        </w:rPr>
        <w:t>e</w:t>
      </w:r>
      <w:r w:rsidR="00837FE6" w:rsidRPr="007E21D3">
        <w:rPr>
          <w:rFonts w:ascii="Garamond" w:hAnsi="Garamond"/>
          <w:sz w:val="24"/>
          <w:szCs w:val="24"/>
        </w:rPr>
        <w:t xml:space="preserve"> apo subjekt</w:t>
      </w:r>
      <w:r w:rsidR="00EE1A4C" w:rsidRPr="007E21D3">
        <w:rPr>
          <w:rFonts w:ascii="Garamond" w:hAnsi="Garamond"/>
          <w:sz w:val="24"/>
          <w:szCs w:val="24"/>
        </w:rPr>
        <w:t>e</w:t>
      </w:r>
      <w:r w:rsidR="00837FE6" w:rsidRPr="007E21D3">
        <w:rPr>
          <w:rFonts w:ascii="Garamond" w:hAnsi="Garamond"/>
          <w:sz w:val="24"/>
          <w:szCs w:val="24"/>
        </w:rPr>
        <w:t xml:space="preserve"> privat</w:t>
      </w:r>
      <w:r w:rsidR="00EE1A4C" w:rsidRPr="007E21D3">
        <w:rPr>
          <w:rFonts w:ascii="Garamond" w:hAnsi="Garamond"/>
          <w:sz w:val="24"/>
          <w:szCs w:val="24"/>
        </w:rPr>
        <w:t>e</w:t>
      </w:r>
      <w:r w:rsidR="00837FE6" w:rsidRPr="007E21D3">
        <w:rPr>
          <w:rFonts w:ascii="Garamond" w:hAnsi="Garamond"/>
          <w:sz w:val="24"/>
          <w:szCs w:val="24"/>
        </w:rPr>
        <w:t>”.</w:t>
      </w:r>
    </w:p>
    <w:p w14:paraId="7D6C8CE5" w14:textId="77777777" w:rsidR="00837FE6" w:rsidRPr="007E21D3" w:rsidRDefault="00837FE6" w:rsidP="007E21D3">
      <w:pPr>
        <w:spacing w:after="0" w:line="240" w:lineRule="auto"/>
        <w:ind w:firstLine="284"/>
        <w:jc w:val="both"/>
        <w:rPr>
          <w:rFonts w:ascii="Garamond" w:hAnsi="Garamond"/>
          <w:sz w:val="24"/>
          <w:szCs w:val="24"/>
        </w:rPr>
      </w:pPr>
    </w:p>
    <w:p w14:paraId="7D6C8CE6"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7</w:t>
      </w:r>
    </w:p>
    <w:p w14:paraId="7D6C8CE7" w14:textId="77777777" w:rsidR="00A50784" w:rsidRPr="007E21D3" w:rsidRDefault="00A50784" w:rsidP="007E21D3">
      <w:pPr>
        <w:spacing w:after="0" w:line="240" w:lineRule="auto"/>
        <w:ind w:firstLine="284"/>
        <w:jc w:val="both"/>
        <w:rPr>
          <w:rFonts w:ascii="Garamond" w:hAnsi="Garamond"/>
          <w:sz w:val="24"/>
          <w:szCs w:val="24"/>
        </w:rPr>
      </w:pPr>
    </w:p>
    <w:p w14:paraId="7D6C8CE8"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 xml:space="preserve">Në nenin 138, pika 1 ndryshohet si më poshtë: </w:t>
      </w:r>
    </w:p>
    <w:p w14:paraId="7D6C8CE9"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 xml:space="preserve">“1. </w:t>
      </w:r>
      <w:r w:rsidR="00042F42" w:rsidRPr="007E21D3">
        <w:rPr>
          <w:rFonts w:ascii="Garamond" w:hAnsi="Garamond"/>
          <w:sz w:val="24"/>
          <w:szCs w:val="24"/>
        </w:rPr>
        <w:t>Përveç parashikimeve të</w:t>
      </w:r>
      <w:r w:rsidR="00837FE6" w:rsidRPr="007E21D3">
        <w:rPr>
          <w:rFonts w:ascii="Garamond" w:hAnsi="Garamond"/>
          <w:sz w:val="24"/>
          <w:szCs w:val="24"/>
        </w:rPr>
        <w:t xml:space="preserve"> nenit 152</w:t>
      </w:r>
      <w:r w:rsidRPr="007E21D3">
        <w:rPr>
          <w:rFonts w:ascii="Garamond" w:hAnsi="Garamond"/>
          <w:sz w:val="24"/>
          <w:szCs w:val="24"/>
        </w:rPr>
        <w:t>,</w:t>
      </w:r>
      <w:r w:rsidR="00837FE6" w:rsidRPr="007E21D3">
        <w:rPr>
          <w:rFonts w:ascii="Garamond" w:hAnsi="Garamond"/>
          <w:sz w:val="24"/>
          <w:szCs w:val="24"/>
        </w:rPr>
        <w:t xml:space="preserve"> të këtij ligji, nëse ka dyshime të arsyeshme që magjistrati ka kryer shkelje disiplinore, Inspektori i Lartë i Drejtësisë fillon procedimin disiplinor, duke paraqitur raportin e hetimit së bashku me dosjen hetimore.”</w:t>
      </w:r>
      <w:r w:rsidRPr="007E21D3">
        <w:rPr>
          <w:rFonts w:ascii="Garamond" w:hAnsi="Garamond"/>
          <w:sz w:val="24"/>
          <w:szCs w:val="24"/>
        </w:rPr>
        <w:t>.</w:t>
      </w:r>
    </w:p>
    <w:p w14:paraId="7D6C8CEA" w14:textId="77777777" w:rsidR="00837FE6" w:rsidRPr="007E21D3" w:rsidRDefault="00837FE6" w:rsidP="007E21D3">
      <w:pPr>
        <w:spacing w:after="0" w:line="240" w:lineRule="auto"/>
        <w:ind w:firstLine="284"/>
        <w:jc w:val="both"/>
        <w:rPr>
          <w:rFonts w:ascii="Garamond" w:hAnsi="Garamond"/>
          <w:sz w:val="24"/>
          <w:szCs w:val="24"/>
        </w:rPr>
      </w:pPr>
    </w:p>
    <w:p w14:paraId="7D6C8CEB"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8</w:t>
      </w:r>
    </w:p>
    <w:p w14:paraId="7D6C8CEC" w14:textId="77777777" w:rsidR="00A50784" w:rsidRPr="007E21D3" w:rsidRDefault="00A50784" w:rsidP="007E21D3">
      <w:pPr>
        <w:spacing w:after="0" w:line="240" w:lineRule="auto"/>
        <w:ind w:firstLine="284"/>
        <w:jc w:val="both"/>
        <w:rPr>
          <w:rFonts w:ascii="Garamond" w:hAnsi="Garamond"/>
          <w:sz w:val="24"/>
          <w:szCs w:val="24"/>
        </w:rPr>
      </w:pPr>
    </w:p>
    <w:p w14:paraId="7D6C8CED"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 xml:space="preserve">Neni 152 ndryshohet si më poshtë: </w:t>
      </w:r>
    </w:p>
    <w:p w14:paraId="7D6C8CEE" w14:textId="77777777" w:rsidR="00A50784" w:rsidRPr="007E21D3" w:rsidRDefault="00A50784" w:rsidP="007E21D3">
      <w:pPr>
        <w:spacing w:after="0" w:line="240" w:lineRule="auto"/>
        <w:ind w:firstLine="284"/>
        <w:jc w:val="both"/>
        <w:rPr>
          <w:rFonts w:ascii="Garamond" w:hAnsi="Garamond"/>
          <w:sz w:val="24"/>
          <w:szCs w:val="24"/>
        </w:rPr>
      </w:pPr>
    </w:p>
    <w:p w14:paraId="7D6C8CEF"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152</w:t>
      </w:r>
    </w:p>
    <w:p w14:paraId="7D6C8CF1" w14:textId="77777777" w:rsidR="00837FE6" w:rsidRPr="007E21D3" w:rsidRDefault="00837FE6" w:rsidP="007E21D3">
      <w:pPr>
        <w:spacing w:after="0" w:line="240" w:lineRule="auto"/>
        <w:ind w:firstLine="284"/>
        <w:jc w:val="center"/>
        <w:rPr>
          <w:rFonts w:ascii="Garamond" w:hAnsi="Garamond"/>
          <w:b/>
          <w:sz w:val="24"/>
          <w:szCs w:val="24"/>
        </w:rPr>
      </w:pPr>
      <w:r w:rsidRPr="007E21D3">
        <w:rPr>
          <w:rFonts w:ascii="Garamond" w:hAnsi="Garamond"/>
          <w:b/>
          <w:sz w:val="24"/>
          <w:szCs w:val="24"/>
        </w:rPr>
        <w:t>Pezullimi në rastin e procedimit disiplinor</w:t>
      </w:r>
    </w:p>
    <w:p w14:paraId="7D6C8CF2" w14:textId="77777777" w:rsidR="00A50784" w:rsidRPr="007E21D3" w:rsidRDefault="00A50784" w:rsidP="007E21D3">
      <w:pPr>
        <w:spacing w:after="0" w:line="240" w:lineRule="auto"/>
        <w:ind w:firstLine="284"/>
        <w:jc w:val="both"/>
        <w:rPr>
          <w:rFonts w:ascii="Garamond" w:hAnsi="Garamond"/>
          <w:sz w:val="24"/>
          <w:szCs w:val="24"/>
        </w:rPr>
      </w:pPr>
    </w:p>
    <w:p w14:paraId="7D6C8CF3"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1. Kur ka dyshim të arsyeshëm se vazhdimi i magjistratit në detyrë dëmton rezultatin e procedimit disiplinor, pengon konkluzionin e tij të drejtë ose të rregullt, ose diskrediton rëndë figurën dhe pozitën e magjistratit, Inspektori i Lartë i Drejtësisë kryen menjëherë një hetim paraprak për të verifikuar besueshmërinë e burimit të informacionit</w:t>
      </w:r>
      <w:r w:rsidRPr="007E21D3">
        <w:rPr>
          <w:rFonts w:ascii="Garamond" w:hAnsi="Garamond"/>
          <w:sz w:val="24"/>
          <w:szCs w:val="24"/>
        </w:rPr>
        <w:t>,</w:t>
      </w:r>
      <w:r w:rsidR="00837FE6" w:rsidRPr="007E21D3">
        <w:rPr>
          <w:rFonts w:ascii="Garamond" w:hAnsi="Garamond"/>
          <w:sz w:val="24"/>
          <w:szCs w:val="24"/>
        </w:rPr>
        <w:t xml:space="preserve"> sipas nenit 124</w:t>
      </w:r>
      <w:r w:rsidRPr="007E21D3">
        <w:rPr>
          <w:rFonts w:ascii="Garamond" w:hAnsi="Garamond"/>
          <w:sz w:val="24"/>
          <w:szCs w:val="24"/>
        </w:rPr>
        <w:t>,</w:t>
      </w:r>
      <w:r w:rsidR="00837FE6" w:rsidRPr="007E21D3">
        <w:rPr>
          <w:rFonts w:ascii="Garamond" w:hAnsi="Garamond"/>
          <w:sz w:val="24"/>
          <w:szCs w:val="24"/>
        </w:rPr>
        <w:t xml:space="preserve"> të këtij ligji</w:t>
      </w:r>
      <w:r w:rsidRPr="007E21D3">
        <w:rPr>
          <w:rFonts w:ascii="Garamond" w:hAnsi="Garamond"/>
          <w:sz w:val="24"/>
          <w:szCs w:val="24"/>
        </w:rPr>
        <w:t>,</w:t>
      </w:r>
      <w:r w:rsidR="00837FE6" w:rsidRPr="007E21D3">
        <w:rPr>
          <w:rFonts w:ascii="Garamond" w:hAnsi="Garamond"/>
          <w:sz w:val="24"/>
          <w:szCs w:val="24"/>
        </w:rPr>
        <w:t xml:space="preserve"> ose ankesës së paraqitur nga subjektet e përcaktuara në nenin 119 të këtij ligji. Kur Inspektori i La</w:t>
      </w:r>
      <w:r w:rsidRPr="007E21D3">
        <w:rPr>
          <w:rFonts w:ascii="Garamond" w:hAnsi="Garamond"/>
          <w:sz w:val="24"/>
          <w:szCs w:val="24"/>
        </w:rPr>
        <w:t>rtë i Drejtësisë krijon bindjen</w:t>
      </w:r>
      <w:r w:rsidR="00837FE6" w:rsidRPr="007E21D3">
        <w:rPr>
          <w:rFonts w:ascii="Garamond" w:hAnsi="Garamond"/>
          <w:sz w:val="24"/>
          <w:szCs w:val="24"/>
        </w:rPr>
        <w:t xml:space="preserve"> se burimi i informacionit ose ankesa është e besueshme, brenda 3 ditëve nga marrja e ankesës ose nga momenti që ka marrë dijeni për shkeljen e pretenduar</w:t>
      </w:r>
      <w:r w:rsidRPr="007E21D3">
        <w:rPr>
          <w:rFonts w:ascii="Garamond" w:hAnsi="Garamond"/>
          <w:sz w:val="24"/>
          <w:szCs w:val="24"/>
        </w:rPr>
        <w:t>,</w:t>
      </w:r>
      <w:r w:rsidR="00837FE6" w:rsidRPr="007E21D3">
        <w:rPr>
          <w:rFonts w:ascii="Garamond" w:hAnsi="Garamond"/>
          <w:sz w:val="24"/>
          <w:szCs w:val="24"/>
        </w:rPr>
        <w:t xml:space="preserve"> i paraqet Kës</w:t>
      </w:r>
      <w:r w:rsidRPr="007E21D3">
        <w:rPr>
          <w:rFonts w:ascii="Garamond" w:hAnsi="Garamond"/>
          <w:sz w:val="24"/>
          <w:szCs w:val="24"/>
        </w:rPr>
        <w:t>hillit përkatës</w:t>
      </w:r>
      <w:r w:rsidR="00837FE6" w:rsidRPr="007E21D3">
        <w:rPr>
          <w:rFonts w:ascii="Garamond" w:hAnsi="Garamond"/>
          <w:sz w:val="24"/>
          <w:szCs w:val="24"/>
        </w:rPr>
        <w:t xml:space="preserve"> raport të arsyetuar</w:t>
      </w:r>
      <w:r w:rsidR="001E28FB" w:rsidRPr="007E21D3">
        <w:rPr>
          <w:rFonts w:ascii="Garamond" w:hAnsi="Garamond"/>
          <w:sz w:val="24"/>
          <w:szCs w:val="24"/>
        </w:rPr>
        <w:t xml:space="preserve">, bazuar në faktet dhe provat e mbledhura deri në atë moment </w:t>
      </w:r>
      <w:r w:rsidR="00837FE6" w:rsidRPr="007E21D3">
        <w:rPr>
          <w:rFonts w:ascii="Garamond" w:hAnsi="Garamond"/>
          <w:sz w:val="24"/>
          <w:szCs w:val="24"/>
        </w:rPr>
        <w:t>për fillimin e një procedimi disiplinor dhe kërkesën për pezullimin e magjistratit nga detyra.</w:t>
      </w:r>
    </w:p>
    <w:p w14:paraId="7D6C8CF4"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2. Këshilli</w:t>
      </w:r>
      <w:r w:rsidRPr="007E21D3">
        <w:rPr>
          <w:rFonts w:ascii="Garamond" w:hAnsi="Garamond"/>
          <w:sz w:val="24"/>
          <w:szCs w:val="24"/>
        </w:rPr>
        <w:t>,</w:t>
      </w:r>
      <w:r w:rsidR="00837FE6" w:rsidRPr="007E21D3">
        <w:rPr>
          <w:rFonts w:ascii="Garamond" w:hAnsi="Garamond"/>
          <w:sz w:val="24"/>
          <w:szCs w:val="24"/>
        </w:rPr>
        <w:t xml:space="preserve"> për rastet e parashikuara në pikën 1</w:t>
      </w:r>
      <w:r w:rsidRPr="007E21D3">
        <w:rPr>
          <w:rFonts w:ascii="Garamond" w:hAnsi="Garamond"/>
          <w:sz w:val="24"/>
          <w:szCs w:val="24"/>
        </w:rPr>
        <w:t>,</w:t>
      </w:r>
      <w:r w:rsidR="00837FE6" w:rsidRPr="007E21D3">
        <w:rPr>
          <w:rFonts w:ascii="Garamond" w:hAnsi="Garamond"/>
          <w:sz w:val="24"/>
          <w:szCs w:val="24"/>
        </w:rPr>
        <w:t xml:space="preserve"> të këtij neni, ose në nenin 138</w:t>
      </w:r>
      <w:r w:rsidRPr="007E21D3">
        <w:rPr>
          <w:rFonts w:ascii="Garamond" w:hAnsi="Garamond"/>
          <w:sz w:val="24"/>
          <w:szCs w:val="24"/>
        </w:rPr>
        <w:t>,</w:t>
      </w:r>
      <w:r w:rsidR="00837FE6" w:rsidRPr="007E21D3">
        <w:rPr>
          <w:rFonts w:ascii="Garamond" w:hAnsi="Garamond"/>
          <w:sz w:val="24"/>
          <w:szCs w:val="24"/>
        </w:rPr>
        <w:t xml:space="preserve"> të këtij ligji, pezullon magjistratin nga detyra, kur vazhdimi i magjistratit në detyrë dëmton rezultatin e procedimit disiplinor, pengon konkluzionin e tij të drejtë ose të rregullt, ose diskrediton rëndë figurën dhe pozitën e magjistratit. Këshilli mund të kërkojë, informacion mbi shkeljen e pretenduar pranë çdo institucioni publik ose subjekti privat. Në rastin e procedimit disiplinor</w:t>
      </w:r>
      <w:r w:rsidRPr="007E21D3">
        <w:rPr>
          <w:rFonts w:ascii="Garamond" w:hAnsi="Garamond"/>
          <w:sz w:val="24"/>
          <w:szCs w:val="24"/>
        </w:rPr>
        <w:t>,</w:t>
      </w:r>
      <w:r w:rsidR="00837FE6" w:rsidRPr="007E21D3">
        <w:rPr>
          <w:rFonts w:ascii="Garamond" w:hAnsi="Garamond"/>
          <w:sz w:val="24"/>
          <w:szCs w:val="24"/>
        </w:rPr>
        <w:t xml:space="preserve"> sipas pikës 1</w:t>
      </w:r>
      <w:r w:rsidRPr="007E21D3">
        <w:rPr>
          <w:rFonts w:ascii="Garamond" w:hAnsi="Garamond"/>
          <w:sz w:val="24"/>
          <w:szCs w:val="24"/>
        </w:rPr>
        <w:t>,</w:t>
      </w:r>
      <w:r w:rsidR="00837FE6" w:rsidRPr="007E21D3">
        <w:rPr>
          <w:rFonts w:ascii="Garamond" w:hAnsi="Garamond"/>
          <w:sz w:val="24"/>
          <w:szCs w:val="24"/>
        </w:rPr>
        <w:t xml:space="preserve"> të këtij neni, Këshilli vendos menjëherë</w:t>
      </w:r>
      <w:r w:rsidRPr="007E21D3">
        <w:rPr>
          <w:rFonts w:ascii="Garamond" w:hAnsi="Garamond"/>
          <w:sz w:val="24"/>
          <w:szCs w:val="24"/>
        </w:rPr>
        <w:t>,</w:t>
      </w:r>
      <w:r w:rsidR="00837FE6" w:rsidRPr="007E21D3">
        <w:rPr>
          <w:rFonts w:ascii="Garamond" w:hAnsi="Garamond"/>
          <w:sz w:val="24"/>
          <w:szCs w:val="24"/>
        </w:rPr>
        <w:t xml:space="preserve"> por jo më vonë se tre ditë nga data e paraqitjes së kërkesës, duke i dhënë mundësinë magjistratit për të parashtruar argumentet e tij në mbledhjen e Këshillit.  </w:t>
      </w:r>
    </w:p>
    <w:p w14:paraId="7D6C8CF5"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3. Pezullimi, sipas këtij neni, zgjat deri në marrjen e një vendimi përfundimtar nga Këshilli mbi kërkesën për procedim disiplinor, me përjashtim të rastit kur Këshilli vendos të revokojë pezullimin, sipas nenit 156 të këtij ligji.</w:t>
      </w:r>
    </w:p>
    <w:p w14:paraId="7D6C8CF6"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4. Pavarësisht parashikimeve të nenit 138</w:t>
      </w:r>
      <w:r w:rsidRPr="007E21D3">
        <w:rPr>
          <w:rFonts w:ascii="Garamond" w:hAnsi="Garamond"/>
          <w:sz w:val="24"/>
          <w:szCs w:val="24"/>
        </w:rPr>
        <w:t>,</w:t>
      </w:r>
      <w:r w:rsidR="00837FE6" w:rsidRPr="007E21D3">
        <w:rPr>
          <w:rFonts w:ascii="Garamond" w:hAnsi="Garamond"/>
          <w:sz w:val="24"/>
          <w:szCs w:val="24"/>
        </w:rPr>
        <w:t xml:space="preserve"> pika 5, të këtij ligji, Këshilli</w:t>
      </w:r>
      <w:r w:rsidRPr="007E21D3">
        <w:rPr>
          <w:rFonts w:ascii="Garamond" w:hAnsi="Garamond"/>
          <w:sz w:val="24"/>
          <w:szCs w:val="24"/>
        </w:rPr>
        <w:t>,</w:t>
      </w:r>
      <w:r w:rsidR="00837FE6" w:rsidRPr="007E21D3">
        <w:rPr>
          <w:rFonts w:ascii="Garamond" w:hAnsi="Garamond"/>
          <w:sz w:val="24"/>
          <w:szCs w:val="24"/>
        </w:rPr>
        <w:t xml:space="preserve"> kur </w:t>
      </w:r>
      <w:r w:rsidR="008079DF" w:rsidRPr="007E21D3">
        <w:rPr>
          <w:rFonts w:ascii="Garamond" w:hAnsi="Garamond"/>
          <w:sz w:val="24"/>
          <w:szCs w:val="24"/>
        </w:rPr>
        <w:t>ç</w:t>
      </w:r>
      <w:r w:rsidR="00837FE6" w:rsidRPr="007E21D3">
        <w:rPr>
          <w:rFonts w:ascii="Garamond" w:hAnsi="Garamond"/>
          <w:sz w:val="24"/>
          <w:szCs w:val="24"/>
        </w:rPr>
        <w:t>mon se ka nevojë për hetime të mëtejshme për shkeljen disiplinore</w:t>
      </w:r>
      <w:r w:rsidRPr="007E21D3">
        <w:rPr>
          <w:rFonts w:ascii="Garamond" w:hAnsi="Garamond"/>
          <w:sz w:val="24"/>
          <w:szCs w:val="24"/>
        </w:rPr>
        <w:t>,</w:t>
      </w:r>
      <w:r w:rsidR="00837FE6" w:rsidRPr="007E21D3">
        <w:rPr>
          <w:rFonts w:ascii="Garamond" w:hAnsi="Garamond"/>
          <w:sz w:val="24"/>
          <w:szCs w:val="24"/>
        </w:rPr>
        <w:t xml:space="preserve"> i kërkon Inspektorit të Lartë të Drejtës</w:t>
      </w:r>
      <w:r w:rsidRPr="007E21D3">
        <w:rPr>
          <w:rFonts w:ascii="Garamond" w:hAnsi="Garamond"/>
          <w:sz w:val="24"/>
          <w:szCs w:val="24"/>
        </w:rPr>
        <w:t>isë të kryejë këto hetime, pa qe</w:t>
      </w:r>
      <w:r w:rsidR="00837FE6" w:rsidRPr="007E21D3">
        <w:rPr>
          <w:rFonts w:ascii="Garamond" w:hAnsi="Garamond"/>
          <w:sz w:val="24"/>
          <w:szCs w:val="24"/>
        </w:rPr>
        <w:t>në ne</w:t>
      </w:r>
      <w:r w:rsidRPr="007E21D3">
        <w:rPr>
          <w:rFonts w:ascii="Garamond" w:hAnsi="Garamond"/>
          <w:sz w:val="24"/>
          <w:szCs w:val="24"/>
        </w:rPr>
        <w:t>voja për të specifikuar elemente</w:t>
      </w:r>
      <w:r w:rsidR="00837FE6" w:rsidRPr="007E21D3">
        <w:rPr>
          <w:rFonts w:ascii="Garamond" w:hAnsi="Garamond"/>
          <w:sz w:val="24"/>
          <w:szCs w:val="24"/>
        </w:rPr>
        <w:t xml:space="preserve">t që mungojnë </w:t>
      </w:r>
      <w:r w:rsidR="00837FE6" w:rsidRPr="007E21D3">
        <w:rPr>
          <w:rFonts w:ascii="Garamond" w:hAnsi="Garamond"/>
          <w:sz w:val="24"/>
          <w:szCs w:val="24"/>
        </w:rPr>
        <w:lastRenderedPageBreak/>
        <w:t>dhe afatin. Inspektori i Lartë i Drejtësisë kryen me përparësi hetime të mëtejshme për këto shkelje dhe i paraqet Këshillit raportin dhe dosjen e hetimit.</w:t>
      </w:r>
    </w:p>
    <w:p w14:paraId="7D6C8CF7" w14:textId="77777777" w:rsidR="00837FE6" w:rsidRPr="007E21D3" w:rsidRDefault="00837FE6" w:rsidP="007E21D3">
      <w:pPr>
        <w:spacing w:after="0" w:line="240" w:lineRule="auto"/>
        <w:ind w:firstLine="284"/>
        <w:jc w:val="both"/>
        <w:rPr>
          <w:rFonts w:ascii="Garamond" w:hAnsi="Garamond"/>
          <w:sz w:val="24"/>
          <w:szCs w:val="24"/>
        </w:rPr>
      </w:pPr>
    </w:p>
    <w:p w14:paraId="7D6C8CF9" w14:textId="77777777" w:rsidR="00837FE6" w:rsidRPr="007E21D3" w:rsidRDefault="00837FE6" w:rsidP="007E21D3">
      <w:pPr>
        <w:spacing w:after="0" w:line="240" w:lineRule="auto"/>
        <w:ind w:firstLine="284"/>
        <w:jc w:val="center"/>
        <w:rPr>
          <w:rFonts w:ascii="Garamond" w:hAnsi="Garamond"/>
          <w:sz w:val="24"/>
          <w:szCs w:val="24"/>
        </w:rPr>
      </w:pPr>
      <w:r w:rsidRPr="007E21D3">
        <w:rPr>
          <w:rFonts w:ascii="Garamond" w:hAnsi="Garamond"/>
          <w:sz w:val="24"/>
          <w:szCs w:val="24"/>
        </w:rPr>
        <w:t>Neni 9</w:t>
      </w:r>
    </w:p>
    <w:p w14:paraId="7D6C8CFA" w14:textId="77777777" w:rsidR="00837FE6" w:rsidRPr="007E21D3" w:rsidRDefault="00837FE6" w:rsidP="007E21D3">
      <w:pPr>
        <w:spacing w:after="0" w:line="240" w:lineRule="auto"/>
        <w:ind w:firstLine="284"/>
        <w:jc w:val="both"/>
        <w:rPr>
          <w:rFonts w:ascii="Garamond" w:hAnsi="Garamond"/>
          <w:sz w:val="24"/>
          <w:szCs w:val="24"/>
        </w:rPr>
      </w:pPr>
    </w:p>
    <w:p w14:paraId="7D6C8CFB" w14:textId="77777777" w:rsidR="00837FE6" w:rsidRPr="007E21D3" w:rsidRDefault="006907CC" w:rsidP="007E21D3">
      <w:pPr>
        <w:spacing w:after="0" w:line="240" w:lineRule="auto"/>
        <w:ind w:firstLine="284"/>
        <w:jc w:val="both"/>
        <w:rPr>
          <w:rFonts w:ascii="Garamond" w:hAnsi="Garamond"/>
          <w:sz w:val="24"/>
          <w:szCs w:val="24"/>
        </w:rPr>
      </w:pPr>
      <w:r w:rsidRPr="007E21D3">
        <w:rPr>
          <w:rFonts w:ascii="Garamond" w:hAnsi="Garamond"/>
          <w:sz w:val="24"/>
          <w:szCs w:val="24"/>
        </w:rPr>
        <w:tab/>
      </w:r>
      <w:r w:rsidR="00837FE6" w:rsidRPr="007E21D3">
        <w:rPr>
          <w:rFonts w:ascii="Garamond" w:hAnsi="Garamond"/>
          <w:sz w:val="24"/>
          <w:szCs w:val="24"/>
        </w:rPr>
        <w:t xml:space="preserve">Ky ligj hyn </w:t>
      </w:r>
      <w:r w:rsidR="00A50784" w:rsidRPr="007E21D3">
        <w:rPr>
          <w:rFonts w:ascii="Garamond" w:hAnsi="Garamond"/>
          <w:sz w:val="24"/>
          <w:szCs w:val="24"/>
        </w:rPr>
        <w:t>në fuqi 15 ditë pas botimit në Fletoren Zyrtare</w:t>
      </w:r>
      <w:r w:rsidR="00837FE6" w:rsidRPr="007E21D3">
        <w:rPr>
          <w:rFonts w:ascii="Garamond" w:hAnsi="Garamond"/>
          <w:sz w:val="24"/>
          <w:szCs w:val="24"/>
        </w:rPr>
        <w:t>.</w:t>
      </w:r>
    </w:p>
    <w:p w14:paraId="7D6C8CFC" w14:textId="77777777" w:rsidR="00837FE6" w:rsidRPr="007E21D3" w:rsidRDefault="00837FE6" w:rsidP="007E21D3">
      <w:pPr>
        <w:spacing w:after="0" w:line="240" w:lineRule="auto"/>
        <w:ind w:firstLine="284"/>
        <w:jc w:val="both"/>
        <w:rPr>
          <w:rFonts w:ascii="Garamond" w:hAnsi="Garamond"/>
          <w:sz w:val="24"/>
          <w:szCs w:val="24"/>
        </w:rPr>
      </w:pPr>
    </w:p>
    <w:p w14:paraId="7D6C8D02" w14:textId="77777777" w:rsidR="00A50784" w:rsidRPr="007E21D3" w:rsidRDefault="00A50784" w:rsidP="007E21D3">
      <w:pPr>
        <w:spacing w:after="0" w:line="240" w:lineRule="auto"/>
        <w:ind w:firstLine="284"/>
        <w:jc w:val="both"/>
        <w:rPr>
          <w:rFonts w:ascii="Garamond" w:hAnsi="Garamond"/>
          <w:sz w:val="24"/>
          <w:szCs w:val="24"/>
        </w:rPr>
      </w:pPr>
      <w:bookmarkStart w:id="0" w:name="_GoBack"/>
      <w:bookmarkEnd w:id="0"/>
      <w:r w:rsidRPr="007E21D3">
        <w:rPr>
          <w:rFonts w:ascii="Garamond" w:hAnsi="Garamond"/>
          <w:sz w:val="24"/>
          <w:szCs w:val="24"/>
        </w:rPr>
        <w:t>Miratuar në datën 12.2.2020</w:t>
      </w:r>
    </w:p>
    <w:p w14:paraId="7D6C8D03" w14:textId="77777777" w:rsidR="00EE1673" w:rsidRPr="007E21D3" w:rsidRDefault="00EE1673" w:rsidP="007E21D3">
      <w:pPr>
        <w:spacing w:after="0" w:line="240" w:lineRule="auto"/>
        <w:ind w:firstLine="284"/>
        <w:jc w:val="both"/>
        <w:rPr>
          <w:rFonts w:ascii="Garamond" w:hAnsi="Garamond"/>
          <w:sz w:val="24"/>
          <w:szCs w:val="24"/>
        </w:rPr>
      </w:pPr>
    </w:p>
    <w:p w14:paraId="7D6C8D04" w14:textId="77777777" w:rsidR="00EE1673" w:rsidRPr="007E21D3" w:rsidRDefault="00EE1673" w:rsidP="007E21D3">
      <w:pPr>
        <w:spacing w:after="0" w:line="240" w:lineRule="auto"/>
        <w:ind w:firstLine="284"/>
        <w:jc w:val="both"/>
        <w:rPr>
          <w:rFonts w:ascii="Garamond" w:hAnsi="Garamond"/>
          <w:sz w:val="24"/>
          <w:szCs w:val="24"/>
        </w:rPr>
      </w:pPr>
    </w:p>
    <w:p w14:paraId="7D6C8D05" w14:textId="77777777" w:rsidR="00EE1673" w:rsidRPr="007E21D3" w:rsidRDefault="00EE1673" w:rsidP="007E21D3">
      <w:pPr>
        <w:spacing w:after="0" w:line="240" w:lineRule="auto"/>
        <w:ind w:firstLine="284"/>
        <w:jc w:val="both"/>
        <w:rPr>
          <w:rFonts w:ascii="Garamond" w:hAnsi="Garamond"/>
          <w:sz w:val="24"/>
          <w:szCs w:val="24"/>
        </w:rPr>
      </w:pPr>
    </w:p>
    <w:p w14:paraId="7D6C8D06" w14:textId="77777777" w:rsidR="00EE1673" w:rsidRPr="007E21D3" w:rsidRDefault="00EE1673" w:rsidP="007E21D3">
      <w:pPr>
        <w:spacing w:after="0" w:line="240" w:lineRule="auto"/>
        <w:ind w:firstLine="284"/>
        <w:jc w:val="both"/>
        <w:rPr>
          <w:rFonts w:ascii="Garamond" w:hAnsi="Garamond"/>
          <w:sz w:val="24"/>
          <w:szCs w:val="24"/>
        </w:rPr>
      </w:pPr>
    </w:p>
    <w:sectPr w:rsidR="00EE1673" w:rsidRPr="007E21D3" w:rsidSect="00A50784">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F11595" w14:textId="77777777" w:rsidR="007E21D3" w:rsidRDefault="007E21D3">
      <w:pPr>
        <w:spacing w:after="0" w:line="240" w:lineRule="auto"/>
      </w:pPr>
      <w:r>
        <w:separator/>
      </w:r>
    </w:p>
  </w:endnote>
  <w:endnote w:type="continuationSeparator" w:id="0">
    <w:p w14:paraId="2C5FE494" w14:textId="77777777" w:rsidR="007E21D3" w:rsidRDefault="007E21D3">
      <w:pPr>
        <w:spacing w:after="0" w:line="240" w:lineRule="auto"/>
      </w:pPr>
      <w:r>
        <w:continuationSeparator/>
      </w:r>
    </w:p>
  </w:endnote>
  <w:endnote w:type="continuationNotice" w:id="1">
    <w:p w14:paraId="03282B32" w14:textId="77777777" w:rsidR="00565A3A" w:rsidRDefault="00565A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00022FF" w:usb1="C000205B" w:usb2="00000009" w:usb3="00000000" w:csb0="000001DF" w:csb1="00000000"/>
  </w:font>
  <w:font w:name="CG Times">
    <w:altName w:val="Times New Roman"/>
    <w:panose1 w:val="02020603050405020304"/>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772225"/>
      <w:docPartObj>
        <w:docPartGallery w:val="Page Numbers (Bottom of Page)"/>
        <w:docPartUnique/>
      </w:docPartObj>
    </w:sdtPr>
    <w:sdtEndPr>
      <w:rPr>
        <w:rFonts w:ascii="Times New Roman" w:hAnsi="Times New Roman"/>
        <w:noProof/>
        <w:sz w:val="24"/>
        <w:szCs w:val="24"/>
      </w:rPr>
    </w:sdtEndPr>
    <w:sdtContent>
      <w:p w14:paraId="7D6C8D0B" w14:textId="77777777" w:rsidR="007E21D3" w:rsidRPr="00A50784" w:rsidRDefault="007E21D3">
        <w:pPr>
          <w:pStyle w:val="Footer"/>
          <w:jc w:val="center"/>
          <w:rPr>
            <w:rFonts w:ascii="Times New Roman" w:hAnsi="Times New Roman"/>
            <w:sz w:val="24"/>
            <w:szCs w:val="24"/>
          </w:rPr>
        </w:pPr>
        <w:r w:rsidRPr="00A50784">
          <w:rPr>
            <w:rFonts w:ascii="Times New Roman" w:hAnsi="Times New Roman"/>
            <w:sz w:val="24"/>
            <w:szCs w:val="24"/>
          </w:rPr>
          <w:fldChar w:fldCharType="begin"/>
        </w:r>
        <w:r w:rsidRPr="00A50784">
          <w:rPr>
            <w:rFonts w:ascii="Times New Roman" w:hAnsi="Times New Roman"/>
            <w:sz w:val="24"/>
            <w:szCs w:val="24"/>
          </w:rPr>
          <w:instrText xml:space="preserve"> PAGE   \* MERGEFORMAT </w:instrText>
        </w:r>
        <w:r w:rsidRPr="00A50784">
          <w:rPr>
            <w:rFonts w:ascii="Times New Roman" w:hAnsi="Times New Roman"/>
            <w:sz w:val="24"/>
            <w:szCs w:val="24"/>
          </w:rPr>
          <w:fldChar w:fldCharType="separate"/>
        </w:r>
        <w:r w:rsidR="00565A3A">
          <w:rPr>
            <w:rFonts w:ascii="Times New Roman" w:hAnsi="Times New Roman"/>
            <w:noProof/>
            <w:sz w:val="24"/>
            <w:szCs w:val="24"/>
          </w:rPr>
          <w:t>3</w:t>
        </w:r>
        <w:r w:rsidRPr="00A50784">
          <w:rPr>
            <w:rFonts w:ascii="Times New Roman" w:hAnsi="Times New Roman"/>
            <w:noProof/>
            <w:sz w:val="24"/>
            <w:szCs w:val="24"/>
          </w:rPr>
          <w:fldChar w:fldCharType="end"/>
        </w:r>
      </w:p>
    </w:sdtContent>
  </w:sdt>
  <w:p w14:paraId="7D6C8D0C" w14:textId="77777777" w:rsidR="007E21D3" w:rsidRDefault="007E21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248A99" w14:textId="77777777" w:rsidR="007E21D3" w:rsidRDefault="007E21D3">
      <w:pPr>
        <w:spacing w:after="0" w:line="240" w:lineRule="auto"/>
      </w:pPr>
      <w:r>
        <w:separator/>
      </w:r>
    </w:p>
  </w:footnote>
  <w:footnote w:type="continuationSeparator" w:id="0">
    <w:p w14:paraId="344787CA" w14:textId="77777777" w:rsidR="007E21D3" w:rsidRDefault="007E21D3">
      <w:pPr>
        <w:spacing w:after="0" w:line="240" w:lineRule="auto"/>
      </w:pPr>
      <w:r>
        <w:continuationSeparator/>
      </w:r>
    </w:p>
  </w:footnote>
  <w:footnote w:type="continuationNotice" w:id="1">
    <w:p w14:paraId="6610174D" w14:textId="77777777" w:rsidR="00565A3A" w:rsidRDefault="00565A3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97247"/>
    <w:multiLevelType w:val="hybridMultilevel"/>
    <w:tmpl w:val="C77C794E"/>
    <w:lvl w:ilvl="0" w:tplc="CDD02268">
      <w:start w:val="2"/>
      <w:numFmt w:val="bullet"/>
      <w:lvlText w:val="-"/>
      <w:lvlJc w:val="center"/>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601281"/>
    <w:multiLevelType w:val="hybridMultilevel"/>
    <w:tmpl w:val="CA1414BA"/>
    <w:lvl w:ilvl="0" w:tplc="A800AC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4EC2D58"/>
    <w:multiLevelType w:val="hybridMultilevel"/>
    <w:tmpl w:val="107233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2B6518"/>
    <w:multiLevelType w:val="hybridMultilevel"/>
    <w:tmpl w:val="4B2C5CCE"/>
    <w:lvl w:ilvl="0" w:tplc="5194EBD0">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4090493"/>
    <w:multiLevelType w:val="hybridMultilevel"/>
    <w:tmpl w:val="EAAA1308"/>
    <w:lvl w:ilvl="0" w:tplc="041C0013">
      <w:start w:val="1"/>
      <w:numFmt w:val="upperRoman"/>
      <w:lvlText w:val="%1."/>
      <w:lvlJc w:val="righ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nsid w:val="6AD41726"/>
    <w:multiLevelType w:val="hybridMultilevel"/>
    <w:tmpl w:val="70920FEE"/>
    <w:lvl w:ilvl="0" w:tplc="0EE02BF6">
      <w:start w:val="3"/>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0"/>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673"/>
    <w:rsid w:val="00024B9C"/>
    <w:rsid w:val="00042F42"/>
    <w:rsid w:val="0012628D"/>
    <w:rsid w:val="001950ED"/>
    <w:rsid w:val="001E28FB"/>
    <w:rsid w:val="0021036B"/>
    <w:rsid w:val="00236A4B"/>
    <w:rsid w:val="00287CAE"/>
    <w:rsid w:val="002A04D3"/>
    <w:rsid w:val="003272A7"/>
    <w:rsid w:val="003559C9"/>
    <w:rsid w:val="0038569C"/>
    <w:rsid w:val="004673F3"/>
    <w:rsid w:val="004D2033"/>
    <w:rsid w:val="005010AE"/>
    <w:rsid w:val="00525650"/>
    <w:rsid w:val="00565A3A"/>
    <w:rsid w:val="00571D1D"/>
    <w:rsid w:val="005A553A"/>
    <w:rsid w:val="00633271"/>
    <w:rsid w:val="00647926"/>
    <w:rsid w:val="006907CC"/>
    <w:rsid w:val="006D5BCD"/>
    <w:rsid w:val="00727328"/>
    <w:rsid w:val="0076179F"/>
    <w:rsid w:val="007640AC"/>
    <w:rsid w:val="0076668A"/>
    <w:rsid w:val="007D280D"/>
    <w:rsid w:val="007E10A1"/>
    <w:rsid w:val="007E21D3"/>
    <w:rsid w:val="00805B5E"/>
    <w:rsid w:val="008079DF"/>
    <w:rsid w:val="00810796"/>
    <w:rsid w:val="00837FE6"/>
    <w:rsid w:val="00842BBC"/>
    <w:rsid w:val="00856D83"/>
    <w:rsid w:val="00867343"/>
    <w:rsid w:val="008C785A"/>
    <w:rsid w:val="008F04AD"/>
    <w:rsid w:val="008F5324"/>
    <w:rsid w:val="009365F8"/>
    <w:rsid w:val="009624F0"/>
    <w:rsid w:val="009837D9"/>
    <w:rsid w:val="009E20D9"/>
    <w:rsid w:val="00A22E71"/>
    <w:rsid w:val="00A50784"/>
    <w:rsid w:val="00A62E12"/>
    <w:rsid w:val="00A80B96"/>
    <w:rsid w:val="00AB608E"/>
    <w:rsid w:val="00AC667C"/>
    <w:rsid w:val="00AD2725"/>
    <w:rsid w:val="00B05079"/>
    <w:rsid w:val="00B87DC6"/>
    <w:rsid w:val="00C230BB"/>
    <w:rsid w:val="00CB3592"/>
    <w:rsid w:val="00CC2B1F"/>
    <w:rsid w:val="00D0504B"/>
    <w:rsid w:val="00DA13BF"/>
    <w:rsid w:val="00DC663C"/>
    <w:rsid w:val="00DF1493"/>
    <w:rsid w:val="00DF55BB"/>
    <w:rsid w:val="00E203B4"/>
    <w:rsid w:val="00EA6F45"/>
    <w:rsid w:val="00EE1673"/>
    <w:rsid w:val="00EE1A4C"/>
    <w:rsid w:val="00F01C9D"/>
    <w:rsid w:val="00F25C6A"/>
    <w:rsid w:val="00FA3E5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8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s,fn,footnote text,single space,FOOTNOTES,ft,ADB,pod carou,Fußnotentext AssRepDraft,pod carou Char Char Char,pod carou Char Char,pod carou Char,Footnote Text Char1 Char,Footnote Text Char2 Char Char,Footnote Text Char Char2 Char Ch"/>
    <w:basedOn w:val="Normal"/>
    <w:link w:val="FootnoteTextChar"/>
    <w:uiPriority w:val="99"/>
    <w:unhideWhenUsed/>
    <w:qFormat/>
    <w:rsid w:val="00EE1673"/>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Footnotes Char,fn Char,footnote text Char,single space Char,FOOTNOTES Char,ft Char,ADB Char,pod carou Char1,Fußnotentext AssRepDraft Char,pod carou Char Char Char Char,pod carou Char Char Char1,pod carou Char Char1"/>
    <w:basedOn w:val="DefaultParagraphFont"/>
    <w:link w:val="FootnoteText"/>
    <w:uiPriority w:val="99"/>
    <w:rsid w:val="00EE1673"/>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iPriority w:val="99"/>
    <w:unhideWhenUsed/>
    <w:qFormat/>
    <w:rsid w:val="00EE1673"/>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EE1673"/>
    <w:pPr>
      <w:spacing w:line="240" w:lineRule="exact"/>
    </w:pPr>
    <w:rPr>
      <w:vertAlign w:val="superscript"/>
    </w:rPr>
  </w:style>
  <w:style w:type="paragraph" w:styleId="ListParagraph">
    <w:name w:val="List Paragraph"/>
    <w:basedOn w:val="Normal"/>
    <w:link w:val="ListParagraphChar"/>
    <w:uiPriority w:val="34"/>
    <w:qFormat/>
    <w:rsid w:val="00EE1673"/>
    <w:pPr>
      <w:ind w:left="720"/>
      <w:contextualSpacing/>
    </w:pPr>
  </w:style>
  <w:style w:type="character" w:styleId="CommentReference">
    <w:name w:val="annotation reference"/>
    <w:basedOn w:val="DefaultParagraphFont"/>
    <w:uiPriority w:val="99"/>
    <w:semiHidden/>
    <w:unhideWhenUsed/>
    <w:rsid w:val="00EE1673"/>
    <w:rPr>
      <w:sz w:val="16"/>
      <w:szCs w:val="16"/>
    </w:rPr>
  </w:style>
  <w:style w:type="paragraph" w:styleId="CommentText">
    <w:name w:val="annotation text"/>
    <w:basedOn w:val="Normal"/>
    <w:link w:val="CommentTextChar"/>
    <w:uiPriority w:val="99"/>
    <w:semiHidden/>
    <w:unhideWhenUsed/>
    <w:rsid w:val="00EE1673"/>
    <w:pPr>
      <w:spacing w:line="240" w:lineRule="auto"/>
    </w:pPr>
    <w:rPr>
      <w:sz w:val="20"/>
      <w:szCs w:val="20"/>
    </w:rPr>
  </w:style>
  <w:style w:type="character" w:customStyle="1" w:styleId="CommentTextChar">
    <w:name w:val="Comment Text Char"/>
    <w:basedOn w:val="DefaultParagraphFont"/>
    <w:link w:val="CommentText"/>
    <w:uiPriority w:val="99"/>
    <w:semiHidden/>
    <w:rsid w:val="00EE1673"/>
    <w:rPr>
      <w:sz w:val="20"/>
      <w:szCs w:val="20"/>
    </w:rPr>
  </w:style>
  <w:style w:type="paragraph" w:styleId="CommentSubject">
    <w:name w:val="annotation subject"/>
    <w:basedOn w:val="CommentText"/>
    <w:next w:val="CommentText"/>
    <w:link w:val="CommentSubjectChar"/>
    <w:uiPriority w:val="99"/>
    <w:semiHidden/>
    <w:unhideWhenUsed/>
    <w:rsid w:val="00EE1673"/>
    <w:rPr>
      <w:b/>
      <w:bCs/>
    </w:rPr>
  </w:style>
  <w:style w:type="character" w:customStyle="1" w:styleId="CommentSubjectChar">
    <w:name w:val="Comment Subject Char"/>
    <w:basedOn w:val="CommentTextChar"/>
    <w:link w:val="CommentSubject"/>
    <w:uiPriority w:val="99"/>
    <w:semiHidden/>
    <w:rsid w:val="00EE1673"/>
    <w:rPr>
      <w:b/>
      <w:bCs/>
      <w:sz w:val="20"/>
      <w:szCs w:val="20"/>
    </w:rPr>
  </w:style>
  <w:style w:type="paragraph" w:styleId="BalloonText">
    <w:name w:val="Balloon Text"/>
    <w:basedOn w:val="Normal"/>
    <w:link w:val="BalloonTextChar"/>
    <w:uiPriority w:val="99"/>
    <w:semiHidden/>
    <w:unhideWhenUsed/>
    <w:rsid w:val="00EE16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673"/>
    <w:rPr>
      <w:rFonts w:ascii="Segoe UI" w:hAnsi="Segoe UI" w:cs="Segoe UI"/>
      <w:sz w:val="18"/>
      <w:szCs w:val="18"/>
    </w:rPr>
  </w:style>
  <w:style w:type="paragraph" w:styleId="NormalWeb">
    <w:name w:val="Normal (Web)"/>
    <w:basedOn w:val="Normal"/>
    <w:unhideWhenUsed/>
    <w:rsid w:val="00EE16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EE1673"/>
    <w:pPr>
      <w:spacing w:after="0" w:line="240" w:lineRule="auto"/>
    </w:pPr>
  </w:style>
  <w:style w:type="paragraph" w:customStyle="1" w:styleId="tektsiperfundim">
    <w:name w:val="tektsi perfundim"/>
    <w:rsid w:val="00EE167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lang w:val="en-US"/>
    </w:rPr>
  </w:style>
  <w:style w:type="paragraph" w:customStyle="1" w:styleId="paragrafi">
    <w:name w:val="paragrafi"/>
    <w:basedOn w:val="Normal"/>
    <w:rsid w:val="00EE16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EE167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E1673"/>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EE1673"/>
    <w:rPr>
      <w:rFonts w:ascii="Calibri" w:eastAsia="Calibri" w:hAnsi="Calibri" w:cs="Times New Roman"/>
      <w:lang w:val="en-US"/>
    </w:rPr>
  </w:style>
  <w:style w:type="paragraph" w:styleId="Footer">
    <w:name w:val="footer"/>
    <w:basedOn w:val="Normal"/>
    <w:link w:val="FooterChar"/>
    <w:uiPriority w:val="99"/>
    <w:unhideWhenUsed/>
    <w:rsid w:val="00EE1673"/>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EE1673"/>
    <w:rPr>
      <w:rFonts w:ascii="Calibri" w:eastAsia="Calibri" w:hAnsi="Calibri" w:cs="Times New Roman"/>
      <w:lang w:val="en-US"/>
    </w:rPr>
  </w:style>
  <w:style w:type="character" w:customStyle="1" w:styleId="apple-style-span">
    <w:name w:val="apple-style-span"/>
    <w:basedOn w:val="DefaultParagraphFont"/>
    <w:rsid w:val="00EE1673"/>
  </w:style>
  <w:style w:type="numbering" w:customStyle="1" w:styleId="NoList1">
    <w:name w:val="No List1"/>
    <w:next w:val="NoList"/>
    <w:uiPriority w:val="99"/>
    <w:semiHidden/>
    <w:unhideWhenUsed/>
    <w:rsid w:val="00EE1673"/>
  </w:style>
  <w:style w:type="character" w:customStyle="1" w:styleId="goog-gtc-translatable">
    <w:name w:val="goog-gtc-translatable"/>
    <w:basedOn w:val="DefaultParagraphFont"/>
    <w:rsid w:val="00EE1673"/>
  </w:style>
  <w:style w:type="table" w:styleId="TableGrid">
    <w:name w:val="Table Grid"/>
    <w:basedOn w:val="TableNormal"/>
    <w:uiPriority w:val="39"/>
    <w:rsid w:val="00EE167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EE1673"/>
  </w:style>
  <w:style w:type="paragraph" w:customStyle="1" w:styleId="ColorfulList-Accent11">
    <w:name w:val="Colorful List - Accent 11"/>
    <w:basedOn w:val="Normal"/>
    <w:link w:val="ColorfulList-Accent1Char"/>
    <w:uiPriority w:val="34"/>
    <w:qFormat/>
    <w:rsid w:val="00EE1673"/>
    <w:pPr>
      <w:spacing w:after="200" w:line="276" w:lineRule="auto"/>
      <w:ind w:left="720"/>
      <w:contextualSpacing/>
    </w:pPr>
    <w:rPr>
      <w:rFonts w:ascii="Calibri" w:eastAsia="Times New Roman" w:hAnsi="Calibri" w:cs="Times New Roman"/>
      <w:sz w:val="20"/>
      <w:szCs w:val="20"/>
      <w:lang w:val="en-GB" w:eastAsia="en-GB"/>
    </w:rPr>
  </w:style>
  <w:style w:type="character" w:customStyle="1" w:styleId="ColorfulList-Accent1Char">
    <w:name w:val="Colorful List - Accent 1 Char"/>
    <w:link w:val="ColorfulList-Accent11"/>
    <w:uiPriority w:val="34"/>
    <w:locked/>
    <w:rsid w:val="00EE1673"/>
    <w:rPr>
      <w:rFonts w:ascii="Calibri" w:eastAsia="Times New Roman" w:hAnsi="Calibri" w:cs="Times New Roman"/>
      <w:sz w:val="20"/>
      <w:szCs w:val="20"/>
      <w:lang w:val="en-GB" w:eastAsia="en-GB"/>
    </w:rPr>
  </w:style>
  <w:style w:type="character" w:styleId="PlaceholderText">
    <w:name w:val="Placeholder Text"/>
    <w:basedOn w:val="DefaultParagraphFont"/>
    <w:uiPriority w:val="99"/>
    <w:semiHidden/>
    <w:rsid w:val="0012628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s,fn,footnote text,single space,FOOTNOTES,ft,ADB,pod carou,Fußnotentext AssRepDraft,pod carou Char Char Char,pod carou Char Char,pod carou Char,Footnote Text Char1 Char,Footnote Text Char2 Char Char,Footnote Text Char Char2 Char Ch"/>
    <w:basedOn w:val="Normal"/>
    <w:link w:val="FootnoteTextChar"/>
    <w:uiPriority w:val="99"/>
    <w:unhideWhenUsed/>
    <w:qFormat/>
    <w:rsid w:val="00EE1673"/>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Footnotes Char,fn Char,footnote text Char,single space Char,FOOTNOTES Char,ft Char,ADB Char,pod carou Char1,Fußnotentext AssRepDraft Char,pod carou Char Char Char Char,pod carou Char Char Char1,pod carou Char Char1"/>
    <w:basedOn w:val="DefaultParagraphFont"/>
    <w:link w:val="FootnoteText"/>
    <w:uiPriority w:val="99"/>
    <w:rsid w:val="00EE1673"/>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iPriority w:val="99"/>
    <w:unhideWhenUsed/>
    <w:qFormat/>
    <w:rsid w:val="00EE1673"/>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EE1673"/>
    <w:pPr>
      <w:spacing w:line="240" w:lineRule="exact"/>
    </w:pPr>
    <w:rPr>
      <w:vertAlign w:val="superscript"/>
    </w:rPr>
  </w:style>
  <w:style w:type="paragraph" w:styleId="ListParagraph">
    <w:name w:val="List Paragraph"/>
    <w:basedOn w:val="Normal"/>
    <w:link w:val="ListParagraphChar"/>
    <w:uiPriority w:val="34"/>
    <w:qFormat/>
    <w:rsid w:val="00EE1673"/>
    <w:pPr>
      <w:ind w:left="720"/>
      <w:contextualSpacing/>
    </w:pPr>
  </w:style>
  <w:style w:type="character" w:styleId="CommentReference">
    <w:name w:val="annotation reference"/>
    <w:basedOn w:val="DefaultParagraphFont"/>
    <w:uiPriority w:val="99"/>
    <w:semiHidden/>
    <w:unhideWhenUsed/>
    <w:rsid w:val="00EE1673"/>
    <w:rPr>
      <w:sz w:val="16"/>
      <w:szCs w:val="16"/>
    </w:rPr>
  </w:style>
  <w:style w:type="paragraph" w:styleId="CommentText">
    <w:name w:val="annotation text"/>
    <w:basedOn w:val="Normal"/>
    <w:link w:val="CommentTextChar"/>
    <w:uiPriority w:val="99"/>
    <w:semiHidden/>
    <w:unhideWhenUsed/>
    <w:rsid w:val="00EE1673"/>
    <w:pPr>
      <w:spacing w:line="240" w:lineRule="auto"/>
    </w:pPr>
    <w:rPr>
      <w:sz w:val="20"/>
      <w:szCs w:val="20"/>
    </w:rPr>
  </w:style>
  <w:style w:type="character" w:customStyle="1" w:styleId="CommentTextChar">
    <w:name w:val="Comment Text Char"/>
    <w:basedOn w:val="DefaultParagraphFont"/>
    <w:link w:val="CommentText"/>
    <w:uiPriority w:val="99"/>
    <w:semiHidden/>
    <w:rsid w:val="00EE1673"/>
    <w:rPr>
      <w:sz w:val="20"/>
      <w:szCs w:val="20"/>
    </w:rPr>
  </w:style>
  <w:style w:type="paragraph" w:styleId="CommentSubject">
    <w:name w:val="annotation subject"/>
    <w:basedOn w:val="CommentText"/>
    <w:next w:val="CommentText"/>
    <w:link w:val="CommentSubjectChar"/>
    <w:uiPriority w:val="99"/>
    <w:semiHidden/>
    <w:unhideWhenUsed/>
    <w:rsid w:val="00EE1673"/>
    <w:rPr>
      <w:b/>
      <w:bCs/>
    </w:rPr>
  </w:style>
  <w:style w:type="character" w:customStyle="1" w:styleId="CommentSubjectChar">
    <w:name w:val="Comment Subject Char"/>
    <w:basedOn w:val="CommentTextChar"/>
    <w:link w:val="CommentSubject"/>
    <w:uiPriority w:val="99"/>
    <w:semiHidden/>
    <w:rsid w:val="00EE1673"/>
    <w:rPr>
      <w:b/>
      <w:bCs/>
      <w:sz w:val="20"/>
      <w:szCs w:val="20"/>
    </w:rPr>
  </w:style>
  <w:style w:type="paragraph" w:styleId="BalloonText">
    <w:name w:val="Balloon Text"/>
    <w:basedOn w:val="Normal"/>
    <w:link w:val="BalloonTextChar"/>
    <w:uiPriority w:val="99"/>
    <w:semiHidden/>
    <w:unhideWhenUsed/>
    <w:rsid w:val="00EE16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673"/>
    <w:rPr>
      <w:rFonts w:ascii="Segoe UI" w:hAnsi="Segoe UI" w:cs="Segoe UI"/>
      <w:sz w:val="18"/>
      <w:szCs w:val="18"/>
    </w:rPr>
  </w:style>
  <w:style w:type="paragraph" w:styleId="NormalWeb">
    <w:name w:val="Normal (Web)"/>
    <w:basedOn w:val="Normal"/>
    <w:unhideWhenUsed/>
    <w:rsid w:val="00EE16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EE1673"/>
    <w:pPr>
      <w:spacing w:after="0" w:line="240" w:lineRule="auto"/>
    </w:pPr>
  </w:style>
  <w:style w:type="paragraph" w:customStyle="1" w:styleId="tektsiperfundim">
    <w:name w:val="tektsi perfundim"/>
    <w:rsid w:val="00EE167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lang w:val="en-US"/>
    </w:rPr>
  </w:style>
  <w:style w:type="paragraph" w:customStyle="1" w:styleId="paragrafi">
    <w:name w:val="paragrafi"/>
    <w:basedOn w:val="Normal"/>
    <w:rsid w:val="00EE16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EE1673"/>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E1673"/>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EE1673"/>
    <w:rPr>
      <w:rFonts w:ascii="Calibri" w:eastAsia="Calibri" w:hAnsi="Calibri" w:cs="Times New Roman"/>
      <w:lang w:val="en-US"/>
    </w:rPr>
  </w:style>
  <w:style w:type="paragraph" w:styleId="Footer">
    <w:name w:val="footer"/>
    <w:basedOn w:val="Normal"/>
    <w:link w:val="FooterChar"/>
    <w:uiPriority w:val="99"/>
    <w:unhideWhenUsed/>
    <w:rsid w:val="00EE1673"/>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EE1673"/>
    <w:rPr>
      <w:rFonts w:ascii="Calibri" w:eastAsia="Calibri" w:hAnsi="Calibri" w:cs="Times New Roman"/>
      <w:lang w:val="en-US"/>
    </w:rPr>
  </w:style>
  <w:style w:type="character" w:customStyle="1" w:styleId="apple-style-span">
    <w:name w:val="apple-style-span"/>
    <w:basedOn w:val="DefaultParagraphFont"/>
    <w:rsid w:val="00EE1673"/>
  </w:style>
  <w:style w:type="numbering" w:customStyle="1" w:styleId="NoList1">
    <w:name w:val="No List1"/>
    <w:next w:val="NoList"/>
    <w:uiPriority w:val="99"/>
    <w:semiHidden/>
    <w:unhideWhenUsed/>
    <w:rsid w:val="00EE1673"/>
  </w:style>
  <w:style w:type="character" w:customStyle="1" w:styleId="goog-gtc-translatable">
    <w:name w:val="goog-gtc-translatable"/>
    <w:basedOn w:val="DefaultParagraphFont"/>
    <w:rsid w:val="00EE1673"/>
  </w:style>
  <w:style w:type="table" w:styleId="TableGrid">
    <w:name w:val="Table Grid"/>
    <w:basedOn w:val="TableNormal"/>
    <w:uiPriority w:val="39"/>
    <w:rsid w:val="00EE167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EE1673"/>
  </w:style>
  <w:style w:type="paragraph" w:customStyle="1" w:styleId="ColorfulList-Accent11">
    <w:name w:val="Colorful List - Accent 11"/>
    <w:basedOn w:val="Normal"/>
    <w:link w:val="ColorfulList-Accent1Char"/>
    <w:uiPriority w:val="34"/>
    <w:qFormat/>
    <w:rsid w:val="00EE1673"/>
    <w:pPr>
      <w:spacing w:after="200" w:line="276" w:lineRule="auto"/>
      <w:ind w:left="720"/>
      <w:contextualSpacing/>
    </w:pPr>
    <w:rPr>
      <w:rFonts w:ascii="Calibri" w:eastAsia="Times New Roman" w:hAnsi="Calibri" w:cs="Times New Roman"/>
      <w:sz w:val="20"/>
      <w:szCs w:val="20"/>
      <w:lang w:val="en-GB" w:eastAsia="en-GB"/>
    </w:rPr>
  </w:style>
  <w:style w:type="character" w:customStyle="1" w:styleId="ColorfulList-Accent1Char">
    <w:name w:val="Colorful List - Accent 1 Char"/>
    <w:link w:val="ColorfulList-Accent11"/>
    <w:uiPriority w:val="34"/>
    <w:locked/>
    <w:rsid w:val="00EE1673"/>
    <w:rPr>
      <w:rFonts w:ascii="Calibri" w:eastAsia="Times New Roman" w:hAnsi="Calibri" w:cs="Times New Roman"/>
      <w:sz w:val="20"/>
      <w:szCs w:val="20"/>
      <w:lang w:val="en-GB" w:eastAsia="en-GB"/>
    </w:rPr>
  </w:style>
  <w:style w:type="character" w:styleId="PlaceholderText">
    <w:name w:val="Placeholder Text"/>
    <w:basedOn w:val="DefaultParagraphFont"/>
    <w:uiPriority w:val="99"/>
    <w:semiHidden/>
    <w:rsid w:val="001262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437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2020-07-29T11:44:16Z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2020-07-28T22:00:00Z</Date_x0020_protokolli>
    <Titulli xmlns="0e656187-b300-4fb0-8bf4-3a50f872073c">Për disa shtesa dhe ndryshime në ligjin nr. 96/2016, "Për statusin e gjyqtarëve dhe prokurorëve në Republikën e Shqipërisë", të ndryshuar</Titulli>
    <Modifikuesi xmlns="0e656187-b300-4fb0-8bf4-3a50f872073c">entela.suli</Modifikuesi>
    <Nr_x002e__x0020_prot_x0020_QBZ xmlns="0e656187-b300-4fb0-8bf4-3a50f872073c">1172/3</Nr_x002e__x0020_prot_x0020_QBZ>
    <Data_x0020_e_x0020_Modifikimit xmlns="0e656187-b300-4fb0-8bf4-3a50f872073c">2020-07-29T11:51:17Z</Data_x0020_e_x0020_Modifikimit>
    <Dekretuar xmlns="0e656187-b300-4fb0-8bf4-3a50f872073c">false</Dekretuar>
    <Data xmlns="0e656187-b300-4fb0-8bf4-3a50f872073c">2020-02-11T23:00:00Z</Data>
    <Nr_x002e__x0020_protokolli_x0020_i_x0020_aktit xmlns="0e656187-b300-4fb0-8bf4-3a50f872073c">1941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75F214739624423A920B6FB91AED7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75F214739624423A920B6FB91AED7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986A0-7A62-4538-B2A7-CF6EC60F0CB1}">
  <ds:schemaRefs>
    <ds:schemaRef ds:uri="http://purl.org/dc/elements/1.1/"/>
    <ds:schemaRef ds:uri="0e656187-b300-4fb0-8bf4-3a50f872073c"/>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CB7CD2A-1418-4B34-B15F-059E6EE3BE63}">
  <ds:schemaRefs>
    <ds:schemaRef ds:uri="http://schemas.microsoft.com/sharepoint/v3/contenttype/forms"/>
  </ds:schemaRefs>
</ds:datastoreItem>
</file>

<file path=customXml/itemProps3.xml><?xml version="1.0" encoding="utf-8"?>
<ds:datastoreItem xmlns:ds="http://schemas.openxmlformats.org/officeDocument/2006/customXml" ds:itemID="{8493F2E2-F084-4AE9-A7D8-BB8E92ABF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EC43C0B-F5EB-4061-9ED1-20A822B71CDE}">
  <ds:schemaRefs>
    <ds:schemaRef ds:uri="http://schemas.microsoft.com/sharepoint/v3/contenttype/forms"/>
  </ds:schemaRefs>
</ds:datastoreItem>
</file>

<file path=customXml/itemProps5.xml><?xml version="1.0" encoding="utf-8"?>
<ds:datastoreItem xmlns:ds="http://schemas.openxmlformats.org/officeDocument/2006/customXml" ds:itemID="{EF8BF530-ACEE-4FD5-887A-E3E471C6F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E560917-BA97-47E7-B94C-33194FFDC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Isida Koka</dc:creator>
  <cp:lastModifiedBy>Gladiola.Cicako</cp:lastModifiedBy>
  <cp:revision>9</cp:revision>
  <cp:lastPrinted>2020-02-14T08:07:00Z</cp:lastPrinted>
  <dcterms:created xsi:type="dcterms:W3CDTF">2020-02-13T09:42:00Z</dcterms:created>
  <dcterms:modified xsi:type="dcterms:W3CDTF">2020-07-29T12:09:00Z</dcterms:modified>
</cp:coreProperties>
</file>